
<file path=[Content_Types].xml><?xml version="1.0" encoding="utf-8"?>
<Types xmlns="http://schemas.openxmlformats.org/package/2006/content-types">
  <Default Extension="xml" ContentType="application/xml"/>
  <Default Extension="emf" ContentType="image/x-emf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15614F">
      <w:pPr>
        <w:ind w:firstLine="6923" w:firstLineChars="3284"/>
        <w:rPr>
          <w:b/>
          <w:bCs/>
        </w:rPr>
      </w:pPr>
      <w:r>
        <w:rPr>
          <w:b/>
          <w:bCs/>
        </w:rPr>
        <w:t>+</w:t>
      </w:r>
    </w:p>
    <w:p w14:paraId="6C42FD32">
      <w:pPr>
        <w:ind w:firstLine="7881" w:firstLineChars="3284"/>
        <w:rPr>
          <w:b/>
          <w:bCs/>
        </w:rPr>
      </w:pPr>
      <w:r>
        <w:rPr>
          <w:rFonts w:ascii="宋体" w:hAnsi="宋体" w:cs="宋体"/>
          <w:kern w:val="0"/>
          <w:sz w:val="24"/>
        </w:rPr>
        <mc:AlternateContent>
          <mc:Choice Requires="wps">
            <w:drawing>
              <wp:anchor distT="0" distB="0" distL="114300" distR="114300" simplePos="0" relativeHeight="251663360" behindDoc="0" locked="1" layoutInCell="1" allowOverlap="1">
                <wp:simplePos x="0" y="0"/>
                <wp:positionH relativeFrom="margin">
                  <wp:posOffset>2795905</wp:posOffset>
                </wp:positionH>
                <wp:positionV relativeFrom="margin">
                  <wp:posOffset>761365</wp:posOffset>
                </wp:positionV>
                <wp:extent cx="3175000" cy="828040"/>
                <wp:effectExtent l="0" t="0" r="6350" b="635"/>
                <wp:wrapNone/>
                <wp:docPr id="3" name="fmFrame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75000" cy="828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1CCDF994">
                            <w:pPr>
                              <w:pStyle w:val="59"/>
                              <w:jc w:val="center"/>
                              <w:rPr>
                                <w:rFonts w:ascii="Times New Roman" w:hAnsi="Times New Roman"/>
                                <w:sz w:val="112"/>
                                <w:szCs w:val="112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 w:val="0"/>
                                <w:sz w:val="112"/>
                                <w:szCs w:val="112"/>
                              </w:rPr>
                              <w:t>JJF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fmFrame8" o:spid="_x0000_s1026" o:spt="202" type="#_x0000_t202" style="position:absolute;left:0pt;margin-left:220.15pt;margin-top:59.95pt;height:65.2pt;width:250pt;mso-position-horizontal-relative:margin;mso-position-vertical-relative:margin;z-index:251663360;mso-width-relative:page;mso-height-relative:page;" fillcolor="#FFFFFF" filled="t" stroked="f" coordsize="21600,21600" o:gfxdata="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">
                <v:fill on="t" focussize="0,0"/>
                <v:stroke on="f"/>
                <v:imagedata o:title=""/>
                <o:lock v:ext="edit" aspectratio="f"/>
                <v:textbox inset="0mm,0mm,0mm,0mm">
                  <w:txbxContent>
                    <w:p w14:paraId="1CCDF994">
                      <w:pPr>
                        <w:pStyle w:val="59"/>
                        <w:jc w:val="center"/>
                        <w:rPr>
                          <w:rFonts w:ascii="Times New Roman" w:hAnsi="Times New Roman"/>
                          <w:sz w:val="112"/>
                          <w:szCs w:val="112"/>
                        </w:rPr>
                      </w:pPr>
                      <w:r>
                        <w:rPr>
                          <w:rFonts w:ascii="Times New Roman" w:hAnsi="Times New Roman"/>
                          <w:b w:val="0"/>
                          <w:sz w:val="112"/>
                          <w:szCs w:val="112"/>
                        </w:rPr>
                        <w:t>JJF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0F85DC6">
      <w:pPr>
        <w:ind w:firstLine="6923" w:firstLineChars="3284"/>
        <w:rPr>
          <w:b/>
          <w:bCs/>
        </w:rPr>
      </w:pPr>
    </w:p>
    <w:p w14:paraId="33326373">
      <w:pPr>
        <w:jc w:val="center"/>
        <w:rPr>
          <w:rFonts w:eastAsia="宋体-方正超大字符集"/>
          <w:b/>
          <w:bCs/>
          <w:spacing w:val="40"/>
          <w:sz w:val="52"/>
          <w:szCs w:val="52"/>
        </w:rPr>
      </w:pPr>
    </w:p>
    <w:p w14:paraId="2F1E098C">
      <w:pPr>
        <w:jc w:val="center"/>
        <w:rPr>
          <w:rFonts w:eastAsia="宋体-方正超大字符集"/>
          <w:b/>
          <w:bCs/>
          <w:spacing w:val="40"/>
          <w:sz w:val="52"/>
          <w:szCs w:val="52"/>
        </w:rPr>
      </w:pPr>
    </w:p>
    <w:p w14:paraId="2E610060">
      <w:pPr>
        <w:jc w:val="center"/>
        <w:rPr>
          <w:rFonts w:eastAsia="宋体-方正超大字符集"/>
          <w:b/>
          <w:bCs/>
          <w:spacing w:val="40"/>
          <w:sz w:val="52"/>
          <w:szCs w:val="52"/>
        </w:rPr>
      </w:pPr>
    </w:p>
    <w:p w14:paraId="5A582569">
      <w:pPr>
        <w:ind w:firstLine="522" w:firstLineChars="100"/>
        <w:rPr>
          <w:b/>
          <w:color w:val="000000"/>
          <w:sz w:val="52"/>
        </w:rPr>
      </w:pPr>
    </w:p>
    <w:p w14:paraId="02A01260">
      <w:pPr>
        <w:ind w:firstLine="522" w:firstLineChars="100"/>
        <w:rPr>
          <w:b/>
          <w:color w:val="000000"/>
          <w:sz w:val="52"/>
        </w:rPr>
      </w:pPr>
    </w:p>
    <w:p w14:paraId="51EDAF8F">
      <w:pPr>
        <w:ind w:firstLine="522" w:firstLineChars="100"/>
        <w:rPr>
          <w:color w:val="000000"/>
        </w:rPr>
      </w:pPr>
      <w:r>
        <w:rPr>
          <w:b/>
          <w:color w:val="000000"/>
          <w:sz w:val="52"/>
        </w:rPr>
        <w:t>中华人民共和国国家计量技术规范</w:t>
      </w:r>
    </w:p>
    <w:p w14:paraId="2674F41E">
      <w:pPr>
        <w:spacing w:line="400" w:lineRule="exact"/>
        <w:jc w:val="center"/>
        <w:rPr>
          <w:b/>
          <w:bCs/>
        </w:rPr>
      </w:pPr>
      <w:r>
        <w:rPr>
          <w:rFonts w:hint="eastAsia" w:eastAsia="黑体"/>
          <w:bCs/>
          <w:color w:val="000000"/>
          <w:sz w:val="28"/>
        </w:rPr>
        <w:t xml:space="preserve">                             </w:t>
      </w:r>
      <w:r>
        <w:rPr>
          <w:rFonts w:eastAsia="黑体"/>
          <w:bCs/>
          <w:color w:val="000000"/>
          <w:sz w:val="28"/>
        </w:rPr>
        <w:t>JJF XXXX—202X</w:t>
      </w:r>
    </w:p>
    <w:p w14:paraId="6FC5F458">
      <w:pPr>
        <w:spacing w:line="400" w:lineRule="exact"/>
        <w:jc w:val="center"/>
        <w:rPr>
          <w:rFonts w:eastAsia="Times New Roman"/>
          <w:b/>
          <w:bCs/>
        </w:rPr>
      </w:pPr>
    </w:p>
    <w:p w14:paraId="183BBED2">
      <w:pPr>
        <w:spacing w:line="400" w:lineRule="exact"/>
        <w:jc w:val="center"/>
        <w:rPr>
          <w:b/>
          <w:bCs/>
        </w:rPr>
      </w:pPr>
    </w:p>
    <w:p w14:paraId="471432AA">
      <w:pPr>
        <w:spacing w:line="400" w:lineRule="exact"/>
        <w:jc w:val="center"/>
        <w:rPr>
          <w:b/>
          <w:bCs/>
        </w:rPr>
      </w:pPr>
      <w: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margin">
                  <wp:posOffset>180340</wp:posOffset>
                </wp:positionH>
                <wp:positionV relativeFrom="paragraph">
                  <wp:posOffset>-380365</wp:posOffset>
                </wp:positionV>
                <wp:extent cx="5829300" cy="1905"/>
                <wp:effectExtent l="0" t="9525" r="0" b="17145"/>
                <wp:wrapNone/>
                <wp:docPr id="6" name="直线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5829300" cy="1905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线 2" o:spid="_x0000_s1026" o:spt="20" style="position:absolute;left:0pt;flip:x;margin-left:14.2pt;margin-top:-29.95pt;height:0.15pt;width:459pt;mso-position-horizontal-relative:margin;z-index:251664384;mso-width-relative:page;mso-height-relative:page;" filled="f" stroked="t" coordsize="21600,21600" o:gfxdata="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">
                <v:fill on="f" focussize="0,0"/>
                <v:stroke weight="1.5pt" color="#000000" joinstyle="round"/>
                <v:imagedata o:title=""/>
                <o:lock v:ext="edit" aspectratio="f"/>
              </v:line>
            </w:pict>
          </mc:Fallback>
        </mc:AlternateContent>
      </w:r>
    </w:p>
    <w:p w14:paraId="6CE87C52">
      <w:pPr>
        <w:spacing w:line="400" w:lineRule="exact"/>
        <w:jc w:val="center"/>
        <w:rPr>
          <w:b/>
          <w:bCs/>
        </w:rPr>
      </w:pPr>
    </w:p>
    <w:p w14:paraId="2DF64A74">
      <w:pPr>
        <w:spacing w:line="400" w:lineRule="exact"/>
        <w:jc w:val="center"/>
        <w:rPr>
          <w:b/>
          <w:bCs/>
        </w:rPr>
      </w:pPr>
    </w:p>
    <w:p w14:paraId="5C9316EF">
      <w:pPr>
        <w:jc w:val="center"/>
        <w:rPr>
          <w:b/>
          <w:bCs/>
          <w:spacing w:val="20"/>
          <w:sz w:val="52"/>
          <w:szCs w:val="52"/>
        </w:rPr>
      </w:pPr>
    </w:p>
    <w:p w14:paraId="11E3C404">
      <w:pPr>
        <w:jc w:val="center"/>
        <w:rPr>
          <w:rFonts w:eastAsia="黑体"/>
          <w:sz w:val="52"/>
          <w:szCs w:val="52"/>
        </w:rPr>
      </w:pPr>
      <w:r>
        <w:rPr>
          <w:rFonts w:eastAsia="黑体"/>
          <w:sz w:val="52"/>
          <w:szCs w:val="52"/>
        </w:rPr>
        <w:t>机器视觉低频振动校准规范</w:t>
      </w:r>
    </w:p>
    <w:p w14:paraId="69E38439">
      <w:pPr>
        <w:spacing w:line="400" w:lineRule="exact"/>
        <w:jc w:val="center"/>
        <w:rPr>
          <w:rFonts w:eastAsia="黑体"/>
          <w:sz w:val="28"/>
          <w:szCs w:val="28"/>
        </w:rPr>
      </w:pPr>
    </w:p>
    <w:p w14:paraId="58547671">
      <w:pPr>
        <w:spacing w:line="400" w:lineRule="exact"/>
        <w:jc w:val="center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 xml:space="preserve">Low-Frequency Vibration Calibration Specification </w:t>
      </w:r>
    </w:p>
    <w:p w14:paraId="3B50B0EE">
      <w:pPr>
        <w:spacing w:line="400" w:lineRule="exact"/>
        <w:jc w:val="center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 xml:space="preserve">by Machine Vision Systems </w:t>
      </w:r>
    </w:p>
    <w:p w14:paraId="21A0792C">
      <w:pPr>
        <w:spacing w:line="400" w:lineRule="exact"/>
        <w:jc w:val="center"/>
        <w:rPr>
          <w:sz w:val="28"/>
          <w:szCs w:val="28"/>
        </w:rPr>
      </w:pPr>
    </w:p>
    <w:p w14:paraId="2455573E">
      <w:pPr>
        <w:spacing w:line="40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（</w:t>
      </w:r>
      <w:r>
        <w:rPr>
          <w:rFonts w:hint="eastAsia"/>
          <w:sz w:val="28"/>
          <w:szCs w:val="28"/>
          <w:lang w:val="en-US" w:eastAsia="zh-CN"/>
        </w:rPr>
        <w:t>征求意见</w:t>
      </w:r>
      <w:r>
        <w:rPr>
          <w:rFonts w:hint="eastAsia"/>
          <w:sz w:val="28"/>
          <w:szCs w:val="28"/>
        </w:rPr>
        <w:t>稿</w:t>
      </w:r>
      <w:r>
        <w:rPr>
          <w:sz w:val="28"/>
          <w:szCs w:val="28"/>
        </w:rPr>
        <w:t>）</w:t>
      </w:r>
    </w:p>
    <w:p w14:paraId="79009939">
      <w:pPr>
        <w:jc w:val="center"/>
        <w:rPr>
          <w:rFonts w:eastAsia="楷体_GB2312"/>
          <w:sz w:val="28"/>
          <w:szCs w:val="28"/>
        </w:rPr>
      </w:pPr>
      <w:r>
        <w:rPr>
          <w:rFonts w:hint="eastAsia" w:eastAsia="楷体_GB2312"/>
          <w:sz w:val="28"/>
          <w:szCs w:val="28"/>
        </w:rPr>
        <w:t>本稿完成日期：202</w:t>
      </w:r>
      <w:r>
        <w:rPr>
          <w:rFonts w:hint="eastAsia" w:eastAsia="楷体_GB2312"/>
          <w:sz w:val="28"/>
          <w:szCs w:val="28"/>
          <w:lang w:val="en-US" w:eastAsia="zh-CN"/>
        </w:rPr>
        <w:t>5</w:t>
      </w:r>
      <w:r>
        <w:rPr>
          <w:rFonts w:hint="eastAsia" w:eastAsia="楷体_GB2312"/>
          <w:sz w:val="28"/>
          <w:szCs w:val="28"/>
        </w:rPr>
        <w:t>年</w:t>
      </w:r>
      <w:r>
        <w:rPr>
          <w:rFonts w:hint="eastAsia" w:eastAsia="楷体_GB2312"/>
          <w:sz w:val="28"/>
          <w:szCs w:val="28"/>
          <w:lang w:val="en-US" w:eastAsia="zh-CN"/>
        </w:rPr>
        <w:t>11</w:t>
      </w:r>
      <w:r>
        <w:rPr>
          <w:rFonts w:hint="eastAsia" w:eastAsia="楷体_GB2312"/>
          <w:sz w:val="28"/>
          <w:szCs w:val="28"/>
        </w:rPr>
        <w:t>月</w:t>
      </w:r>
    </w:p>
    <w:p w14:paraId="27030649">
      <w:pPr>
        <w:spacing w:line="400" w:lineRule="exact"/>
        <w:jc w:val="center"/>
        <w:rPr>
          <w:sz w:val="28"/>
          <w:szCs w:val="28"/>
        </w:rPr>
      </w:pPr>
    </w:p>
    <w:p w14:paraId="3A14EB9F">
      <w:pPr>
        <w:spacing w:line="400" w:lineRule="exact"/>
        <w:jc w:val="center"/>
      </w:pPr>
    </w:p>
    <w:p w14:paraId="4FA00914">
      <w:pPr>
        <w:spacing w:line="400" w:lineRule="exact"/>
        <w:jc w:val="center"/>
      </w:pPr>
    </w:p>
    <w:p w14:paraId="498927B2">
      <w:pPr>
        <w:spacing w:line="400" w:lineRule="exact"/>
        <w:jc w:val="center"/>
      </w:pPr>
    </w:p>
    <w:p w14:paraId="2DC4B2EE">
      <w:pPr>
        <w:spacing w:line="400" w:lineRule="exact"/>
        <w:jc w:val="center"/>
      </w:pPr>
    </w:p>
    <w:p w14:paraId="6E111113">
      <w:pPr>
        <w:spacing w:line="400" w:lineRule="exact"/>
        <w:jc w:val="center"/>
      </w:pPr>
    </w:p>
    <w:p w14:paraId="1FC90415">
      <w:pPr>
        <w:spacing w:line="400" w:lineRule="exact"/>
        <w:jc w:val="center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201×-×-×发布                                 201×-×-×实施</w:t>
      </w:r>
    </w:p>
    <w:p w14:paraId="7DAE6EF8">
      <w:pPr>
        <w:spacing w:line="400" w:lineRule="exact"/>
        <w:jc w:val="center"/>
      </w:pPr>
      <w:r>
        <mc:AlternateContent>
          <mc:Choice Requires="wps">
            <w:drawing>
              <wp:anchor distT="0" distB="0" distL="114300" distR="114300" simplePos="0" relativeHeight="251660288" behindDoc="0" locked="1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67310</wp:posOffset>
                </wp:positionV>
                <wp:extent cx="6067425" cy="635"/>
                <wp:effectExtent l="5715" t="12065" r="13335" b="6350"/>
                <wp:wrapNone/>
                <wp:docPr id="5" name="Lin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67425" cy="63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Line 5" o:spid="_x0000_s1026" o:spt="20" style="position:absolute;left:0pt;margin-left:0pt;margin-top:5.3pt;height:0.05pt;width:477.75pt;z-index:251660288;mso-width-relative:page;mso-height-relative:page;" filled="f" stroked="t" coordsize="21600,21600" o:gfxdata="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">
                <v:fill on="f" focussize="0,0"/>
                <v:stroke color="#000000" joinstyle="round"/>
                <v:imagedata o:title=""/>
                <o:lock v:ext="edit" aspectratio="f"/>
                <w10:anchorlock/>
              </v:line>
            </w:pict>
          </mc:Fallback>
        </mc:AlternateContent>
      </w:r>
    </w:p>
    <w:p w14:paraId="27E41C07">
      <w:pPr>
        <w:jc w:val="center"/>
        <w:rPr>
          <w:sz w:val="30"/>
          <w:szCs w:val="30"/>
        </w:rPr>
      </w:pPr>
      <w:r>
        <w:rPr>
          <w:rFonts w:ascii="宋体" w:hAnsi="宋体"/>
          <w:b/>
          <w:bCs/>
          <w:color w:val="000000"/>
          <w:spacing w:val="20"/>
          <w:w w:val="130"/>
          <w:sz w:val="36"/>
          <w:szCs w:val="36"/>
        </w:rPr>
        <w:t>国家市场监督管理总</w:t>
      </w:r>
      <w:r>
        <w:rPr>
          <w:rFonts w:ascii="宋体" w:hAnsi="宋体"/>
          <w:b/>
          <w:bCs/>
          <w:color w:val="000000"/>
          <w:spacing w:val="100"/>
          <w:w w:val="130"/>
          <w:sz w:val="36"/>
          <w:szCs w:val="36"/>
        </w:rPr>
        <w:t>局</w:t>
      </w:r>
      <w:r>
        <w:rPr>
          <w:b/>
          <w:bCs/>
          <w:sz w:val="36"/>
          <w:szCs w:val="36"/>
        </w:rPr>
        <w:t xml:space="preserve">  </w:t>
      </w:r>
      <w:r>
        <w:rPr>
          <w:rFonts w:eastAsia="黑体"/>
          <w:sz w:val="28"/>
          <w:szCs w:val="28"/>
        </w:rPr>
        <w:t>发 布</w:t>
      </w:r>
    </w:p>
    <w:p w14:paraId="7513FCCD">
      <w:pPr>
        <w:jc w:val="center"/>
      </w:pPr>
    </w:p>
    <w:p w14:paraId="1AD63086">
      <w:pPr>
        <w:jc w:val="center"/>
        <w:sectPr>
          <w:headerReference r:id="rId3" w:type="default"/>
          <w:footerReference r:id="rId4" w:type="default"/>
          <w:pgSz w:w="11906" w:h="16838"/>
          <w:pgMar w:top="1134" w:right="1134" w:bottom="1134" w:left="1134" w:header="624" w:footer="624" w:gutter="0"/>
          <w:pgNumType w:fmt="lowerRoman" w:start="1"/>
          <w:cols w:space="720" w:num="1"/>
          <w:docGrid w:linePitch="312" w:charSpace="0"/>
        </w:sectPr>
      </w:pPr>
    </w:p>
    <w:p w14:paraId="26103576">
      <w:pPr>
        <w:jc w:val="center"/>
      </w:pPr>
    </w:p>
    <w:tbl>
      <w:tblPr>
        <w:tblStyle w:val="17"/>
        <w:tblW w:w="0" w:type="auto"/>
        <w:tblInd w:w="318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17"/>
        <w:gridCol w:w="3536"/>
      </w:tblGrid>
      <w:tr w14:paraId="286BE9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9" w:hRule="atLeast"/>
        </w:trPr>
        <w:tc>
          <w:tcPr>
            <w:tcW w:w="5617" w:type="dxa"/>
            <w:vAlign w:val="center"/>
          </w:tcPr>
          <w:p w14:paraId="56DFACDC">
            <w:pPr>
              <w:jc w:val="center"/>
              <w:rPr>
                <w:rFonts w:eastAsia="黑体"/>
                <w:sz w:val="52"/>
                <w:szCs w:val="52"/>
              </w:rPr>
            </w:pPr>
            <w:r>
              <w:rPr>
                <w:rFonts w:eastAsia="黑体"/>
                <w:sz w:val="52"/>
                <w:szCs w:val="52"/>
              </w:rPr>
              <w:t>机器视觉低频振动</w:t>
            </w:r>
          </w:p>
          <w:p w14:paraId="5DF74837">
            <w:pPr>
              <w:jc w:val="center"/>
              <w:rPr>
                <w:rFonts w:eastAsia="黑体"/>
                <w:sz w:val="52"/>
                <w:szCs w:val="52"/>
              </w:rPr>
            </w:pPr>
            <w:r>
              <w:rPr>
                <w:rFonts w:eastAsia="黑体"/>
                <w:sz w:val="52"/>
                <w:szCs w:val="52"/>
              </w:rPr>
              <w:t>校准规范</w:t>
            </w:r>
          </w:p>
        </w:tc>
        <w:tc>
          <w:tcPr>
            <w:tcW w:w="3536" w:type="dxa"/>
            <w:vMerge w:val="restart"/>
            <w:vAlign w:val="center"/>
          </w:tcPr>
          <w:p w14:paraId="729A4D1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365125</wp:posOffset>
                      </wp:positionH>
                      <wp:positionV relativeFrom="paragraph">
                        <wp:posOffset>495300</wp:posOffset>
                      </wp:positionV>
                      <wp:extent cx="1379855" cy="494665"/>
                      <wp:effectExtent l="15240" t="15875" r="14605" b="22860"/>
                      <wp:wrapNone/>
                      <wp:docPr id="4" name="Text Box 1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79855" cy="4946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28575" cap="rnd">
                                <a:solidFill>
                                  <a:srgbClr val="000000"/>
                                </a:solidFill>
                                <a:prstDash val="sysDot"/>
                                <a:miter lim="800000"/>
                              </a:ln>
                            </wps:spPr>
                            <wps:txbx>
                              <w:txbxContent>
                                <w:p w14:paraId="1D55D06D">
                                  <w:pPr>
                                    <w:spacing w:before="120" w:beforeLines="50"/>
                                    <w:jc w:val="center"/>
                                    <w:rPr>
                                      <w:rFonts w:ascii="黑体" w:eastAsia="黑体"/>
                                    </w:rPr>
                                  </w:pPr>
                                  <w:r>
                                    <w:rPr>
                                      <w:rFonts w:hint="eastAsia" w:ascii="黑体" w:eastAsia="黑体"/>
                                      <w:b/>
                                      <w:sz w:val="28"/>
                                      <w:szCs w:val="28"/>
                                    </w:rPr>
                                    <w:t>JJF ××-××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 Box 128" o:spid="_x0000_s1026" o:spt="202" type="#_x0000_t202" style="position:absolute;left:0pt;margin-left:28.75pt;margin-top:39pt;height:38.95pt;width:108.65pt;z-index:251661312;mso-width-relative:page;mso-height-relative:page;" fillcolor="#FFFFFF" filled="t" stroked="t" coordsize="21600,21600" o:gfxdata="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">
                      <v:fill on="t" focussize="0,0"/>
                      <v:stroke weight="2.25pt" color="#000000" miterlimit="8" joinstyle="miter" dashstyle="1 1" endcap="round"/>
                      <v:imagedata o:title=""/>
                      <o:lock v:ext="edit" aspectratio="f"/>
                      <v:textbox>
                        <w:txbxContent>
                          <w:p w14:paraId="1D55D06D">
                            <w:pPr>
                              <w:spacing w:before="120" w:beforeLines="50"/>
                              <w:jc w:val="center"/>
                              <w:rPr>
                                <w:rFonts w:ascii="黑体" w:eastAsia="黑体"/>
                              </w:rPr>
                            </w:pPr>
                            <w:r>
                              <w:rPr>
                                <w:rFonts w:hint="eastAsia" w:ascii="黑体" w:eastAsia="黑体"/>
                                <w:b/>
                                <w:sz w:val="28"/>
                                <w:szCs w:val="28"/>
                              </w:rPr>
                              <w:t>JJF ××-××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b/>
                <w:sz w:val="28"/>
                <w:szCs w:val="28"/>
              </w:rPr>
              <mc:AlternateContent>
                <mc:Choice Requires="wpc">
                  <w:drawing>
                    <wp:inline distT="0" distB="0" distL="0" distR="0">
                      <wp:extent cx="1866900" cy="693420"/>
                      <wp:effectExtent l="0" t="0" r="1270" b="0"/>
                      <wp:docPr id="126" name="画布 12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Canvas">
                          <wpc:wpc>
                            <wpc:bg>
                              <a:noFill/>
                            </wpc:bg>
                            <wpc:whole>
                              <a:ln>
                                <a:noFill/>
                              </a:ln>
                            </wpc:whole>
                          </wpc:wpc>
                        </a:graphicData>
                      </a:graphic>
                    </wp:inline>
                  </w:drawing>
                </mc:Choice>
                <mc:Fallback>
                  <w:pict>
                    <v:group id="_x0000_s1026" o:spid="_x0000_s1026" o:spt="203" style="height:54.6pt;width:147pt;" coordsize="1866900,693420" editas="canvas" o:gfxdata="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">
                      <o:lock v:ext="edit" aspectratio="f"/>
                      <v:shape id="_x0000_s1026" o:spid="_x0000_s1026" style="position:absolute;left:0;top:0;height:693420;width:1866900;" filled="f" stroked="f" coordsize="21600,21600" o:gfxdata="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">
                        <v:fill on="f" focussize="0,0"/>
                        <v:stroke on="f"/>
                        <v:imagedata o:title=""/>
                        <o:lock v:ext="edit" aspectratio="t"/>
                      </v:shape>
                      <w10:wrap type="none"/>
                      <w10:anchorlock/>
                    </v:group>
                  </w:pict>
                </mc:Fallback>
              </mc:AlternateContent>
            </w:r>
          </w:p>
          <w:p w14:paraId="248BF612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14:paraId="01C3D5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5617" w:type="dxa"/>
            <w:vAlign w:val="center"/>
          </w:tcPr>
          <w:p w14:paraId="4EE8DE76">
            <w:pPr>
              <w:spacing w:line="400" w:lineRule="exact"/>
              <w:jc w:val="center"/>
              <w:rPr>
                <w:rFonts w:eastAsia="黑体"/>
                <w:sz w:val="28"/>
                <w:szCs w:val="28"/>
              </w:rPr>
            </w:pPr>
            <w:r>
              <w:rPr>
                <w:rFonts w:eastAsia="黑体"/>
                <w:sz w:val="28"/>
                <w:szCs w:val="28"/>
              </w:rPr>
              <w:t xml:space="preserve">Low-Frequency Vibration Calibration Specification by Machine Vision Systems </w:t>
            </w:r>
          </w:p>
        </w:tc>
        <w:tc>
          <w:tcPr>
            <w:tcW w:w="3536" w:type="dxa"/>
            <w:vMerge w:val="continue"/>
          </w:tcPr>
          <w:p w14:paraId="56AB3958"/>
        </w:tc>
      </w:tr>
    </w:tbl>
    <w:p w14:paraId="50D19676"/>
    <w:p w14:paraId="138609EF">
      <w: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121285</wp:posOffset>
                </wp:positionV>
                <wp:extent cx="6134100" cy="0"/>
                <wp:effectExtent l="15240" t="12700" r="13335" b="15875"/>
                <wp:wrapNone/>
                <wp:docPr id="1" name="Line 1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3410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Line 129" o:spid="_x0000_s1026" o:spt="20" style="position:absolute;left:0pt;margin-left:0pt;margin-top:9.55pt;height:0pt;width:483pt;z-index:251662336;mso-width-relative:page;mso-height-relative:page;" filled="f" stroked="t" coordsize="21600,21600" o:gfxdata="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">
                <v:fill on="f" focussize="0,0"/>
                <v:stroke weight="1.5pt" color="#000000" joinstyle="round"/>
                <v:imagedata o:title=""/>
                <o:lock v:ext="edit" aspectratio="f"/>
              </v:line>
            </w:pict>
          </mc:Fallback>
        </mc:AlternateContent>
      </w:r>
    </w:p>
    <w:p w14:paraId="1837D0DF">
      <w:pPr>
        <w:spacing w:line="400" w:lineRule="exact"/>
        <w:ind w:firstLine="560" w:firstLineChars="200"/>
        <w:rPr>
          <w:sz w:val="28"/>
          <w:szCs w:val="28"/>
        </w:rPr>
      </w:pPr>
    </w:p>
    <w:p w14:paraId="3054B395">
      <w:pPr>
        <w:spacing w:line="400" w:lineRule="exact"/>
        <w:rPr>
          <w:sz w:val="24"/>
          <w:szCs w:val="24"/>
        </w:rPr>
      </w:pPr>
    </w:p>
    <w:p w14:paraId="3C7A3A4A">
      <w:pPr>
        <w:spacing w:line="400" w:lineRule="exact"/>
        <w:rPr>
          <w:sz w:val="24"/>
          <w:szCs w:val="24"/>
        </w:rPr>
      </w:pPr>
    </w:p>
    <w:p w14:paraId="381AF696">
      <w:pPr>
        <w:spacing w:line="400" w:lineRule="exact"/>
        <w:rPr>
          <w:sz w:val="24"/>
          <w:szCs w:val="24"/>
        </w:rPr>
      </w:pPr>
    </w:p>
    <w:p w14:paraId="7D7299D4">
      <w:pPr>
        <w:spacing w:line="400" w:lineRule="exact"/>
        <w:rPr>
          <w:sz w:val="24"/>
          <w:szCs w:val="24"/>
        </w:rPr>
      </w:pPr>
    </w:p>
    <w:p w14:paraId="308442D7">
      <w:pPr>
        <w:spacing w:line="400" w:lineRule="exact"/>
        <w:rPr>
          <w:sz w:val="24"/>
          <w:szCs w:val="24"/>
        </w:rPr>
      </w:pPr>
    </w:p>
    <w:p w14:paraId="5D051070">
      <w:pPr>
        <w:spacing w:line="400" w:lineRule="exact"/>
        <w:rPr>
          <w:sz w:val="24"/>
          <w:szCs w:val="24"/>
        </w:rPr>
      </w:pPr>
    </w:p>
    <w:p w14:paraId="26548CD4">
      <w:pPr>
        <w:spacing w:line="400" w:lineRule="exact"/>
        <w:rPr>
          <w:sz w:val="24"/>
          <w:szCs w:val="24"/>
        </w:rPr>
      </w:pPr>
    </w:p>
    <w:p w14:paraId="14AB6953">
      <w:pPr>
        <w:spacing w:line="300" w:lineRule="auto"/>
        <w:rPr>
          <w:sz w:val="24"/>
          <w:szCs w:val="24"/>
        </w:rPr>
      </w:pPr>
      <w:r>
        <w:rPr>
          <w:sz w:val="24"/>
          <w:szCs w:val="24"/>
        </w:rPr>
        <w:t>　　　</w:t>
      </w:r>
      <w:r>
        <w:rPr>
          <w:rFonts w:eastAsia="黑体"/>
          <w:b/>
          <w:bCs/>
          <w:spacing w:val="90"/>
          <w:sz w:val="28"/>
          <w:szCs w:val="28"/>
        </w:rPr>
        <w:t>归口单</w:t>
      </w:r>
      <w:r>
        <w:rPr>
          <w:rFonts w:eastAsia="黑体"/>
          <w:b/>
          <w:bCs/>
          <w:sz w:val="28"/>
          <w:szCs w:val="28"/>
        </w:rPr>
        <w:t>位：</w:t>
      </w:r>
      <w:r>
        <w:rPr>
          <w:rFonts w:ascii="宋体" w:hAnsi="宋体"/>
          <w:bCs/>
          <w:color w:val="000000"/>
          <w:sz w:val="28"/>
        </w:rPr>
        <w:t>全国</w:t>
      </w:r>
      <w:r>
        <w:rPr>
          <w:rFonts w:hint="eastAsia" w:ascii="宋体" w:hAnsi="宋体"/>
          <w:bCs/>
          <w:color w:val="000000"/>
          <w:sz w:val="28"/>
        </w:rPr>
        <w:t>数字</w:t>
      </w:r>
      <w:r>
        <w:rPr>
          <w:rFonts w:ascii="宋体" w:hAnsi="宋体"/>
          <w:bCs/>
          <w:color w:val="000000"/>
          <w:sz w:val="28"/>
        </w:rPr>
        <w:t>计量技术委员会</w:t>
      </w:r>
    </w:p>
    <w:p w14:paraId="0EF4537F">
      <w:pPr>
        <w:spacing w:line="300" w:lineRule="auto"/>
        <w:rPr>
          <w:sz w:val="24"/>
          <w:szCs w:val="24"/>
        </w:rPr>
      </w:pPr>
    </w:p>
    <w:p w14:paraId="4E33E768">
      <w:pPr>
        <w:spacing w:line="300" w:lineRule="auto"/>
        <w:rPr>
          <w:rFonts w:eastAsia="黑体"/>
          <w:b w:val="0"/>
          <w:bCs/>
          <w:sz w:val="28"/>
          <w:szCs w:val="28"/>
        </w:rPr>
      </w:pPr>
      <w:r>
        <w:rPr>
          <w:color w:val="FF0000"/>
          <w:sz w:val="24"/>
          <w:szCs w:val="24"/>
        </w:rPr>
        <w:t>　　　</w:t>
      </w:r>
      <w:r>
        <w:rPr>
          <w:rFonts w:eastAsia="黑体"/>
          <w:b/>
          <w:bCs/>
          <w:sz w:val="28"/>
          <w:szCs w:val="28"/>
        </w:rPr>
        <w:t>主要起草单位：</w:t>
      </w:r>
      <w:r>
        <w:rPr>
          <w:rFonts w:eastAsia="黑体"/>
          <w:b w:val="0"/>
          <w:bCs/>
          <w:sz w:val="28"/>
          <w:szCs w:val="28"/>
        </w:rPr>
        <w:t>中国计量科学研究院</w:t>
      </w:r>
    </w:p>
    <w:p w14:paraId="5038E08F">
      <w:pPr>
        <w:spacing w:line="300" w:lineRule="auto"/>
        <w:ind w:left="0" w:firstLine="0" w:firstLineChars="0"/>
        <w:rPr>
          <w:rFonts w:hint="default" w:eastAsia="黑体"/>
          <w:b w:val="0"/>
          <w:bCs/>
          <w:sz w:val="28"/>
          <w:szCs w:val="28"/>
          <w:lang w:val="en-US" w:eastAsia="zh-CN"/>
        </w:rPr>
      </w:pPr>
      <w:r>
        <w:rPr>
          <w:rFonts w:hint="eastAsia" w:eastAsia="黑体"/>
          <w:b w:val="0"/>
          <w:bCs/>
          <w:sz w:val="28"/>
          <w:szCs w:val="28"/>
          <w:lang w:val="en-US" w:eastAsia="zh-CN"/>
        </w:rPr>
        <w:t xml:space="preserve">                   贵州大学</w:t>
      </w:r>
    </w:p>
    <w:p w14:paraId="38416A6E">
      <w:pPr>
        <w:spacing w:line="300" w:lineRule="auto"/>
        <w:rPr>
          <w:sz w:val="24"/>
          <w:szCs w:val="24"/>
        </w:rPr>
      </w:pPr>
    </w:p>
    <w:p w14:paraId="409CDC25">
      <w:pPr>
        <w:spacing w:line="300" w:lineRule="auto"/>
        <w:rPr>
          <w:sz w:val="24"/>
          <w:szCs w:val="24"/>
        </w:rPr>
      </w:pPr>
    </w:p>
    <w:p w14:paraId="5CB65DA4">
      <w:pPr>
        <w:spacing w:line="300" w:lineRule="auto"/>
        <w:rPr>
          <w:rFonts w:hint="eastAsia" w:eastAsia="黑体"/>
          <w:b w:val="0"/>
          <w:bCs w:val="0"/>
          <w:sz w:val="28"/>
          <w:szCs w:val="28"/>
        </w:rPr>
      </w:pPr>
      <w:r>
        <w:rPr>
          <w:sz w:val="24"/>
          <w:szCs w:val="24"/>
        </w:rPr>
        <w:t>　　　</w:t>
      </w:r>
      <w:r>
        <w:rPr>
          <w:rFonts w:eastAsia="黑体"/>
          <w:b/>
          <w:bCs/>
          <w:sz w:val="28"/>
          <w:szCs w:val="28"/>
        </w:rPr>
        <w:t>参加起草单位：</w:t>
      </w:r>
      <w:r>
        <w:rPr>
          <w:rFonts w:hint="eastAsia" w:eastAsia="黑体"/>
          <w:b w:val="0"/>
          <w:bCs w:val="0"/>
          <w:sz w:val="28"/>
          <w:szCs w:val="28"/>
        </w:rPr>
        <w:t>北京理工大学</w:t>
      </w:r>
    </w:p>
    <w:p w14:paraId="018744B2">
      <w:pPr>
        <w:spacing w:line="300" w:lineRule="auto"/>
        <w:rPr>
          <w:rFonts w:hint="eastAsia" w:eastAsia="黑体"/>
          <w:b w:val="0"/>
          <w:bCs w:val="0"/>
          <w:sz w:val="28"/>
          <w:szCs w:val="28"/>
          <w:lang w:val="en-US" w:eastAsia="zh-CN"/>
        </w:rPr>
      </w:pPr>
      <w:r>
        <w:rPr>
          <w:rFonts w:hint="eastAsia" w:eastAsia="黑体"/>
          <w:b w:val="0"/>
          <w:bCs w:val="0"/>
          <w:sz w:val="28"/>
          <w:szCs w:val="28"/>
          <w:lang w:val="en-US" w:eastAsia="zh-CN"/>
        </w:rPr>
        <w:t xml:space="preserve">                   中国航空工业集团北京长城计量测试技术研究所</w:t>
      </w:r>
    </w:p>
    <w:p w14:paraId="70916D31">
      <w:pPr>
        <w:spacing w:line="300" w:lineRule="auto"/>
        <w:rPr>
          <w:rFonts w:hint="default" w:eastAsia="黑体"/>
          <w:b w:val="0"/>
          <w:bCs w:val="0"/>
          <w:sz w:val="28"/>
          <w:szCs w:val="28"/>
          <w:lang w:val="en-US" w:eastAsia="zh-CN"/>
        </w:rPr>
      </w:pPr>
      <w:r>
        <w:rPr>
          <w:rFonts w:hint="eastAsia" w:eastAsia="黑体"/>
          <w:b w:val="0"/>
          <w:bCs w:val="0"/>
          <w:sz w:val="28"/>
          <w:szCs w:val="28"/>
          <w:lang w:val="en-US" w:eastAsia="zh-CN"/>
        </w:rPr>
        <w:t xml:space="preserve">                   中路高科交通检测检验认证有限公司 </w:t>
      </w:r>
    </w:p>
    <w:p w14:paraId="7E8B725C">
      <w:pPr>
        <w:spacing w:line="300" w:lineRule="auto"/>
        <w:ind w:firstLine="2660" w:firstLineChars="950"/>
        <w:rPr>
          <w:sz w:val="28"/>
          <w:szCs w:val="28"/>
        </w:rPr>
      </w:pPr>
    </w:p>
    <w:p w14:paraId="46AF3439">
      <w:pPr>
        <w:spacing w:line="300" w:lineRule="auto"/>
        <w:ind w:firstLine="2660" w:firstLineChars="950"/>
        <w:rPr>
          <w:sz w:val="28"/>
          <w:szCs w:val="28"/>
        </w:rPr>
      </w:pPr>
    </w:p>
    <w:p w14:paraId="4A7351D6">
      <w:pPr>
        <w:spacing w:line="400" w:lineRule="exact"/>
        <w:rPr>
          <w:sz w:val="28"/>
          <w:szCs w:val="28"/>
        </w:rPr>
      </w:pPr>
    </w:p>
    <w:p w14:paraId="4517647F">
      <w:pPr>
        <w:spacing w:line="400" w:lineRule="exact"/>
        <w:rPr>
          <w:sz w:val="28"/>
          <w:szCs w:val="28"/>
        </w:rPr>
      </w:pPr>
    </w:p>
    <w:p w14:paraId="2D77293D">
      <w:pPr>
        <w:spacing w:line="400" w:lineRule="exact"/>
        <w:rPr>
          <w:sz w:val="28"/>
          <w:szCs w:val="28"/>
        </w:rPr>
      </w:pPr>
    </w:p>
    <w:p w14:paraId="4F75DF7A">
      <w:pPr>
        <w:spacing w:line="400" w:lineRule="exact"/>
        <w:rPr>
          <w:sz w:val="24"/>
          <w:szCs w:val="24"/>
        </w:rPr>
      </w:pPr>
    </w:p>
    <w:p w14:paraId="780B2EBF">
      <w:pPr>
        <w:spacing w:line="400" w:lineRule="exact"/>
        <w:rPr>
          <w:sz w:val="24"/>
          <w:szCs w:val="24"/>
        </w:rPr>
      </w:pPr>
    </w:p>
    <w:p w14:paraId="600D5703">
      <w:pPr>
        <w:spacing w:line="400" w:lineRule="exact"/>
        <w:rPr>
          <w:sz w:val="24"/>
          <w:szCs w:val="24"/>
        </w:rPr>
      </w:pPr>
    </w:p>
    <w:p w14:paraId="7ACFF137">
      <w:pPr>
        <w:spacing w:line="400" w:lineRule="exact"/>
        <w:rPr>
          <w:sz w:val="24"/>
          <w:szCs w:val="24"/>
        </w:rPr>
      </w:pPr>
    </w:p>
    <w:p w14:paraId="1665D719">
      <w:pPr>
        <w:spacing w:line="400" w:lineRule="exact"/>
        <w:rPr>
          <w:sz w:val="24"/>
          <w:szCs w:val="24"/>
        </w:rPr>
      </w:pPr>
    </w:p>
    <w:p w14:paraId="5BF9A755">
      <w:pPr>
        <w:spacing w:line="400" w:lineRule="exact"/>
        <w:jc w:val="center"/>
        <w:rPr>
          <w:sz w:val="24"/>
          <w:szCs w:val="24"/>
        </w:rPr>
      </w:pPr>
      <w:r>
        <w:rPr>
          <w:sz w:val="28"/>
        </w:rPr>
        <w:t>本规范委托全国</w:t>
      </w:r>
      <w:r>
        <w:rPr>
          <w:rFonts w:hint="eastAsia"/>
          <w:sz w:val="28"/>
        </w:rPr>
        <w:t>数字计量</w:t>
      </w:r>
      <w:r>
        <w:rPr>
          <w:sz w:val="28"/>
        </w:rPr>
        <w:t>技术委员会负责</w:t>
      </w:r>
      <w:r>
        <w:rPr>
          <w:rFonts w:hint="eastAsia"/>
          <w:sz w:val="28"/>
        </w:rPr>
        <w:t>解释</w:t>
      </w:r>
    </w:p>
    <w:p w14:paraId="61968F8A">
      <w:pPr>
        <w:spacing w:line="300" w:lineRule="auto"/>
        <w:sectPr>
          <w:headerReference r:id="rId5" w:type="default"/>
          <w:footerReference r:id="rId7" w:type="default"/>
          <w:headerReference r:id="rId6" w:type="even"/>
          <w:footerReference r:id="rId8" w:type="even"/>
          <w:pgSz w:w="11906" w:h="16838"/>
          <w:pgMar w:top="1134" w:right="1134" w:bottom="1134" w:left="1134" w:header="624" w:footer="624" w:gutter="0"/>
          <w:pgNumType w:fmt="upperRoman" w:start="1"/>
          <w:cols w:space="720" w:num="1"/>
          <w:docGrid w:linePitch="312" w:charSpace="0"/>
        </w:sectPr>
      </w:pPr>
    </w:p>
    <w:p w14:paraId="1CC25F71">
      <w:pPr>
        <w:spacing w:line="300" w:lineRule="auto"/>
      </w:pPr>
    </w:p>
    <w:p w14:paraId="680D7D25">
      <w:pPr>
        <w:spacing w:line="300" w:lineRule="auto"/>
      </w:pPr>
    </w:p>
    <w:p w14:paraId="6886D060">
      <w:pPr>
        <w:spacing w:line="300" w:lineRule="auto"/>
      </w:pPr>
    </w:p>
    <w:p w14:paraId="16F4EE36">
      <w:pPr>
        <w:spacing w:line="300" w:lineRule="auto"/>
      </w:pPr>
    </w:p>
    <w:p w14:paraId="4D634058">
      <w:pPr>
        <w:spacing w:line="300" w:lineRule="auto"/>
      </w:pPr>
    </w:p>
    <w:p w14:paraId="73A848AE">
      <w:pPr>
        <w:spacing w:line="300" w:lineRule="auto"/>
        <w:ind w:firstLine="465"/>
        <w:rPr>
          <w:rFonts w:hint="eastAsia" w:eastAsia="黑体"/>
          <w:sz w:val="28"/>
          <w:szCs w:val="28"/>
        </w:rPr>
      </w:pPr>
      <w:r>
        <w:rPr>
          <w:rFonts w:eastAsia="黑体"/>
          <w:sz w:val="28"/>
          <w:szCs w:val="28"/>
        </w:rPr>
        <w:t>本规范主要起草人：</w:t>
      </w:r>
      <w:r>
        <w:rPr>
          <w:rFonts w:hint="eastAsia" w:eastAsia="黑体"/>
          <w:sz w:val="28"/>
          <w:szCs w:val="28"/>
        </w:rPr>
        <w:t>蔡晨光</w:t>
      </w:r>
    </w:p>
    <w:p w14:paraId="296281B3">
      <w:pPr>
        <w:spacing w:line="300" w:lineRule="auto"/>
        <w:ind w:firstLine="465"/>
        <w:rPr>
          <w:rFonts w:hint="eastAsia" w:eastAsia="黑体"/>
          <w:sz w:val="28"/>
          <w:szCs w:val="28"/>
          <w:lang w:val="en-US" w:eastAsia="zh-CN"/>
        </w:rPr>
      </w:pPr>
      <w:r>
        <w:rPr>
          <w:rFonts w:hint="eastAsia" w:eastAsia="黑体"/>
          <w:sz w:val="28"/>
          <w:szCs w:val="28"/>
          <w:lang w:val="en-US" w:eastAsia="zh-CN"/>
        </w:rPr>
        <w:t xml:space="preserve">                  崔伟群</w:t>
      </w:r>
    </w:p>
    <w:p w14:paraId="5C7698BE">
      <w:pPr>
        <w:spacing w:line="300" w:lineRule="auto"/>
        <w:ind w:firstLine="465"/>
        <w:rPr>
          <w:rFonts w:hint="default" w:eastAsia="黑体"/>
          <w:sz w:val="28"/>
          <w:szCs w:val="28"/>
          <w:lang w:val="en-US" w:eastAsia="zh-CN"/>
        </w:rPr>
      </w:pPr>
      <w:r>
        <w:rPr>
          <w:rFonts w:hint="eastAsia" w:eastAsia="黑体"/>
          <w:sz w:val="28"/>
          <w:szCs w:val="28"/>
          <w:lang w:val="en-US" w:eastAsia="zh-CN"/>
        </w:rPr>
        <w:t xml:space="preserve">                  杨  明</w:t>
      </w:r>
    </w:p>
    <w:p w14:paraId="56A4A50C">
      <w:pPr>
        <w:spacing w:line="300" w:lineRule="auto"/>
        <w:ind w:firstLine="465"/>
        <w:rPr>
          <w:rFonts w:eastAsia="黑体"/>
          <w:sz w:val="28"/>
          <w:szCs w:val="28"/>
        </w:rPr>
      </w:pPr>
      <w:r>
        <w:rPr>
          <w:rFonts w:eastAsia="黑体"/>
          <w:sz w:val="28"/>
          <w:szCs w:val="28"/>
        </w:rPr>
        <w:t xml:space="preserve">               </w:t>
      </w:r>
    </w:p>
    <w:p w14:paraId="055CB240">
      <w:pPr>
        <w:spacing w:line="300" w:lineRule="auto"/>
        <w:rPr>
          <w:rFonts w:hint="eastAsia" w:eastAsia="黑体"/>
          <w:sz w:val="28"/>
          <w:szCs w:val="28"/>
        </w:rPr>
      </w:pPr>
      <w:r>
        <w:rPr>
          <w:rFonts w:eastAsia="黑体"/>
          <w:sz w:val="28"/>
          <w:szCs w:val="28"/>
        </w:rPr>
        <w:t xml:space="preserve">        参加起草人： </w:t>
      </w:r>
      <w:r>
        <w:rPr>
          <w:rFonts w:hint="eastAsia" w:eastAsia="黑体"/>
          <w:sz w:val="28"/>
          <w:szCs w:val="28"/>
        </w:rPr>
        <w:t>徐英莹</w:t>
      </w:r>
    </w:p>
    <w:p w14:paraId="3B3AFC3B">
      <w:pPr>
        <w:spacing w:line="300" w:lineRule="auto"/>
        <w:rPr>
          <w:rFonts w:hint="eastAsia" w:eastAsia="黑体"/>
          <w:sz w:val="28"/>
          <w:szCs w:val="28"/>
          <w:lang w:val="en-US" w:eastAsia="zh-CN"/>
        </w:rPr>
      </w:pPr>
      <w:r>
        <w:rPr>
          <w:rFonts w:hint="eastAsia" w:eastAsia="黑体"/>
          <w:sz w:val="28"/>
          <w:szCs w:val="28"/>
          <w:lang w:val="en-US" w:eastAsia="zh-CN"/>
        </w:rPr>
        <w:t xml:space="preserve">                     郑德智</w:t>
      </w:r>
    </w:p>
    <w:p w14:paraId="59FCB4A6">
      <w:pPr>
        <w:spacing w:line="300" w:lineRule="auto"/>
        <w:rPr>
          <w:rFonts w:hint="eastAsia" w:eastAsia="黑体"/>
          <w:sz w:val="28"/>
          <w:szCs w:val="28"/>
          <w:lang w:val="en-US" w:eastAsia="zh-CN"/>
        </w:rPr>
      </w:pPr>
      <w:r>
        <w:rPr>
          <w:rFonts w:hint="eastAsia" w:eastAsia="黑体"/>
          <w:sz w:val="28"/>
          <w:szCs w:val="28"/>
          <w:lang w:val="en-US" w:eastAsia="zh-CN"/>
        </w:rPr>
        <w:t xml:space="preserve">                     王亭亭</w:t>
      </w:r>
    </w:p>
    <w:p w14:paraId="502F0283">
      <w:pPr>
        <w:spacing w:line="300" w:lineRule="auto"/>
        <w:rPr>
          <w:rFonts w:eastAsia="黑体"/>
          <w:sz w:val="28"/>
          <w:szCs w:val="28"/>
        </w:rPr>
      </w:pPr>
      <w:r>
        <w:rPr>
          <w:rFonts w:hint="eastAsia" w:eastAsia="黑体"/>
          <w:sz w:val="28"/>
          <w:szCs w:val="28"/>
          <w:lang w:val="en-US" w:eastAsia="zh-CN"/>
        </w:rPr>
        <w:t xml:space="preserve">                     宿  健</w:t>
      </w:r>
      <w:r>
        <w:rPr>
          <w:rFonts w:eastAsia="黑体"/>
          <w:sz w:val="28"/>
          <w:szCs w:val="28"/>
        </w:rPr>
        <w:t xml:space="preserve">                   </w:t>
      </w:r>
    </w:p>
    <w:p w14:paraId="36803D72">
      <w:pPr>
        <w:spacing w:line="300" w:lineRule="auto"/>
        <w:rPr>
          <w:rFonts w:eastAsia="黑体"/>
          <w:sz w:val="28"/>
          <w:szCs w:val="28"/>
        </w:rPr>
      </w:pPr>
    </w:p>
    <w:p w14:paraId="70C220CB">
      <w:pPr>
        <w:spacing w:line="300" w:lineRule="auto"/>
        <w:rPr>
          <w:rFonts w:eastAsia="黑体"/>
          <w:sz w:val="28"/>
          <w:szCs w:val="28"/>
        </w:rPr>
      </w:pPr>
    </w:p>
    <w:p w14:paraId="6270F88A">
      <w:pPr>
        <w:spacing w:line="300" w:lineRule="auto"/>
        <w:rPr>
          <w:rFonts w:eastAsia="黑体"/>
          <w:sz w:val="28"/>
          <w:szCs w:val="28"/>
        </w:rPr>
      </w:pPr>
    </w:p>
    <w:p w14:paraId="22FBBC72">
      <w:pPr>
        <w:spacing w:line="300" w:lineRule="auto"/>
        <w:rPr>
          <w:rFonts w:eastAsia="黑体"/>
          <w:sz w:val="28"/>
          <w:szCs w:val="28"/>
        </w:rPr>
      </w:pPr>
    </w:p>
    <w:p w14:paraId="2E7933FD">
      <w:pPr>
        <w:spacing w:line="300" w:lineRule="auto"/>
        <w:rPr>
          <w:rFonts w:eastAsia="黑体"/>
          <w:sz w:val="28"/>
          <w:szCs w:val="28"/>
        </w:rPr>
      </w:pPr>
    </w:p>
    <w:p w14:paraId="7ACC2AD4">
      <w:pPr>
        <w:spacing w:line="300" w:lineRule="auto"/>
        <w:rPr>
          <w:sz w:val="28"/>
          <w:szCs w:val="28"/>
        </w:rPr>
      </w:pPr>
    </w:p>
    <w:p w14:paraId="0593F085">
      <w:pPr>
        <w:spacing w:line="300" w:lineRule="auto"/>
        <w:rPr>
          <w:sz w:val="28"/>
          <w:szCs w:val="28"/>
        </w:rPr>
      </w:pPr>
      <w:r>
        <w:rPr>
          <w:sz w:val="28"/>
          <w:szCs w:val="28"/>
        </w:rPr>
        <w:t>　　　　　</w:t>
      </w:r>
    </w:p>
    <w:p w14:paraId="177EC834">
      <w:pPr>
        <w:spacing w:line="300" w:lineRule="auto"/>
        <w:rPr>
          <w:sz w:val="28"/>
          <w:szCs w:val="28"/>
        </w:rPr>
      </w:pPr>
    </w:p>
    <w:p w14:paraId="75D33AF8">
      <w:pPr>
        <w:spacing w:line="300" w:lineRule="auto"/>
        <w:rPr>
          <w:sz w:val="28"/>
          <w:szCs w:val="28"/>
        </w:rPr>
      </w:pPr>
    </w:p>
    <w:p w14:paraId="438A3241">
      <w:pPr>
        <w:spacing w:line="300" w:lineRule="auto"/>
        <w:rPr>
          <w:sz w:val="28"/>
          <w:szCs w:val="28"/>
        </w:rPr>
      </w:pPr>
    </w:p>
    <w:p w14:paraId="27B6D2B0">
      <w:pPr>
        <w:spacing w:line="300" w:lineRule="auto"/>
        <w:rPr>
          <w:sz w:val="28"/>
          <w:szCs w:val="28"/>
        </w:rPr>
      </w:pPr>
    </w:p>
    <w:p w14:paraId="2BBD7312">
      <w:pPr>
        <w:spacing w:line="300" w:lineRule="auto"/>
        <w:rPr>
          <w:sz w:val="28"/>
          <w:szCs w:val="28"/>
        </w:rPr>
      </w:pPr>
    </w:p>
    <w:p w14:paraId="1DF437CF">
      <w:pPr>
        <w:spacing w:line="300" w:lineRule="auto"/>
        <w:rPr>
          <w:sz w:val="28"/>
          <w:szCs w:val="28"/>
        </w:rPr>
      </w:pPr>
    </w:p>
    <w:p w14:paraId="0FC2D01A">
      <w:pPr>
        <w:spacing w:line="300" w:lineRule="auto"/>
        <w:rPr>
          <w:sz w:val="28"/>
          <w:szCs w:val="28"/>
        </w:rPr>
      </w:pPr>
    </w:p>
    <w:p w14:paraId="3FB6343C">
      <w:pPr>
        <w:spacing w:line="300" w:lineRule="auto"/>
        <w:rPr>
          <w:sz w:val="28"/>
          <w:szCs w:val="28"/>
        </w:rPr>
      </w:pPr>
    </w:p>
    <w:p w14:paraId="4BFEC3E1">
      <w:pPr>
        <w:spacing w:line="300" w:lineRule="auto"/>
        <w:rPr>
          <w:sz w:val="28"/>
          <w:szCs w:val="28"/>
        </w:rPr>
      </w:pPr>
    </w:p>
    <w:p w14:paraId="07AD5FAA">
      <w:pPr>
        <w:spacing w:line="300" w:lineRule="auto"/>
        <w:rPr>
          <w:sz w:val="28"/>
          <w:szCs w:val="28"/>
        </w:rPr>
      </w:pPr>
    </w:p>
    <w:p w14:paraId="213BB6D4">
      <w:pPr>
        <w:spacing w:line="300" w:lineRule="auto"/>
        <w:rPr>
          <w:sz w:val="28"/>
          <w:szCs w:val="28"/>
        </w:rPr>
      </w:pPr>
    </w:p>
    <w:p w14:paraId="0AE1B417">
      <w:pPr>
        <w:spacing w:line="300" w:lineRule="auto"/>
        <w:rPr>
          <w:sz w:val="28"/>
          <w:szCs w:val="28"/>
        </w:rPr>
      </w:pPr>
    </w:p>
    <w:p w14:paraId="0FC69E5D">
      <w:pPr>
        <w:spacing w:line="300" w:lineRule="auto"/>
        <w:rPr>
          <w:sz w:val="28"/>
          <w:szCs w:val="28"/>
        </w:rPr>
      </w:pPr>
    </w:p>
    <w:p w14:paraId="51B61E9D">
      <w:pPr>
        <w:spacing w:line="300" w:lineRule="auto"/>
        <w:rPr>
          <w:sz w:val="28"/>
          <w:szCs w:val="28"/>
        </w:rPr>
      </w:pPr>
    </w:p>
    <w:p w14:paraId="52C15C27">
      <w:pPr>
        <w:spacing w:line="300" w:lineRule="auto"/>
        <w:rPr>
          <w:sz w:val="28"/>
          <w:szCs w:val="28"/>
        </w:rPr>
      </w:pPr>
    </w:p>
    <w:p w14:paraId="5EF92C51">
      <w:pPr>
        <w:spacing w:line="300" w:lineRule="auto"/>
        <w:rPr>
          <w:sz w:val="28"/>
          <w:szCs w:val="28"/>
        </w:rPr>
        <w:sectPr>
          <w:footerReference r:id="rId9" w:type="default"/>
          <w:footerReference r:id="rId10" w:type="even"/>
          <w:pgSz w:w="11906" w:h="16838"/>
          <w:pgMar w:top="1134" w:right="1134" w:bottom="1134" w:left="1134" w:header="624" w:footer="624" w:gutter="0"/>
          <w:pgNumType w:fmt="upperRoman" w:start="1"/>
          <w:cols w:space="720" w:num="1"/>
          <w:docGrid w:linePitch="312" w:charSpace="0"/>
        </w:sectPr>
      </w:pPr>
    </w:p>
    <w:p w14:paraId="665CC4C5">
      <w:pPr>
        <w:spacing w:line="300" w:lineRule="auto"/>
        <w:rPr>
          <w:sz w:val="28"/>
          <w:szCs w:val="28"/>
        </w:rPr>
      </w:pPr>
    </w:p>
    <w:p w14:paraId="18260BB3">
      <w:pPr>
        <w:jc w:val="center"/>
        <w:rPr>
          <w:rFonts w:eastAsia="黑体"/>
          <w:b/>
          <w:sz w:val="44"/>
          <w:szCs w:val="44"/>
        </w:rPr>
      </w:pPr>
      <w:r>
        <w:rPr>
          <w:rFonts w:eastAsia="黑体"/>
          <w:b/>
          <w:sz w:val="44"/>
          <w:szCs w:val="44"/>
        </w:rPr>
        <w:t>目  录</w:t>
      </w:r>
    </w:p>
    <w:p w14:paraId="069B9791">
      <w:pPr>
        <w:jc w:val="left"/>
        <w:rPr>
          <w:sz w:val="40"/>
        </w:rPr>
      </w:pPr>
    </w:p>
    <w:p w14:paraId="7E062B3E">
      <w:pPr>
        <w:pStyle w:val="14"/>
        <w:tabs>
          <w:tab w:val="right" w:leader="dot" w:pos="9638"/>
        </w:tabs>
      </w:pPr>
      <w:r>
        <w:rPr>
          <w:rFonts w:eastAsia="简宋"/>
        </w:rPr>
        <w:fldChar w:fldCharType="begin"/>
      </w:r>
      <w:r>
        <w:rPr>
          <w:rFonts w:eastAsia="简宋"/>
        </w:rPr>
        <w:instrText xml:space="preserve"> TOC \o "1-2" \h \z \u </w:instrText>
      </w:r>
      <w:r>
        <w:rPr>
          <w:rFonts w:eastAsia="简宋"/>
        </w:rPr>
        <w:fldChar w:fldCharType="separate"/>
      </w:r>
      <w:r>
        <w:rPr>
          <w:rFonts w:eastAsia="简宋"/>
        </w:rPr>
        <w:fldChar w:fldCharType="begin"/>
      </w:r>
      <w:r>
        <w:rPr>
          <w:rFonts w:eastAsia="简宋"/>
        </w:rPr>
        <w:instrText xml:space="preserve"> HYPERLINK \l _Toc27780 </w:instrText>
      </w:r>
      <w:r>
        <w:rPr>
          <w:rFonts w:eastAsia="简宋"/>
        </w:rPr>
        <w:fldChar w:fldCharType="separate"/>
      </w:r>
      <w:r>
        <w:rPr>
          <w:rFonts w:eastAsia="黑体"/>
          <w:spacing w:val="20"/>
          <w:szCs w:val="44"/>
        </w:rPr>
        <w:t>引  言</w:t>
      </w:r>
      <w:r>
        <w:tab/>
      </w:r>
      <w:r>
        <w:fldChar w:fldCharType="begin"/>
      </w:r>
      <w:r>
        <w:instrText xml:space="preserve"> PAGEREF _Toc27780 \h </w:instrText>
      </w:r>
      <w:r>
        <w:fldChar w:fldCharType="separate"/>
      </w:r>
      <w:r>
        <w:t>II</w:t>
      </w:r>
      <w:r>
        <w:fldChar w:fldCharType="end"/>
      </w:r>
      <w:r>
        <w:rPr>
          <w:rFonts w:eastAsia="简宋"/>
        </w:rPr>
        <w:fldChar w:fldCharType="end"/>
      </w:r>
    </w:p>
    <w:p w14:paraId="048D9682">
      <w:pPr>
        <w:pStyle w:val="14"/>
        <w:tabs>
          <w:tab w:val="right" w:leader="dot" w:pos="9638"/>
        </w:tabs>
      </w:pPr>
      <w:r>
        <w:rPr>
          <w:rFonts w:eastAsia="简宋"/>
        </w:rPr>
        <w:fldChar w:fldCharType="begin"/>
      </w:r>
      <w:r>
        <w:rPr>
          <w:rFonts w:eastAsia="简宋"/>
        </w:rPr>
        <w:instrText xml:space="preserve"> HYPERLINK \l _Toc30038 </w:instrText>
      </w:r>
      <w:r>
        <w:rPr>
          <w:rFonts w:eastAsia="简宋"/>
        </w:rPr>
        <w:fldChar w:fldCharType="separate"/>
      </w:r>
      <w:r>
        <w:rPr>
          <w:rFonts w:hint="eastAsia" w:ascii="黑体" w:hAnsi="Times New Roman" w:eastAsia="黑体"/>
          <w:bCs w:val="0"/>
          <w:szCs w:val="24"/>
        </w:rPr>
        <w:t xml:space="preserve">1 </w:t>
      </w:r>
      <w:r>
        <w:rPr>
          <w:rFonts w:eastAsia="黑体"/>
          <w:bCs w:val="0"/>
          <w:szCs w:val="24"/>
        </w:rPr>
        <w:t>范围</w:t>
      </w:r>
      <w:r>
        <w:tab/>
      </w:r>
      <w:r>
        <w:fldChar w:fldCharType="begin"/>
      </w:r>
      <w:r>
        <w:instrText xml:space="preserve"> PAGEREF _Toc30038 \h </w:instrText>
      </w:r>
      <w:r>
        <w:fldChar w:fldCharType="separate"/>
      </w:r>
      <w:r>
        <w:t>1</w:t>
      </w:r>
      <w:r>
        <w:fldChar w:fldCharType="end"/>
      </w:r>
      <w:r>
        <w:rPr>
          <w:rFonts w:eastAsia="简宋"/>
        </w:rPr>
        <w:fldChar w:fldCharType="end"/>
      </w:r>
    </w:p>
    <w:p w14:paraId="164C29A5">
      <w:pPr>
        <w:pStyle w:val="14"/>
        <w:tabs>
          <w:tab w:val="right" w:leader="dot" w:pos="9638"/>
        </w:tabs>
      </w:pPr>
      <w:r>
        <w:rPr>
          <w:rFonts w:eastAsia="简宋"/>
        </w:rPr>
        <w:fldChar w:fldCharType="begin"/>
      </w:r>
      <w:r>
        <w:rPr>
          <w:rFonts w:eastAsia="简宋"/>
        </w:rPr>
        <w:instrText xml:space="preserve"> HYPERLINK \l _Toc31684 </w:instrText>
      </w:r>
      <w:r>
        <w:rPr>
          <w:rFonts w:eastAsia="简宋"/>
        </w:rPr>
        <w:fldChar w:fldCharType="separate"/>
      </w:r>
      <w:r>
        <w:rPr>
          <w:rFonts w:hint="eastAsia" w:ascii="黑体" w:hAnsi="Times New Roman" w:eastAsia="黑体"/>
          <w:bCs w:val="0"/>
          <w:szCs w:val="24"/>
        </w:rPr>
        <w:t xml:space="preserve">2 </w:t>
      </w:r>
      <w:r>
        <w:rPr>
          <w:rFonts w:eastAsia="黑体"/>
          <w:bCs w:val="0"/>
          <w:szCs w:val="24"/>
        </w:rPr>
        <w:t>引用文件</w:t>
      </w:r>
      <w:r>
        <w:tab/>
      </w:r>
      <w:r>
        <w:fldChar w:fldCharType="begin"/>
      </w:r>
      <w:r>
        <w:instrText xml:space="preserve"> PAGEREF _Toc31684 \h </w:instrText>
      </w:r>
      <w:r>
        <w:fldChar w:fldCharType="separate"/>
      </w:r>
      <w:r>
        <w:t>1</w:t>
      </w:r>
      <w:r>
        <w:fldChar w:fldCharType="end"/>
      </w:r>
      <w:r>
        <w:rPr>
          <w:rFonts w:eastAsia="简宋"/>
        </w:rPr>
        <w:fldChar w:fldCharType="end"/>
      </w:r>
    </w:p>
    <w:p w14:paraId="0FCADD2D">
      <w:pPr>
        <w:pStyle w:val="14"/>
        <w:tabs>
          <w:tab w:val="right" w:leader="dot" w:pos="9638"/>
        </w:tabs>
      </w:pPr>
      <w:r>
        <w:rPr>
          <w:rFonts w:eastAsia="简宋"/>
        </w:rPr>
        <w:fldChar w:fldCharType="begin"/>
      </w:r>
      <w:r>
        <w:rPr>
          <w:rFonts w:eastAsia="简宋"/>
        </w:rPr>
        <w:instrText xml:space="preserve"> HYPERLINK \l _Toc14968 </w:instrText>
      </w:r>
      <w:r>
        <w:rPr>
          <w:rFonts w:eastAsia="简宋"/>
        </w:rPr>
        <w:fldChar w:fldCharType="separate"/>
      </w:r>
      <w:r>
        <w:rPr>
          <w:rFonts w:hint="eastAsia" w:ascii="黑体" w:hAnsi="Times New Roman" w:eastAsia="黑体"/>
          <w:bCs w:val="0"/>
          <w:szCs w:val="24"/>
        </w:rPr>
        <w:t xml:space="preserve">3 </w:t>
      </w:r>
      <w:r>
        <w:rPr>
          <w:rFonts w:eastAsia="黑体"/>
          <w:bCs w:val="0"/>
          <w:szCs w:val="24"/>
        </w:rPr>
        <w:t>术语</w:t>
      </w:r>
      <w:r>
        <w:tab/>
      </w:r>
      <w:r>
        <w:fldChar w:fldCharType="begin"/>
      </w:r>
      <w:r>
        <w:instrText xml:space="preserve"> PAGEREF _Toc14968 \h </w:instrText>
      </w:r>
      <w:r>
        <w:fldChar w:fldCharType="separate"/>
      </w:r>
      <w:r>
        <w:t>1</w:t>
      </w:r>
      <w:r>
        <w:fldChar w:fldCharType="end"/>
      </w:r>
      <w:r>
        <w:rPr>
          <w:rFonts w:eastAsia="简宋"/>
        </w:rPr>
        <w:fldChar w:fldCharType="end"/>
      </w:r>
    </w:p>
    <w:p w14:paraId="6BF50DFA">
      <w:pPr>
        <w:pStyle w:val="15"/>
        <w:tabs>
          <w:tab w:val="right" w:leader="dot" w:pos="9638"/>
        </w:tabs>
      </w:pPr>
      <w:r>
        <w:rPr>
          <w:rFonts w:eastAsia="简宋"/>
        </w:rPr>
        <w:fldChar w:fldCharType="begin"/>
      </w:r>
      <w:r>
        <w:rPr>
          <w:rFonts w:eastAsia="简宋"/>
        </w:rPr>
        <w:instrText xml:space="preserve"> HYPERLINK \l _Toc10830 </w:instrText>
      </w:r>
      <w:r>
        <w:rPr>
          <w:rFonts w:eastAsia="简宋"/>
        </w:rPr>
        <w:fldChar w:fldCharType="separate"/>
      </w:r>
      <w:r>
        <w:rPr>
          <w:rFonts w:hint="eastAsia" w:ascii="宋体" w:hAnsi="宋体" w:cs="宋体"/>
          <w:bCs w:val="0"/>
          <w:szCs w:val="24"/>
        </w:rPr>
        <w:t xml:space="preserve">3.1 </w:t>
      </w:r>
      <w:r>
        <w:rPr>
          <w:rFonts w:hint="default" w:ascii="Times New Roman" w:hAnsi="Times New Roman" w:cs="Times New Roman"/>
          <w:bCs w:val="0"/>
          <w:szCs w:val="24"/>
        </w:rPr>
        <w:t>振动参考视频</w:t>
      </w:r>
      <w:r>
        <w:tab/>
      </w:r>
      <w:r>
        <w:fldChar w:fldCharType="begin"/>
      </w:r>
      <w:r>
        <w:instrText xml:space="preserve"> PAGEREF _Toc10830 \h </w:instrText>
      </w:r>
      <w:r>
        <w:fldChar w:fldCharType="separate"/>
      </w:r>
      <w:r>
        <w:t>1</w:t>
      </w:r>
      <w:r>
        <w:fldChar w:fldCharType="end"/>
      </w:r>
      <w:r>
        <w:rPr>
          <w:rFonts w:eastAsia="简宋"/>
        </w:rPr>
        <w:fldChar w:fldCharType="end"/>
      </w:r>
    </w:p>
    <w:p w14:paraId="34872CA7">
      <w:pPr>
        <w:pStyle w:val="15"/>
        <w:tabs>
          <w:tab w:val="right" w:leader="dot" w:pos="9638"/>
        </w:tabs>
      </w:pPr>
      <w:r>
        <w:rPr>
          <w:rFonts w:eastAsia="简宋"/>
        </w:rPr>
        <w:fldChar w:fldCharType="begin"/>
      </w:r>
      <w:r>
        <w:rPr>
          <w:rFonts w:eastAsia="简宋"/>
        </w:rPr>
        <w:instrText xml:space="preserve"> HYPERLINK \l _Toc12587 </w:instrText>
      </w:r>
      <w:r>
        <w:rPr>
          <w:rFonts w:eastAsia="简宋"/>
        </w:rPr>
        <w:fldChar w:fldCharType="separate"/>
      </w:r>
      <w:r>
        <w:rPr>
          <w:rFonts w:hint="default" w:ascii="Times New Roman" w:hAnsi="Times New Roman" w:cs="Times New Roman"/>
          <w:bCs w:val="0"/>
          <w:szCs w:val="24"/>
        </w:rPr>
        <w:t>3.2 振动参考视频库</w:t>
      </w:r>
      <w:r>
        <w:tab/>
      </w:r>
      <w:r>
        <w:fldChar w:fldCharType="begin"/>
      </w:r>
      <w:r>
        <w:instrText xml:space="preserve"> PAGEREF _Toc12587 \h </w:instrText>
      </w:r>
      <w:r>
        <w:fldChar w:fldCharType="separate"/>
      </w:r>
      <w:r>
        <w:t>1</w:t>
      </w:r>
      <w:r>
        <w:fldChar w:fldCharType="end"/>
      </w:r>
      <w:r>
        <w:rPr>
          <w:rFonts w:eastAsia="简宋"/>
        </w:rPr>
        <w:fldChar w:fldCharType="end"/>
      </w:r>
    </w:p>
    <w:p w14:paraId="1AB6FA0E">
      <w:pPr>
        <w:pStyle w:val="15"/>
        <w:tabs>
          <w:tab w:val="right" w:leader="dot" w:pos="9638"/>
        </w:tabs>
      </w:pPr>
      <w:r>
        <w:rPr>
          <w:rFonts w:eastAsia="简宋"/>
        </w:rPr>
        <w:fldChar w:fldCharType="begin"/>
      </w:r>
      <w:r>
        <w:rPr>
          <w:rFonts w:eastAsia="简宋"/>
        </w:rPr>
        <w:instrText xml:space="preserve"> HYPERLINK \l _Toc7768 </w:instrText>
      </w:r>
      <w:r>
        <w:rPr>
          <w:rFonts w:eastAsia="简宋"/>
        </w:rPr>
        <w:fldChar w:fldCharType="separate"/>
      </w:r>
      <w:r>
        <w:rPr>
          <w:rFonts w:hint="default" w:ascii="Times New Roman" w:hAnsi="Times New Roman" w:cs="Times New Roman"/>
          <w:bCs w:val="0"/>
          <w:szCs w:val="24"/>
        </w:rPr>
        <w:t>3.3 低频振动标准显示器</w:t>
      </w:r>
      <w:r>
        <w:tab/>
      </w:r>
      <w:r>
        <w:fldChar w:fldCharType="begin"/>
      </w:r>
      <w:r>
        <w:instrText xml:space="preserve"> PAGEREF _Toc7768 \h </w:instrText>
      </w:r>
      <w:r>
        <w:fldChar w:fldCharType="separate"/>
      </w:r>
      <w:r>
        <w:t>1</w:t>
      </w:r>
      <w:r>
        <w:fldChar w:fldCharType="end"/>
      </w:r>
      <w:r>
        <w:rPr>
          <w:rFonts w:eastAsia="简宋"/>
        </w:rPr>
        <w:fldChar w:fldCharType="end"/>
      </w:r>
    </w:p>
    <w:p w14:paraId="01DA0738">
      <w:pPr>
        <w:pStyle w:val="15"/>
        <w:tabs>
          <w:tab w:val="right" w:leader="dot" w:pos="9638"/>
        </w:tabs>
      </w:pPr>
      <w:r>
        <w:rPr>
          <w:rFonts w:eastAsia="简宋"/>
        </w:rPr>
        <w:fldChar w:fldCharType="begin"/>
      </w:r>
      <w:r>
        <w:rPr>
          <w:rFonts w:eastAsia="简宋"/>
        </w:rPr>
        <w:instrText xml:space="preserve"> HYPERLINK \l _Toc21865 </w:instrText>
      </w:r>
      <w:r>
        <w:rPr>
          <w:rFonts w:eastAsia="简宋"/>
        </w:rPr>
        <w:fldChar w:fldCharType="separate"/>
      </w:r>
      <w:r>
        <w:rPr>
          <w:rFonts w:hint="default" w:ascii="Times New Roman" w:hAnsi="Times New Roman" w:cs="Times New Roman"/>
          <w:bCs w:val="0"/>
          <w:szCs w:val="24"/>
        </w:rPr>
        <w:t>3.4 机器视觉时空同步测量方法</w:t>
      </w:r>
      <w:r>
        <w:tab/>
      </w:r>
      <w:r>
        <w:fldChar w:fldCharType="begin"/>
      </w:r>
      <w:r>
        <w:instrText xml:space="preserve"> PAGEREF _Toc21865 \h </w:instrText>
      </w:r>
      <w:r>
        <w:fldChar w:fldCharType="separate"/>
      </w:r>
      <w:r>
        <w:t>1</w:t>
      </w:r>
      <w:r>
        <w:fldChar w:fldCharType="end"/>
      </w:r>
      <w:r>
        <w:rPr>
          <w:rFonts w:eastAsia="简宋"/>
        </w:rPr>
        <w:fldChar w:fldCharType="end"/>
      </w:r>
    </w:p>
    <w:p w14:paraId="4F12D02F">
      <w:pPr>
        <w:pStyle w:val="14"/>
        <w:tabs>
          <w:tab w:val="right" w:leader="dot" w:pos="9638"/>
        </w:tabs>
      </w:pPr>
      <w:r>
        <w:rPr>
          <w:rFonts w:eastAsia="简宋"/>
        </w:rPr>
        <w:fldChar w:fldCharType="begin"/>
      </w:r>
      <w:r>
        <w:rPr>
          <w:rFonts w:eastAsia="简宋"/>
        </w:rPr>
        <w:instrText xml:space="preserve"> HYPERLINK \l _Toc3453 </w:instrText>
      </w:r>
      <w:r>
        <w:rPr>
          <w:rFonts w:eastAsia="简宋"/>
        </w:rPr>
        <w:fldChar w:fldCharType="separate"/>
      </w:r>
      <w:r>
        <w:rPr>
          <w:rFonts w:hint="eastAsia" w:ascii="黑体" w:hAnsi="Times New Roman" w:eastAsia="黑体"/>
          <w:bCs w:val="0"/>
          <w:szCs w:val="24"/>
        </w:rPr>
        <w:t xml:space="preserve">4 </w:t>
      </w:r>
      <w:r>
        <w:rPr>
          <w:rFonts w:eastAsia="黑体"/>
          <w:bCs w:val="0"/>
          <w:szCs w:val="24"/>
        </w:rPr>
        <w:t>概述</w:t>
      </w:r>
      <w:r>
        <w:tab/>
      </w:r>
      <w:r>
        <w:fldChar w:fldCharType="begin"/>
      </w:r>
      <w:r>
        <w:instrText xml:space="preserve"> PAGEREF _Toc3453 \h </w:instrText>
      </w:r>
      <w:r>
        <w:fldChar w:fldCharType="separate"/>
      </w:r>
      <w:r>
        <w:t>1</w:t>
      </w:r>
      <w:r>
        <w:fldChar w:fldCharType="end"/>
      </w:r>
      <w:r>
        <w:rPr>
          <w:rFonts w:eastAsia="简宋"/>
        </w:rPr>
        <w:fldChar w:fldCharType="end"/>
      </w:r>
    </w:p>
    <w:p w14:paraId="31EF36EC">
      <w:pPr>
        <w:pStyle w:val="14"/>
        <w:tabs>
          <w:tab w:val="right" w:leader="dot" w:pos="9638"/>
        </w:tabs>
      </w:pPr>
      <w:r>
        <w:rPr>
          <w:rFonts w:eastAsia="简宋"/>
        </w:rPr>
        <w:fldChar w:fldCharType="begin"/>
      </w:r>
      <w:r>
        <w:rPr>
          <w:rFonts w:eastAsia="简宋"/>
        </w:rPr>
        <w:instrText xml:space="preserve"> HYPERLINK \l _Toc1523 </w:instrText>
      </w:r>
      <w:r>
        <w:rPr>
          <w:rFonts w:eastAsia="简宋"/>
        </w:rPr>
        <w:fldChar w:fldCharType="separate"/>
      </w:r>
      <w:r>
        <w:rPr>
          <w:rFonts w:hint="eastAsia" w:ascii="黑体" w:hAnsi="Times New Roman" w:eastAsia="黑体"/>
          <w:bCs w:val="0"/>
          <w:szCs w:val="24"/>
        </w:rPr>
        <w:t xml:space="preserve">5 </w:t>
      </w:r>
      <w:r>
        <w:rPr>
          <w:rFonts w:eastAsia="黑体"/>
          <w:bCs w:val="0"/>
          <w:szCs w:val="24"/>
        </w:rPr>
        <w:t>计量特性</w:t>
      </w:r>
      <w:r>
        <w:tab/>
      </w:r>
      <w:r>
        <w:fldChar w:fldCharType="begin"/>
      </w:r>
      <w:r>
        <w:instrText xml:space="preserve"> PAGEREF _Toc1523 \h </w:instrText>
      </w:r>
      <w:r>
        <w:fldChar w:fldCharType="separate"/>
      </w:r>
      <w:r>
        <w:t>2</w:t>
      </w:r>
      <w:r>
        <w:fldChar w:fldCharType="end"/>
      </w:r>
      <w:r>
        <w:rPr>
          <w:rFonts w:eastAsia="简宋"/>
        </w:rPr>
        <w:fldChar w:fldCharType="end"/>
      </w:r>
    </w:p>
    <w:p w14:paraId="196FAD49">
      <w:pPr>
        <w:pStyle w:val="14"/>
        <w:tabs>
          <w:tab w:val="right" w:leader="dot" w:pos="9638"/>
        </w:tabs>
      </w:pPr>
      <w:r>
        <w:rPr>
          <w:rFonts w:eastAsia="简宋"/>
        </w:rPr>
        <w:fldChar w:fldCharType="begin"/>
      </w:r>
      <w:r>
        <w:rPr>
          <w:rFonts w:eastAsia="简宋"/>
        </w:rPr>
        <w:instrText xml:space="preserve"> HYPERLINK \l _Toc621 </w:instrText>
      </w:r>
      <w:r>
        <w:rPr>
          <w:rFonts w:eastAsia="简宋"/>
        </w:rPr>
        <w:fldChar w:fldCharType="separate"/>
      </w:r>
      <w:r>
        <w:rPr>
          <w:rFonts w:hint="eastAsia" w:ascii="黑体" w:hAnsi="Times New Roman" w:eastAsia="黑体"/>
          <w:bCs w:val="0"/>
          <w:szCs w:val="24"/>
        </w:rPr>
        <w:t xml:space="preserve">6 </w:t>
      </w:r>
      <w:r>
        <w:rPr>
          <w:rFonts w:eastAsia="黑体"/>
          <w:bCs w:val="0"/>
          <w:szCs w:val="24"/>
        </w:rPr>
        <w:t>校准条件</w:t>
      </w:r>
      <w:r>
        <w:tab/>
      </w:r>
      <w:r>
        <w:fldChar w:fldCharType="begin"/>
      </w:r>
      <w:r>
        <w:instrText xml:space="preserve"> PAGEREF _Toc621 \h </w:instrText>
      </w:r>
      <w:r>
        <w:fldChar w:fldCharType="separate"/>
      </w:r>
      <w:r>
        <w:t>2</w:t>
      </w:r>
      <w:r>
        <w:fldChar w:fldCharType="end"/>
      </w:r>
      <w:r>
        <w:rPr>
          <w:rFonts w:eastAsia="简宋"/>
        </w:rPr>
        <w:fldChar w:fldCharType="end"/>
      </w:r>
    </w:p>
    <w:p w14:paraId="743425BF">
      <w:pPr>
        <w:pStyle w:val="15"/>
        <w:tabs>
          <w:tab w:val="right" w:leader="dot" w:pos="9638"/>
        </w:tabs>
      </w:pPr>
      <w:r>
        <w:rPr>
          <w:rFonts w:eastAsia="简宋"/>
        </w:rPr>
        <w:fldChar w:fldCharType="begin"/>
      </w:r>
      <w:r>
        <w:rPr>
          <w:rFonts w:eastAsia="简宋"/>
        </w:rPr>
        <w:instrText xml:space="preserve"> HYPERLINK \l _Toc17308 </w:instrText>
      </w:r>
      <w:r>
        <w:rPr>
          <w:rFonts w:eastAsia="简宋"/>
        </w:rPr>
        <w:fldChar w:fldCharType="separate"/>
      </w:r>
      <w:r>
        <w:rPr>
          <w:rFonts w:hint="eastAsia" w:ascii="宋体" w:hAnsi="宋体" w:cs="宋体"/>
          <w:bCs w:val="0"/>
          <w:szCs w:val="24"/>
          <w:lang w:val="en-US" w:eastAsia="zh-CN"/>
        </w:rPr>
        <w:t xml:space="preserve">6.1 </w:t>
      </w:r>
      <w:r>
        <w:rPr>
          <w:rFonts w:hint="eastAsia" w:ascii="宋体" w:hAnsi="宋体" w:cs="宋体"/>
          <w:bCs w:val="0"/>
          <w:szCs w:val="24"/>
        </w:rPr>
        <w:t>环境条件</w:t>
      </w:r>
      <w:r>
        <w:tab/>
      </w:r>
      <w:r>
        <w:fldChar w:fldCharType="begin"/>
      </w:r>
      <w:r>
        <w:instrText xml:space="preserve"> PAGEREF _Toc17308 \h </w:instrText>
      </w:r>
      <w:r>
        <w:fldChar w:fldCharType="separate"/>
      </w:r>
      <w:r>
        <w:t>2</w:t>
      </w:r>
      <w:r>
        <w:fldChar w:fldCharType="end"/>
      </w:r>
      <w:r>
        <w:rPr>
          <w:rFonts w:eastAsia="简宋"/>
        </w:rPr>
        <w:fldChar w:fldCharType="end"/>
      </w:r>
    </w:p>
    <w:p w14:paraId="0ADA7404">
      <w:pPr>
        <w:pStyle w:val="15"/>
        <w:tabs>
          <w:tab w:val="right" w:leader="dot" w:pos="9638"/>
        </w:tabs>
      </w:pPr>
      <w:r>
        <w:rPr>
          <w:rFonts w:eastAsia="简宋"/>
        </w:rPr>
        <w:fldChar w:fldCharType="begin"/>
      </w:r>
      <w:r>
        <w:rPr>
          <w:rFonts w:eastAsia="简宋"/>
        </w:rPr>
        <w:instrText xml:space="preserve"> HYPERLINK \l _Toc25517 </w:instrText>
      </w:r>
      <w:r>
        <w:rPr>
          <w:rFonts w:eastAsia="简宋"/>
        </w:rPr>
        <w:fldChar w:fldCharType="separate"/>
      </w:r>
      <w:r>
        <w:rPr>
          <w:rFonts w:hint="eastAsia" w:ascii="宋体" w:hAnsi="宋体" w:cs="宋体"/>
          <w:bCs w:val="0"/>
          <w:szCs w:val="24"/>
          <w:lang w:val="en-US" w:eastAsia="zh-CN"/>
        </w:rPr>
        <w:t>6.2</w:t>
      </w:r>
      <w:r>
        <w:rPr>
          <w:rFonts w:hint="eastAsia" w:ascii="宋体" w:hAnsi="宋体" w:cs="宋体"/>
          <w:bCs w:val="0"/>
          <w:szCs w:val="24"/>
        </w:rPr>
        <w:t xml:space="preserve">  测量标准及其他设备</w:t>
      </w:r>
      <w:r>
        <w:tab/>
      </w:r>
      <w:r>
        <w:fldChar w:fldCharType="begin"/>
      </w:r>
      <w:r>
        <w:instrText xml:space="preserve"> PAGEREF _Toc25517 \h </w:instrText>
      </w:r>
      <w:r>
        <w:fldChar w:fldCharType="separate"/>
      </w:r>
      <w:r>
        <w:t>2</w:t>
      </w:r>
      <w:r>
        <w:fldChar w:fldCharType="end"/>
      </w:r>
      <w:r>
        <w:rPr>
          <w:rFonts w:eastAsia="简宋"/>
        </w:rPr>
        <w:fldChar w:fldCharType="end"/>
      </w:r>
    </w:p>
    <w:p w14:paraId="1620832F">
      <w:pPr>
        <w:pStyle w:val="14"/>
        <w:tabs>
          <w:tab w:val="right" w:leader="dot" w:pos="9638"/>
        </w:tabs>
      </w:pPr>
      <w:r>
        <w:rPr>
          <w:rFonts w:eastAsia="简宋"/>
        </w:rPr>
        <w:fldChar w:fldCharType="begin"/>
      </w:r>
      <w:r>
        <w:rPr>
          <w:rFonts w:eastAsia="简宋"/>
        </w:rPr>
        <w:instrText xml:space="preserve"> HYPERLINK \l _Toc589 </w:instrText>
      </w:r>
      <w:r>
        <w:rPr>
          <w:rFonts w:eastAsia="简宋"/>
        </w:rPr>
        <w:fldChar w:fldCharType="separate"/>
      </w:r>
      <w:r>
        <w:rPr>
          <w:rFonts w:hint="eastAsia" w:ascii="黑体" w:hAnsi="Times New Roman" w:eastAsia="黑体"/>
          <w:bCs w:val="0"/>
          <w:szCs w:val="24"/>
        </w:rPr>
        <w:t xml:space="preserve">7 </w:t>
      </w:r>
      <w:r>
        <w:rPr>
          <w:rFonts w:eastAsia="黑体"/>
          <w:bCs w:val="0"/>
          <w:szCs w:val="24"/>
        </w:rPr>
        <w:t>校准项目和校准方法</w:t>
      </w:r>
      <w:r>
        <w:tab/>
      </w:r>
      <w:r>
        <w:fldChar w:fldCharType="begin"/>
      </w:r>
      <w:r>
        <w:instrText xml:space="preserve"> PAGEREF _Toc589 \h </w:instrText>
      </w:r>
      <w:r>
        <w:fldChar w:fldCharType="separate"/>
      </w:r>
      <w:r>
        <w:t>3</w:t>
      </w:r>
      <w:r>
        <w:fldChar w:fldCharType="end"/>
      </w:r>
      <w:r>
        <w:rPr>
          <w:rFonts w:eastAsia="简宋"/>
        </w:rPr>
        <w:fldChar w:fldCharType="end"/>
      </w:r>
    </w:p>
    <w:p w14:paraId="3CA87356">
      <w:pPr>
        <w:pStyle w:val="15"/>
        <w:tabs>
          <w:tab w:val="right" w:leader="dot" w:pos="9638"/>
        </w:tabs>
      </w:pPr>
      <w:r>
        <w:rPr>
          <w:rFonts w:eastAsia="简宋"/>
        </w:rPr>
        <w:fldChar w:fldCharType="begin"/>
      </w:r>
      <w:r>
        <w:rPr>
          <w:rFonts w:eastAsia="简宋"/>
        </w:rPr>
        <w:instrText xml:space="preserve"> HYPERLINK \l _Toc27873 </w:instrText>
      </w:r>
      <w:r>
        <w:rPr>
          <w:rFonts w:eastAsia="简宋"/>
        </w:rPr>
        <w:fldChar w:fldCharType="separate"/>
      </w:r>
      <w:r>
        <w:rPr>
          <w:rFonts w:hint="eastAsia" w:ascii="宋体" w:hAnsi="宋体" w:cs="宋体"/>
          <w:bCs w:val="0"/>
          <w:szCs w:val="24"/>
        </w:rPr>
        <w:t>7.1 校准项目</w:t>
      </w:r>
      <w:r>
        <w:tab/>
      </w:r>
      <w:r>
        <w:fldChar w:fldCharType="begin"/>
      </w:r>
      <w:r>
        <w:instrText xml:space="preserve"> PAGEREF _Toc27873 \h </w:instrText>
      </w:r>
      <w:r>
        <w:fldChar w:fldCharType="separate"/>
      </w:r>
      <w:r>
        <w:t>3</w:t>
      </w:r>
      <w:r>
        <w:fldChar w:fldCharType="end"/>
      </w:r>
      <w:r>
        <w:rPr>
          <w:rFonts w:eastAsia="简宋"/>
        </w:rPr>
        <w:fldChar w:fldCharType="end"/>
      </w:r>
    </w:p>
    <w:p w14:paraId="02F4BE22">
      <w:pPr>
        <w:pStyle w:val="15"/>
        <w:tabs>
          <w:tab w:val="right" w:leader="dot" w:pos="9638"/>
        </w:tabs>
      </w:pPr>
      <w:r>
        <w:rPr>
          <w:rFonts w:eastAsia="简宋"/>
        </w:rPr>
        <w:fldChar w:fldCharType="begin"/>
      </w:r>
      <w:r>
        <w:rPr>
          <w:rFonts w:eastAsia="简宋"/>
        </w:rPr>
        <w:instrText xml:space="preserve"> HYPERLINK \l _Toc20730 </w:instrText>
      </w:r>
      <w:r>
        <w:rPr>
          <w:rFonts w:eastAsia="简宋"/>
        </w:rPr>
        <w:fldChar w:fldCharType="separate"/>
      </w:r>
      <w:r>
        <w:rPr>
          <w:rFonts w:hint="eastAsia" w:ascii="宋体" w:hAnsi="宋体" w:cs="宋体"/>
          <w:bCs w:val="0"/>
          <w:szCs w:val="24"/>
          <w:lang w:val="en-US" w:eastAsia="zh-CN"/>
        </w:rPr>
        <w:t>7.2 校准方法</w:t>
      </w:r>
      <w:r>
        <w:tab/>
      </w:r>
      <w:r>
        <w:fldChar w:fldCharType="begin"/>
      </w:r>
      <w:r>
        <w:instrText xml:space="preserve"> PAGEREF _Toc20730 \h </w:instrText>
      </w:r>
      <w:r>
        <w:fldChar w:fldCharType="separate"/>
      </w:r>
      <w:r>
        <w:t>3</w:t>
      </w:r>
      <w:r>
        <w:fldChar w:fldCharType="end"/>
      </w:r>
      <w:r>
        <w:rPr>
          <w:rFonts w:eastAsia="简宋"/>
        </w:rPr>
        <w:fldChar w:fldCharType="end"/>
      </w:r>
    </w:p>
    <w:p w14:paraId="5C852A73">
      <w:pPr>
        <w:pStyle w:val="14"/>
        <w:tabs>
          <w:tab w:val="right" w:leader="dot" w:pos="9638"/>
        </w:tabs>
      </w:pPr>
      <w:r>
        <w:rPr>
          <w:rFonts w:eastAsia="简宋"/>
        </w:rPr>
        <w:fldChar w:fldCharType="begin"/>
      </w:r>
      <w:r>
        <w:rPr>
          <w:rFonts w:eastAsia="简宋"/>
        </w:rPr>
        <w:instrText xml:space="preserve"> HYPERLINK \l _Toc5029 </w:instrText>
      </w:r>
      <w:r>
        <w:rPr>
          <w:rFonts w:eastAsia="简宋"/>
        </w:rPr>
        <w:fldChar w:fldCharType="separate"/>
      </w:r>
      <w:r>
        <w:rPr>
          <w:rFonts w:hint="eastAsia" w:ascii="黑体" w:hAnsi="Times New Roman" w:eastAsia="黑体"/>
          <w:bCs w:val="0"/>
          <w:szCs w:val="24"/>
        </w:rPr>
        <w:t xml:space="preserve">8 </w:t>
      </w:r>
      <w:r>
        <w:rPr>
          <w:rFonts w:eastAsia="黑体"/>
          <w:bCs w:val="0"/>
          <w:szCs w:val="24"/>
        </w:rPr>
        <w:t>校准结果表达</w:t>
      </w:r>
      <w:r>
        <w:tab/>
      </w:r>
      <w:r>
        <w:fldChar w:fldCharType="begin"/>
      </w:r>
      <w:r>
        <w:instrText xml:space="preserve"> PAGEREF _Toc5029 \h </w:instrText>
      </w:r>
      <w:r>
        <w:fldChar w:fldCharType="separate"/>
      </w:r>
      <w:r>
        <w:t>5</w:t>
      </w:r>
      <w:r>
        <w:fldChar w:fldCharType="end"/>
      </w:r>
      <w:r>
        <w:rPr>
          <w:rFonts w:eastAsia="简宋"/>
        </w:rPr>
        <w:fldChar w:fldCharType="end"/>
      </w:r>
    </w:p>
    <w:p w14:paraId="1E95FC64">
      <w:pPr>
        <w:pStyle w:val="15"/>
        <w:tabs>
          <w:tab w:val="right" w:leader="dot" w:pos="9638"/>
        </w:tabs>
      </w:pPr>
      <w:r>
        <w:rPr>
          <w:rFonts w:eastAsia="简宋"/>
        </w:rPr>
        <w:fldChar w:fldCharType="begin"/>
      </w:r>
      <w:r>
        <w:rPr>
          <w:rFonts w:eastAsia="简宋"/>
        </w:rPr>
        <w:instrText xml:space="preserve"> HYPERLINK \l _Toc12150 </w:instrText>
      </w:r>
      <w:r>
        <w:rPr>
          <w:rFonts w:eastAsia="简宋"/>
        </w:rPr>
        <w:fldChar w:fldCharType="separate"/>
      </w:r>
      <w:r>
        <w:rPr>
          <w:rFonts w:hint="eastAsia" w:ascii="Times New Roman" w:hAnsi="Times New Roman" w:cs="宋体"/>
          <w:bCs w:val="0"/>
          <w:kern w:val="2"/>
          <w:szCs w:val="24"/>
          <w:lang w:val="en-US"/>
        </w:rPr>
        <w:t xml:space="preserve">8.1 </w:t>
      </w:r>
      <w:r>
        <w:rPr>
          <w:rFonts w:ascii="Times New Roman" w:hAnsi="Times New Roman" w:cs="宋体"/>
          <w:bCs w:val="0"/>
          <w:kern w:val="2"/>
          <w:szCs w:val="24"/>
          <w:lang w:val="en-US"/>
        </w:rPr>
        <w:t xml:space="preserve"> </w:t>
      </w:r>
      <w:r>
        <w:rPr>
          <w:rFonts w:hint="eastAsia" w:ascii="Times New Roman" w:hAnsi="Times New Roman" w:cs="宋体"/>
          <w:bCs w:val="0"/>
          <w:kern w:val="2"/>
          <w:szCs w:val="24"/>
          <w:lang w:val="en-US"/>
        </w:rPr>
        <w:t>校准记录</w:t>
      </w:r>
      <w:r>
        <w:tab/>
      </w:r>
      <w:r>
        <w:fldChar w:fldCharType="begin"/>
      </w:r>
      <w:r>
        <w:instrText xml:space="preserve"> PAGEREF _Toc12150 \h </w:instrText>
      </w:r>
      <w:r>
        <w:fldChar w:fldCharType="separate"/>
      </w:r>
      <w:r>
        <w:t>5</w:t>
      </w:r>
      <w:r>
        <w:fldChar w:fldCharType="end"/>
      </w:r>
      <w:r>
        <w:rPr>
          <w:rFonts w:eastAsia="简宋"/>
        </w:rPr>
        <w:fldChar w:fldCharType="end"/>
      </w:r>
    </w:p>
    <w:p w14:paraId="741099D1">
      <w:pPr>
        <w:pStyle w:val="15"/>
        <w:tabs>
          <w:tab w:val="right" w:leader="dot" w:pos="9638"/>
        </w:tabs>
      </w:pPr>
      <w:r>
        <w:rPr>
          <w:rFonts w:eastAsia="简宋"/>
        </w:rPr>
        <w:fldChar w:fldCharType="begin"/>
      </w:r>
      <w:r>
        <w:rPr>
          <w:rFonts w:eastAsia="简宋"/>
        </w:rPr>
        <w:instrText xml:space="preserve"> HYPERLINK \l _Toc24185 </w:instrText>
      </w:r>
      <w:r>
        <w:rPr>
          <w:rFonts w:eastAsia="简宋"/>
        </w:rPr>
        <w:fldChar w:fldCharType="separate"/>
      </w:r>
      <w:r>
        <w:rPr>
          <w:rFonts w:hint="eastAsia" w:ascii="Times New Roman" w:hAnsi="Times New Roman" w:cs="宋体"/>
          <w:bCs w:val="0"/>
          <w:kern w:val="2"/>
          <w:szCs w:val="24"/>
          <w:lang w:val="en-US"/>
        </w:rPr>
        <w:t xml:space="preserve">8.2 </w:t>
      </w:r>
      <w:r>
        <w:rPr>
          <w:rFonts w:ascii="Times New Roman" w:hAnsi="Times New Roman" w:cs="宋体"/>
          <w:bCs w:val="0"/>
          <w:kern w:val="2"/>
          <w:szCs w:val="24"/>
          <w:lang w:val="en-US"/>
        </w:rPr>
        <w:t xml:space="preserve"> </w:t>
      </w:r>
      <w:r>
        <w:rPr>
          <w:rFonts w:hint="eastAsia" w:ascii="Times New Roman" w:hAnsi="Times New Roman" w:cs="宋体"/>
          <w:bCs w:val="0"/>
          <w:kern w:val="2"/>
          <w:szCs w:val="24"/>
          <w:lang w:val="en-US"/>
        </w:rPr>
        <w:t>校准证书</w:t>
      </w:r>
      <w:r>
        <w:tab/>
      </w:r>
      <w:r>
        <w:fldChar w:fldCharType="begin"/>
      </w:r>
      <w:r>
        <w:instrText xml:space="preserve"> PAGEREF _Toc24185 \h </w:instrText>
      </w:r>
      <w:r>
        <w:fldChar w:fldCharType="separate"/>
      </w:r>
      <w:r>
        <w:t>6</w:t>
      </w:r>
      <w:r>
        <w:fldChar w:fldCharType="end"/>
      </w:r>
      <w:r>
        <w:rPr>
          <w:rFonts w:eastAsia="简宋"/>
        </w:rPr>
        <w:fldChar w:fldCharType="end"/>
      </w:r>
    </w:p>
    <w:p w14:paraId="06C28E7E">
      <w:pPr>
        <w:pStyle w:val="14"/>
        <w:tabs>
          <w:tab w:val="right" w:leader="dot" w:pos="9638"/>
        </w:tabs>
      </w:pPr>
      <w:r>
        <w:rPr>
          <w:rFonts w:eastAsia="简宋"/>
        </w:rPr>
        <w:fldChar w:fldCharType="begin"/>
      </w:r>
      <w:r>
        <w:rPr>
          <w:rFonts w:eastAsia="简宋"/>
        </w:rPr>
        <w:instrText xml:space="preserve"> HYPERLINK \l _Toc58 </w:instrText>
      </w:r>
      <w:r>
        <w:rPr>
          <w:rFonts w:eastAsia="简宋"/>
        </w:rPr>
        <w:fldChar w:fldCharType="separate"/>
      </w:r>
      <w:r>
        <w:rPr>
          <w:rFonts w:hint="eastAsia" w:ascii="黑体" w:hAnsi="Times New Roman" w:eastAsia="黑体"/>
          <w:bCs w:val="0"/>
          <w:szCs w:val="24"/>
        </w:rPr>
        <w:t xml:space="preserve">9 </w:t>
      </w:r>
      <w:r>
        <w:rPr>
          <w:rFonts w:eastAsia="黑体"/>
          <w:bCs w:val="0"/>
          <w:szCs w:val="24"/>
        </w:rPr>
        <w:t>复校时间间隔</w:t>
      </w:r>
      <w:r>
        <w:tab/>
      </w:r>
      <w:r>
        <w:fldChar w:fldCharType="begin"/>
      </w:r>
      <w:r>
        <w:instrText xml:space="preserve"> PAGEREF _Toc58 \h </w:instrText>
      </w:r>
      <w:r>
        <w:fldChar w:fldCharType="separate"/>
      </w:r>
      <w:r>
        <w:t>6</w:t>
      </w:r>
      <w:r>
        <w:fldChar w:fldCharType="end"/>
      </w:r>
      <w:r>
        <w:rPr>
          <w:rFonts w:eastAsia="简宋"/>
        </w:rPr>
        <w:fldChar w:fldCharType="end"/>
      </w:r>
    </w:p>
    <w:p w14:paraId="3FBDD3BE">
      <w:pPr>
        <w:pStyle w:val="14"/>
        <w:tabs>
          <w:tab w:val="right" w:leader="dot" w:pos="9638"/>
        </w:tabs>
      </w:pPr>
      <w:r>
        <w:rPr>
          <w:rFonts w:eastAsia="简宋"/>
        </w:rPr>
        <w:fldChar w:fldCharType="begin"/>
      </w:r>
      <w:r>
        <w:rPr>
          <w:rFonts w:eastAsia="简宋"/>
        </w:rPr>
        <w:instrText xml:space="preserve"> HYPERLINK \l _Toc11277 </w:instrText>
      </w:r>
      <w:r>
        <w:rPr>
          <w:rFonts w:eastAsia="简宋"/>
        </w:rPr>
        <w:fldChar w:fldCharType="separate"/>
      </w:r>
      <w:r>
        <w:rPr>
          <w:rFonts w:eastAsia="黑体"/>
          <w:bCs w:val="0"/>
          <w:szCs w:val="28"/>
        </w:rPr>
        <w:t>附录A</w:t>
      </w:r>
      <w:r>
        <w:rPr>
          <w:rFonts w:hint="eastAsia" w:eastAsia="黑体"/>
          <w:bCs w:val="0"/>
          <w:szCs w:val="28"/>
          <w:lang w:val="en-US" w:eastAsia="zh-CN"/>
        </w:rPr>
        <w:t xml:space="preserve"> 校准原始记录推荐格式</w:t>
      </w:r>
      <w:r>
        <w:tab/>
      </w:r>
      <w:r>
        <w:fldChar w:fldCharType="begin"/>
      </w:r>
      <w:r>
        <w:instrText xml:space="preserve"> PAGEREF _Toc11277 \h </w:instrText>
      </w:r>
      <w:r>
        <w:fldChar w:fldCharType="separate"/>
      </w:r>
      <w:r>
        <w:t>7</w:t>
      </w:r>
      <w:r>
        <w:fldChar w:fldCharType="end"/>
      </w:r>
      <w:r>
        <w:rPr>
          <w:rFonts w:eastAsia="简宋"/>
        </w:rPr>
        <w:fldChar w:fldCharType="end"/>
      </w:r>
    </w:p>
    <w:p w14:paraId="1CCFB352">
      <w:pPr>
        <w:pStyle w:val="14"/>
        <w:tabs>
          <w:tab w:val="right" w:leader="dot" w:pos="9638"/>
        </w:tabs>
      </w:pPr>
      <w:r>
        <w:rPr>
          <w:rFonts w:eastAsia="简宋"/>
        </w:rPr>
        <w:fldChar w:fldCharType="begin"/>
      </w:r>
      <w:r>
        <w:rPr>
          <w:rFonts w:eastAsia="简宋"/>
        </w:rPr>
        <w:instrText xml:space="preserve"> HYPERLINK \l _Toc23810 </w:instrText>
      </w:r>
      <w:r>
        <w:rPr>
          <w:rFonts w:eastAsia="简宋"/>
        </w:rPr>
        <w:fldChar w:fldCharType="separate"/>
      </w:r>
      <w:r>
        <w:rPr>
          <w:rFonts w:eastAsia="黑体"/>
          <w:bCs w:val="0"/>
          <w:szCs w:val="28"/>
        </w:rPr>
        <w:t>附录B</w:t>
      </w:r>
      <w:r>
        <w:rPr>
          <w:rFonts w:hint="eastAsia" w:eastAsia="黑体"/>
          <w:bCs w:val="0"/>
          <w:szCs w:val="28"/>
          <w:lang w:val="en-US" w:eastAsia="zh-CN"/>
        </w:rPr>
        <w:t xml:space="preserve"> 校准证书的内容</w:t>
      </w:r>
      <w:r>
        <w:tab/>
      </w:r>
      <w:r>
        <w:fldChar w:fldCharType="begin"/>
      </w:r>
      <w:r>
        <w:instrText xml:space="preserve"> PAGEREF _Toc23810 \h </w:instrText>
      </w:r>
      <w:r>
        <w:fldChar w:fldCharType="separate"/>
      </w:r>
      <w:r>
        <w:t>9</w:t>
      </w:r>
      <w:r>
        <w:fldChar w:fldCharType="end"/>
      </w:r>
      <w:r>
        <w:rPr>
          <w:rFonts w:eastAsia="简宋"/>
        </w:rPr>
        <w:fldChar w:fldCharType="end"/>
      </w:r>
    </w:p>
    <w:p w14:paraId="0A2458E8">
      <w:pPr>
        <w:pStyle w:val="14"/>
        <w:tabs>
          <w:tab w:val="right" w:leader="dot" w:pos="9638"/>
        </w:tabs>
      </w:pPr>
      <w:r>
        <w:rPr>
          <w:rFonts w:eastAsia="简宋"/>
        </w:rPr>
        <w:fldChar w:fldCharType="begin"/>
      </w:r>
      <w:r>
        <w:rPr>
          <w:rFonts w:eastAsia="简宋"/>
        </w:rPr>
        <w:instrText xml:space="preserve"> HYPERLINK \l _Toc13771 </w:instrText>
      </w:r>
      <w:r>
        <w:rPr>
          <w:rFonts w:eastAsia="简宋"/>
        </w:rPr>
        <w:fldChar w:fldCharType="separate"/>
      </w:r>
      <w:r>
        <w:rPr>
          <w:rFonts w:eastAsia="黑体"/>
          <w:bCs w:val="0"/>
          <w:szCs w:val="28"/>
        </w:rPr>
        <w:t>附录C</w:t>
      </w:r>
      <w:r>
        <w:rPr>
          <w:rFonts w:hint="eastAsia" w:eastAsia="黑体"/>
          <w:bCs w:val="0"/>
          <w:szCs w:val="28"/>
          <w:lang w:val="en-US" w:eastAsia="zh-CN"/>
        </w:rPr>
        <w:t xml:space="preserve"> 测量不确定度评定实例</w:t>
      </w:r>
      <w:r>
        <w:tab/>
      </w:r>
      <w:r>
        <w:fldChar w:fldCharType="begin"/>
      </w:r>
      <w:r>
        <w:instrText xml:space="preserve"> PAGEREF _Toc13771 \h </w:instrText>
      </w:r>
      <w:r>
        <w:fldChar w:fldCharType="separate"/>
      </w:r>
      <w:r>
        <w:t>1</w:t>
      </w:r>
      <w:r>
        <w:rPr>
          <w:rFonts w:hint="eastAsia"/>
          <w:lang w:val="en-US" w:eastAsia="zh-CN"/>
        </w:rPr>
        <w:t>1</w:t>
      </w:r>
      <w:r>
        <w:fldChar w:fldCharType="end"/>
      </w:r>
      <w:r>
        <w:rPr>
          <w:rFonts w:eastAsia="简宋"/>
        </w:rPr>
        <w:fldChar w:fldCharType="end"/>
      </w:r>
    </w:p>
    <w:p w14:paraId="13740B0C">
      <w:pPr>
        <w:jc w:val="left"/>
        <w:rPr>
          <w:kern w:val="0"/>
          <w:sz w:val="24"/>
          <w:szCs w:val="24"/>
        </w:rPr>
      </w:pPr>
      <w:r>
        <w:rPr>
          <w:rFonts w:eastAsia="简宋"/>
        </w:rPr>
        <w:fldChar w:fldCharType="end"/>
      </w:r>
    </w:p>
    <w:p w14:paraId="65D89277">
      <w:pPr>
        <w:jc w:val="left"/>
        <w:rPr>
          <w:kern w:val="0"/>
          <w:sz w:val="24"/>
          <w:szCs w:val="24"/>
        </w:rPr>
      </w:pPr>
    </w:p>
    <w:p w14:paraId="4077C788">
      <w:pPr>
        <w:jc w:val="left"/>
        <w:rPr>
          <w:kern w:val="0"/>
          <w:sz w:val="24"/>
          <w:szCs w:val="24"/>
        </w:rPr>
      </w:pPr>
    </w:p>
    <w:p w14:paraId="4E2E8040">
      <w:pPr>
        <w:jc w:val="left"/>
        <w:rPr>
          <w:kern w:val="0"/>
          <w:sz w:val="24"/>
          <w:szCs w:val="24"/>
        </w:rPr>
      </w:pPr>
    </w:p>
    <w:p w14:paraId="68FAFAE7">
      <w:pPr>
        <w:jc w:val="left"/>
        <w:rPr>
          <w:kern w:val="0"/>
          <w:sz w:val="24"/>
          <w:szCs w:val="24"/>
        </w:rPr>
      </w:pPr>
    </w:p>
    <w:p w14:paraId="7F786015">
      <w:pPr>
        <w:jc w:val="left"/>
        <w:rPr>
          <w:kern w:val="0"/>
          <w:sz w:val="24"/>
          <w:szCs w:val="24"/>
        </w:rPr>
      </w:pPr>
    </w:p>
    <w:p w14:paraId="480B029C">
      <w:pPr>
        <w:jc w:val="left"/>
        <w:rPr>
          <w:b/>
          <w:bCs/>
          <w:sz w:val="36"/>
          <w:szCs w:val="36"/>
        </w:rPr>
      </w:pPr>
    </w:p>
    <w:p w14:paraId="696FF39C">
      <w:pPr>
        <w:jc w:val="left"/>
        <w:rPr>
          <w:b/>
          <w:bCs/>
          <w:sz w:val="36"/>
          <w:szCs w:val="36"/>
        </w:rPr>
      </w:pPr>
    </w:p>
    <w:p w14:paraId="15825730">
      <w:pPr>
        <w:spacing w:line="360" w:lineRule="auto"/>
        <w:jc w:val="center"/>
        <w:outlineLvl w:val="0"/>
        <w:rPr>
          <w:rFonts w:eastAsia="黑体"/>
          <w:spacing w:val="20"/>
          <w:sz w:val="44"/>
          <w:szCs w:val="44"/>
        </w:rPr>
      </w:pPr>
      <w:bookmarkStart w:id="0" w:name="_Toc422683919"/>
    </w:p>
    <w:p w14:paraId="44578E13">
      <w:pPr>
        <w:spacing w:line="360" w:lineRule="auto"/>
        <w:jc w:val="center"/>
        <w:outlineLvl w:val="0"/>
        <w:rPr>
          <w:rFonts w:eastAsia="黑体"/>
          <w:spacing w:val="20"/>
          <w:sz w:val="44"/>
          <w:szCs w:val="44"/>
        </w:rPr>
      </w:pPr>
    </w:p>
    <w:p w14:paraId="6DF24D3C">
      <w:pPr>
        <w:spacing w:line="360" w:lineRule="auto"/>
        <w:jc w:val="center"/>
        <w:outlineLvl w:val="0"/>
        <w:rPr>
          <w:rFonts w:eastAsia="黑体"/>
          <w:spacing w:val="20"/>
          <w:sz w:val="44"/>
          <w:szCs w:val="44"/>
        </w:rPr>
      </w:pPr>
    </w:p>
    <w:p w14:paraId="0389EAF1">
      <w:pPr>
        <w:spacing w:line="360" w:lineRule="auto"/>
        <w:jc w:val="center"/>
        <w:outlineLvl w:val="0"/>
        <w:rPr>
          <w:rFonts w:eastAsia="黑体"/>
          <w:spacing w:val="20"/>
          <w:sz w:val="44"/>
          <w:szCs w:val="44"/>
        </w:rPr>
      </w:pPr>
    </w:p>
    <w:p w14:paraId="5D06C1A4">
      <w:pPr>
        <w:spacing w:line="360" w:lineRule="auto"/>
        <w:jc w:val="center"/>
        <w:outlineLvl w:val="0"/>
        <w:rPr>
          <w:rFonts w:eastAsia="黑体"/>
          <w:spacing w:val="20"/>
          <w:sz w:val="44"/>
          <w:szCs w:val="44"/>
        </w:rPr>
      </w:pPr>
      <w:bookmarkStart w:id="1" w:name="_Toc27780"/>
      <w:bookmarkStart w:id="2" w:name="_Toc139139600"/>
      <w:r>
        <w:rPr>
          <w:rFonts w:eastAsia="黑体"/>
          <w:spacing w:val="20"/>
          <w:sz w:val="44"/>
          <w:szCs w:val="44"/>
        </w:rPr>
        <w:t>引  言</w:t>
      </w:r>
      <w:bookmarkEnd w:id="0"/>
      <w:bookmarkEnd w:id="1"/>
      <w:bookmarkEnd w:id="2"/>
    </w:p>
    <w:p w14:paraId="673FA337">
      <w:pPr>
        <w:spacing w:line="300" w:lineRule="auto"/>
        <w:ind w:firstLine="560" w:firstLineChars="200"/>
        <w:rPr>
          <w:color w:val="FF0000"/>
          <w:spacing w:val="20"/>
          <w:sz w:val="24"/>
          <w:szCs w:val="24"/>
        </w:rPr>
      </w:pPr>
      <w:r>
        <w:rPr>
          <w:rFonts w:hint="eastAsia"/>
          <w:spacing w:val="20"/>
          <w:sz w:val="24"/>
          <w:szCs w:val="24"/>
        </w:rPr>
        <w:t>JJF1071《国家计量校准规范编写规则》、JJF1001《通用计量术语及定义》JJF1059《测量不确定度评定与表示》共同构成支撑校准规范制修订工作的基础性系列规范。</w:t>
      </w:r>
    </w:p>
    <w:p w14:paraId="0F6571BD">
      <w:pPr>
        <w:spacing w:line="300" w:lineRule="auto"/>
        <w:ind w:firstLine="560" w:firstLineChars="200"/>
        <w:rPr>
          <w:spacing w:val="20"/>
          <w:sz w:val="24"/>
          <w:szCs w:val="24"/>
        </w:rPr>
      </w:pPr>
      <w:r>
        <w:rPr>
          <w:spacing w:val="20"/>
          <w:sz w:val="24"/>
          <w:szCs w:val="24"/>
        </w:rPr>
        <w:t>本规范为首次制定。</w:t>
      </w:r>
    </w:p>
    <w:p w14:paraId="41C923B2">
      <w:pPr>
        <w:ind w:firstLine="560" w:firstLineChars="200"/>
        <w:rPr>
          <w:spacing w:val="20"/>
          <w:sz w:val="24"/>
          <w:szCs w:val="24"/>
        </w:rPr>
      </w:pPr>
    </w:p>
    <w:p w14:paraId="5C6B3ACE">
      <w:pPr>
        <w:ind w:firstLine="560" w:firstLineChars="200"/>
        <w:rPr>
          <w:spacing w:val="20"/>
          <w:sz w:val="24"/>
          <w:szCs w:val="24"/>
        </w:rPr>
      </w:pPr>
    </w:p>
    <w:p w14:paraId="18BBD432">
      <w:pPr>
        <w:sectPr>
          <w:footerReference r:id="rId11" w:type="default"/>
          <w:footerReference r:id="rId12" w:type="even"/>
          <w:pgSz w:w="11906" w:h="16838"/>
          <w:pgMar w:top="1134" w:right="1134" w:bottom="1134" w:left="1134" w:header="624" w:footer="624" w:gutter="0"/>
          <w:pgNumType w:fmt="upperRoman" w:start="1"/>
          <w:cols w:space="720" w:num="1"/>
          <w:docGrid w:linePitch="312" w:charSpace="0"/>
        </w:sectPr>
      </w:pPr>
    </w:p>
    <w:p w14:paraId="78C83018">
      <w:pPr>
        <w:jc w:val="center"/>
        <w:rPr>
          <w:rFonts w:eastAsia="黑体"/>
          <w:bCs/>
          <w:sz w:val="32"/>
          <w:szCs w:val="32"/>
        </w:rPr>
      </w:pPr>
      <w:bookmarkStart w:id="3" w:name="OLE_LINK1"/>
      <w:r>
        <w:rPr>
          <w:rFonts w:eastAsia="黑体"/>
          <w:bCs/>
          <w:sz w:val="32"/>
          <w:szCs w:val="32"/>
        </w:rPr>
        <w:t>机器视觉低频振动校准</w:t>
      </w:r>
      <w:bookmarkEnd w:id="3"/>
      <w:r>
        <w:rPr>
          <w:rFonts w:eastAsia="黑体"/>
          <w:bCs/>
          <w:sz w:val="32"/>
          <w:szCs w:val="32"/>
        </w:rPr>
        <w:t>规范</w:t>
      </w:r>
    </w:p>
    <w:p w14:paraId="32E9EFD2">
      <w:pPr>
        <w:pStyle w:val="2"/>
        <w:numPr>
          <w:ilvl w:val="0"/>
          <w:numId w:val="3"/>
        </w:numPr>
        <w:spacing w:before="120" w:beforeLines="50" w:after="120" w:afterLines="50" w:line="360" w:lineRule="auto"/>
        <w:rPr>
          <w:rFonts w:eastAsia="黑体"/>
          <w:b w:val="0"/>
          <w:bCs w:val="0"/>
          <w:sz w:val="24"/>
          <w:szCs w:val="24"/>
        </w:rPr>
      </w:pPr>
      <w:bookmarkStart w:id="4" w:name="_Toc139139601"/>
      <w:bookmarkStart w:id="5" w:name="_Toc422683920"/>
      <w:bookmarkStart w:id="6" w:name="_Toc30038"/>
      <w:r>
        <w:rPr>
          <w:rFonts w:eastAsia="黑体"/>
          <w:b w:val="0"/>
          <w:bCs w:val="0"/>
          <w:sz w:val="24"/>
          <w:szCs w:val="24"/>
        </w:rPr>
        <w:t>范围</w:t>
      </w:r>
      <w:bookmarkEnd w:id="4"/>
      <w:bookmarkEnd w:id="5"/>
      <w:bookmarkEnd w:id="6"/>
    </w:p>
    <w:p w14:paraId="53A222BB">
      <w:pPr>
        <w:spacing w:line="360" w:lineRule="auto"/>
        <w:ind w:firstLine="480" w:firstLineChars="200"/>
        <w:rPr>
          <w:sz w:val="24"/>
        </w:rPr>
      </w:pPr>
      <w:bookmarkStart w:id="7" w:name="_Toc422683921"/>
      <w:r>
        <w:rPr>
          <w:rFonts w:hint="eastAsia"/>
          <w:sz w:val="24"/>
        </w:rPr>
        <w:t>本规范适用于频率范围DC～20 Hz，机器视觉低频振动测量系统、机器视觉低频振动测量算法/软件、低频振动传感器</w:t>
      </w:r>
      <w:r>
        <w:rPr>
          <w:rFonts w:hint="eastAsia"/>
          <w:sz w:val="24"/>
          <w:lang w:val="en-US" w:eastAsia="zh-CN"/>
        </w:rPr>
        <w:t>和</w:t>
      </w:r>
      <w:r>
        <w:rPr>
          <w:rFonts w:hint="eastAsia"/>
          <w:sz w:val="24"/>
        </w:rPr>
        <w:t>测量系统的校准。</w:t>
      </w:r>
    </w:p>
    <w:p w14:paraId="0E1B38CD">
      <w:pPr>
        <w:pStyle w:val="2"/>
        <w:numPr>
          <w:ilvl w:val="0"/>
          <w:numId w:val="3"/>
        </w:numPr>
        <w:spacing w:before="120" w:beforeLines="50" w:after="120" w:afterLines="50" w:line="360" w:lineRule="auto"/>
        <w:rPr>
          <w:rFonts w:eastAsia="黑体"/>
          <w:b w:val="0"/>
          <w:bCs w:val="0"/>
          <w:sz w:val="24"/>
          <w:szCs w:val="24"/>
        </w:rPr>
      </w:pPr>
      <w:bookmarkStart w:id="8" w:name="_Toc139139602"/>
      <w:bookmarkStart w:id="9" w:name="_Toc31684"/>
      <w:r>
        <w:rPr>
          <w:rFonts w:eastAsia="黑体"/>
          <w:b w:val="0"/>
          <w:bCs w:val="0"/>
          <w:sz w:val="24"/>
          <w:szCs w:val="24"/>
        </w:rPr>
        <w:t>引用文件</w:t>
      </w:r>
      <w:bookmarkEnd w:id="7"/>
      <w:bookmarkEnd w:id="8"/>
      <w:bookmarkEnd w:id="9"/>
    </w:p>
    <w:p w14:paraId="455ED448">
      <w:pPr>
        <w:spacing w:line="360" w:lineRule="auto"/>
        <w:ind w:firstLine="435"/>
        <w:rPr>
          <w:sz w:val="24"/>
          <w:szCs w:val="24"/>
        </w:rPr>
      </w:pPr>
      <w:r>
        <w:rPr>
          <w:sz w:val="24"/>
          <w:szCs w:val="24"/>
        </w:rPr>
        <w:t>本规范引用了下列文件：</w:t>
      </w:r>
    </w:p>
    <w:p w14:paraId="6202B6C1">
      <w:pPr>
        <w:spacing w:line="360" w:lineRule="auto"/>
        <w:ind w:left="479" w:leftChars="228"/>
        <w:jc w:val="left"/>
        <w:rPr>
          <w:sz w:val="24"/>
          <w:lang w:val="zh-CN"/>
        </w:rPr>
      </w:pPr>
      <w:r>
        <w:rPr>
          <w:sz w:val="24"/>
          <w:lang w:val="zh-CN"/>
        </w:rPr>
        <w:t>JJF 1156 振动、冲击、转速计量术语及定义</w:t>
      </w:r>
    </w:p>
    <w:p w14:paraId="1D29F9D5">
      <w:pPr>
        <w:spacing w:line="360" w:lineRule="auto"/>
        <w:ind w:left="479" w:leftChars="228"/>
        <w:jc w:val="left"/>
        <w:rPr>
          <w:sz w:val="24"/>
          <w:lang w:val="zh-CN"/>
        </w:rPr>
      </w:pPr>
      <w:r>
        <w:rPr>
          <w:sz w:val="24"/>
          <w:lang w:val="zh-CN"/>
        </w:rPr>
        <w:t>GB/T 20485.1-2008 振动与冲击传感器校准方法 第1部分：基本概念</w:t>
      </w:r>
    </w:p>
    <w:p w14:paraId="48607387">
      <w:pPr>
        <w:spacing w:line="360" w:lineRule="auto"/>
        <w:ind w:firstLine="435"/>
        <w:rPr>
          <w:sz w:val="24"/>
          <w:szCs w:val="24"/>
        </w:rPr>
      </w:pPr>
      <w:r>
        <w:rPr>
          <w:sz w:val="24"/>
          <w:lang w:val="zh-CN"/>
        </w:rPr>
        <w:t>凡是注日期的引用文件，仅注日期的版本适用于本规范；凡是不注日期的引用文件，其最新版本（包括所有的修改单）适用于本规范。</w:t>
      </w:r>
    </w:p>
    <w:p w14:paraId="373CCAA6">
      <w:pPr>
        <w:pStyle w:val="2"/>
        <w:numPr>
          <w:ilvl w:val="0"/>
          <w:numId w:val="3"/>
        </w:numPr>
        <w:spacing w:before="120" w:beforeLines="50" w:after="120" w:afterLines="50" w:line="300" w:lineRule="auto"/>
        <w:rPr>
          <w:rFonts w:eastAsia="黑体"/>
          <w:b w:val="0"/>
          <w:bCs w:val="0"/>
          <w:sz w:val="24"/>
          <w:szCs w:val="24"/>
        </w:rPr>
      </w:pPr>
      <w:bookmarkStart w:id="10" w:name="_Toc422683922"/>
      <w:bookmarkStart w:id="11" w:name="_Toc139139603"/>
      <w:bookmarkStart w:id="12" w:name="_Toc14968"/>
      <w:bookmarkStart w:id="13" w:name="_Toc238899651"/>
      <w:r>
        <w:rPr>
          <w:rFonts w:eastAsia="黑体"/>
          <w:b w:val="0"/>
          <w:bCs w:val="0"/>
          <w:sz w:val="24"/>
          <w:szCs w:val="24"/>
        </w:rPr>
        <w:t>术语</w:t>
      </w:r>
      <w:bookmarkEnd w:id="10"/>
      <w:bookmarkEnd w:id="11"/>
      <w:bookmarkEnd w:id="12"/>
    </w:p>
    <w:p w14:paraId="32371C85">
      <w:pPr>
        <w:pStyle w:val="3"/>
        <w:spacing w:line="300" w:lineRule="auto"/>
        <w:jc w:val="left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  <w:bookmarkStart w:id="14" w:name="_Toc10830"/>
      <w:r>
        <w:rPr>
          <w:rFonts w:hint="eastAsia" w:ascii="宋体" w:hAnsi="宋体" w:cs="宋体"/>
          <w:b w:val="0"/>
          <w:bCs w:val="0"/>
          <w:sz w:val="24"/>
          <w:szCs w:val="24"/>
        </w:rPr>
        <w:t xml:space="preserve">3.1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振动参考视频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  <w:t xml:space="preserve"> vibration reference video</w:t>
      </w:r>
      <w:bookmarkEnd w:id="14"/>
    </w:p>
    <w:p w14:paraId="074DE878">
      <w:pPr>
        <w:spacing w:line="300" w:lineRule="auto"/>
        <w:ind w:firstLine="480" w:firstLineChars="200"/>
        <w:rPr>
          <w:sz w:val="24"/>
          <w:szCs w:val="24"/>
        </w:rPr>
      </w:pPr>
      <w:r>
        <w:rPr>
          <w:rFonts w:hint="default"/>
          <w:sz w:val="24"/>
          <w:szCs w:val="24"/>
        </w:rPr>
        <w:t>通过数字编辑生成的</w:t>
      </w:r>
      <w:r>
        <w:rPr>
          <w:sz w:val="24"/>
          <w:szCs w:val="24"/>
        </w:rPr>
        <w:t>模拟标准低频振动</w:t>
      </w:r>
      <w:r>
        <w:rPr>
          <w:rFonts w:hint="default"/>
          <w:sz w:val="24"/>
          <w:szCs w:val="24"/>
        </w:rPr>
        <w:t>的视频</w:t>
      </w:r>
      <w:r>
        <w:rPr>
          <w:sz w:val="24"/>
          <w:szCs w:val="24"/>
        </w:rPr>
        <w:t>。</w:t>
      </w:r>
    </w:p>
    <w:p w14:paraId="52DC0861">
      <w:pPr>
        <w:pStyle w:val="3"/>
        <w:spacing w:line="300" w:lineRule="auto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  <w:bookmarkStart w:id="15" w:name="_Toc12587"/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3.2 振动参考视频库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  <w:t xml:space="preserve"> vibration reference video dataset</w:t>
      </w:r>
      <w:bookmarkEnd w:id="15"/>
    </w:p>
    <w:p w14:paraId="5E3A4156">
      <w:pPr>
        <w:pStyle w:val="3"/>
        <w:spacing w:line="300" w:lineRule="auto"/>
        <w:ind w:firstLine="480" w:firstLineChars="200"/>
        <w:jc w:val="left"/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  <w:bookmarkStart w:id="16" w:name="_Toc19178"/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由一组频率和幅值不同的振动参考视频所形成的参考数据库。</w:t>
      </w:r>
      <w:bookmarkEnd w:id="16"/>
    </w:p>
    <w:p w14:paraId="7BE960BF">
      <w:pPr>
        <w:pStyle w:val="3"/>
        <w:spacing w:line="300" w:lineRule="auto"/>
        <w:jc w:val="left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  <w:bookmarkStart w:id="17" w:name="_Toc7768"/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3.3 低频振动标准显示器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  <w:t xml:space="preserve"> low frequency vibration standard display</w:t>
      </w:r>
      <w:bookmarkEnd w:id="17"/>
    </w:p>
    <w:p w14:paraId="43317DCA">
      <w:pPr>
        <w:pStyle w:val="3"/>
        <w:spacing w:line="300" w:lineRule="auto"/>
        <w:ind w:firstLine="480" w:firstLineChars="200"/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  <w:bookmarkStart w:id="18" w:name="_Toc32510"/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用于显示标准低频振动视频，其显示尺寸和刷新率经过校准。</w:t>
      </w:r>
      <w:bookmarkEnd w:id="18"/>
    </w:p>
    <w:p w14:paraId="5CB398B4">
      <w:pPr>
        <w:pStyle w:val="3"/>
        <w:spacing w:line="300" w:lineRule="auto"/>
        <w:jc w:val="left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  <w:bookmarkStart w:id="19" w:name="_Toc21865"/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3.4 机器视觉时空同步测量方法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  <w:t xml:space="preserve"> machine vision time-space synchronization measuring method</w:t>
      </w:r>
      <w:bookmarkEnd w:id="19"/>
    </w:p>
    <w:p w14:paraId="70F627ED">
      <w:pPr>
        <w:spacing w:line="300" w:lineRule="auto"/>
        <w:ind w:firstLine="480" w:firstLineChars="200"/>
        <w:rPr>
          <w:sz w:val="24"/>
          <w:szCs w:val="24"/>
        </w:rPr>
      </w:pPr>
      <w:r>
        <w:rPr>
          <w:rFonts w:hint="eastAsia"/>
          <w:sz w:val="24"/>
          <w:szCs w:val="24"/>
        </w:rPr>
        <w:t>通过参考标志，将机器视觉时间测量的空间位置和时间同步的测量方法</w:t>
      </w:r>
      <w:r>
        <w:rPr>
          <w:sz w:val="24"/>
          <w:szCs w:val="24"/>
        </w:rPr>
        <w:t>。</w:t>
      </w:r>
    </w:p>
    <w:p w14:paraId="2E669693">
      <w:pPr>
        <w:pStyle w:val="2"/>
        <w:numPr>
          <w:ilvl w:val="0"/>
          <w:numId w:val="3"/>
        </w:numPr>
        <w:spacing w:before="120" w:beforeLines="50" w:after="120" w:afterLines="50" w:line="240" w:lineRule="auto"/>
        <w:rPr>
          <w:rFonts w:eastAsia="黑体"/>
          <w:b w:val="0"/>
          <w:bCs w:val="0"/>
          <w:sz w:val="24"/>
          <w:szCs w:val="24"/>
        </w:rPr>
      </w:pPr>
      <w:bookmarkStart w:id="20" w:name="_Toc422683923"/>
      <w:bookmarkStart w:id="21" w:name="_Toc139139604"/>
      <w:bookmarkStart w:id="22" w:name="_Toc3453"/>
      <w:r>
        <w:rPr>
          <w:rFonts w:eastAsia="黑体"/>
          <w:b w:val="0"/>
          <w:bCs w:val="0"/>
          <w:sz w:val="24"/>
          <w:szCs w:val="24"/>
        </w:rPr>
        <w:t>概述</w:t>
      </w:r>
      <w:bookmarkEnd w:id="13"/>
      <w:bookmarkEnd w:id="20"/>
      <w:bookmarkEnd w:id="21"/>
      <w:bookmarkEnd w:id="22"/>
    </w:p>
    <w:p w14:paraId="33994EF6">
      <w:pPr>
        <w:snapToGrid w:val="0"/>
        <w:spacing w:line="300" w:lineRule="auto"/>
        <w:ind w:firstLine="0" w:firstLineChars="0"/>
        <w:jc w:val="center"/>
      </w:pPr>
      <w:r>
        <w:drawing>
          <wp:inline distT="0" distB="0" distL="114300" distR="114300">
            <wp:extent cx="5140960" cy="2131060"/>
            <wp:effectExtent l="0" t="0" r="0" b="0"/>
            <wp:docPr id="8" name="图片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36"/>
                    <pic:cNvPicPr>
                      <a:picLocks noChangeAspect="1"/>
                    </pic:cNvPicPr>
                  </pic:nvPicPr>
                  <pic:blipFill>
                    <a:blip r:embed="rId16">
                      <a:grayscl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40960" cy="2131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C3FBA1">
      <w:pPr>
        <w:snapToGrid w:val="0"/>
        <w:spacing w:line="300" w:lineRule="auto"/>
        <w:ind w:firstLine="0" w:firstLineChars="0"/>
        <w:jc w:val="center"/>
        <w:rPr>
          <w:rFonts w:hint="eastAsia" w:ascii="宋体" w:hAnsi="宋体" w:eastAsia="宋体" w:cs="宋体"/>
          <w:lang w:eastAsia="zh-CN"/>
        </w:rPr>
      </w:pPr>
      <w:r>
        <w:rPr>
          <w:rFonts w:hint="eastAsia" w:ascii="宋体" w:hAnsi="宋体" w:eastAsia="宋体" w:cs="宋体"/>
        </w:rPr>
        <w:t xml:space="preserve">图1 </w:t>
      </w:r>
      <w:r>
        <w:rPr>
          <w:rFonts w:hint="eastAsia" w:ascii="宋体" w:hAnsi="宋体" w:eastAsia="宋体" w:cs="宋体"/>
          <w:lang w:val="en-US" w:eastAsia="zh-CN"/>
        </w:rPr>
        <w:t xml:space="preserve"> </w:t>
      </w:r>
      <w:r>
        <w:rPr>
          <w:rFonts w:hint="eastAsia" w:ascii="宋体" w:hAnsi="宋体" w:eastAsia="宋体" w:cs="宋体"/>
        </w:rPr>
        <w:t>机器视觉低频振动测量系统</w:t>
      </w:r>
    </w:p>
    <w:p w14:paraId="3543DB52">
      <w:pPr>
        <w:snapToGrid w:val="0"/>
        <w:spacing w:line="300" w:lineRule="auto"/>
        <w:ind w:firstLine="480" w:firstLineChars="200"/>
        <w:jc w:val="left"/>
        <w:rPr>
          <w:rFonts w:hint="eastAsia" w:eastAsia="宋体"/>
          <w:sz w:val="24"/>
          <w:lang w:val="en-US" w:eastAsia="zh-CN"/>
        </w:rPr>
      </w:pPr>
      <w:r>
        <w:rPr>
          <w:rFonts w:hint="eastAsia"/>
          <w:sz w:val="24"/>
        </w:rPr>
        <w:t>机器视觉低频振动测量系统由相机、机器视觉低频振动测量算法/软件构成</w:t>
      </w:r>
      <w:r>
        <w:rPr>
          <w:rFonts w:hint="eastAsia"/>
          <w:sz w:val="24"/>
          <w:lang w:eastAsia="zh-CN"/>
        </w:rPr>
        <w:t>，</w:t>
      </w:r>
      <w:r>
        <w:rPr>
          <w:rFonts w:hint="eastAsia"/>
          <w:sz w:val="24"/>
          <w:lang w:val="en-US" w:eastAsia="zh-CN"/>
        </w:rPr>
        <w:t>用于低频振动量值的</w:t>
      </w:r>
      <w:r>
        <w:rPr>
          <w:rFonts w:hint="eastAsia"/>
          <w:sz w:val="24"/>
        </w:rPr>
        <w:t>非接触</w:t>
      </w:r>
      <w:r>
        <w:rPr>
          <w:rFonts w:hint="eastAsia"/>
          <w:sz w:val="24"/>
          <w:lang w:val="en-US" w:eastAsia="zh-CN"/>
        </w:rPr>
        <w:t>测量，通过相机拍摄振动序列图像，采用边缘检测、深度学习等算法解算序列图像获得振动量值，并通过软件交互和显示。</w:t>
      </w:r>
      <w:r>
        <w:rPr>
          <w:rFonts w:hint="eastAsia"/>
          <w:sz w:val="24"/>
        </w:rPr>
        <w:t>振动传感器</w:t>
      </w:r>
      <w:r>
        <w:rPr>
          <w:sz w:val="24"/>
        </w:rPr>
        <w:t>是</w:t>
      </w:r>
      <w:r>
        <w:rPr>
          <w:rFonts w:hint="eastAsia"/>
          <w:sz w:val="24"/>
        </w:rPr>
        <w:t>将</w:t>
      </w:r>
      <w:r>
        <w:rPr>
          <w:sz w:val="24"/>
        </w:rPr>
        <w:t>被测</w:t>
      </w:r>
      <w:r>
        <w:rPr>
          <w:rFonts w:hint="eastAsia"/>
          <w:sz w:val="24"/>
        </w:rPr>
        <w:t>振动量值</w:t>
      </w:r>
      <w:r>
        <w:rPr>
          <w:sz w:val="24"/>
        </w:rPr>
        <w:t>转化为电量的传感器，通常由敏感元件和电量转换元件组成。按敏感机理，可分为：惯性质量式、气体热对流式等；按转换机理，可分为：压电式、电容式、压阻式、电磁式、力平衡式、热式</w:t>
      </w:r>
      <w:r>
        <w:rPr>
          <w:rFonts w:hint="eastAsia"/>
          <w:sz w:val="24"/>
          <w:lang w:eastAsia="zh-CN"/>
        </w:rPr>
        <w:t>、</w:t>
      </w:r>
      <w:r>
        <w:rPr>
          <w:rFonts w:hint="eastAsia"/>
          <w:sz w:val="24"/>
          <w:lang w:val="en-US" w:eastAsia="zh-CN"/>
        </w:rPr>
        <w:t>电涡流</w:t>
      </w:r>
      <w:r>
        <w:rPr>
          <w:sz w:val="24"/>
        </w:rPr>
        <w:t>式等。</w:t>
      </w:r>
    </w:p>
    <w:p w14:paraId="3D80D715">
      <w:pPr>
        <w:snapToGrid w:val="0"/>
        <w:spacing w:line="300" w:lineRule="auto"/>
        <w:ind w:firstLine="480" w:firstLineChars="200"/>
        <w:jc w:val="left"/>
        <w:rPr>
          <w:sz w:val="24"/>
        </w:rPr>
      </w:pPr>
      <w:r>
        <w:rPr>
          <w:rFonts w:hint="eastAsia"/>
          <w:sz w:val="24"/>
        </w:rPr>
        <w:t>机器视觉低频振动校准</w:t>
      </w:r>
      <w:r>
        <w:rPr>
          <w:sz w:val="24"/>
        </w:rPr>
        <w:t>的基本原理是</w:t>
      </w:r>
      <w:r>
        <w:rPr>
          <w:rFonts w:hint="eastAsia"/>
          <w:sz w:val="24"/>
        </w:rPr>
        <w:t>利用机器视觉</w:t>
      </w:r>
      <w:r>
        <w:rPr>
          <w:rFonts w:hint="eastAsia"/>
          <w:sz w:val="24"/>
          <w:lang w:val="en-US" w:eastAsia="zh-CN"/>
        </w:rPr>
        <w:t>低频振动测量系统</w:t>
      </w:r>
      <w:r>
        <w:rPr>
          <w:rFonts w:hint="eastAsia"/>
          <w:sz w:val="24"/>
        </w:rPr>
        <w:t>测量</w:t>
      </w:r>
      <w:r>
        <w:rPr>
          <w:rFonts w:hint="eastAsia"/>
          <w:sz w:val="24"/>
          <w:lang w:val="en-US" w:eastAsia="zh-CN"/>
        </w:rPr>
        <w:t>低频标准振动台发生的低频振动</w:t>
      </w:r>
      <w:r>
        <w:rPr>
          <w:rFonts w:hint="eastAsia"/>
          <w:sz w:val="24"/>
          <w:lang w:eastAsia="zh-CN"/>
        </w:rPr>
        <w:t>，</w:t>
      </w:r>
      <w:r>
        <w:rPr>
          <w:rFonts w:hint="eastAsia"/>
          <w:sz w:val="24"/>
        </w:rPr>
        <w:t>同时</w:t>
      </w:r>
      <w:r>
        <w:rPr>
          <w:rFonts w:hint="eastAsia"/>
          <w:sz w:val="24"/>
          <w:lang w:val="en-US" w:eastAsia="zh-CN"/>
        </w:rPr>
        <w:t>由动态信号分析仪</w:t>
      </w:r>
      <w:r>
        <w:rPr>
          <w:rFonts w:hint="eastAsia"/>
          <w:sz w:val="24"/>
        </w:rPr>
        <w:t>测量被校传感器的输出信号</w:t>
      </w:r>
      <w:r>
        <w:rPr>
          <w:rFonts w:hint="eastAsia"/>
          <w:sz w:val="24"/>
          <w:lang w:eastAsia="zh-CN"/>
        </w:rPr>
        <w:t>，</w:t>
      </w:r>
      <w:r>
        <w:rPr>
          <w:rFonts w:hint="eastAsia"/>
          <w:sz w:val="24"/>
        </w:rPr>
        <w:t>以实现</w:t>
      </w:r>
      <w:r>
        <w:rPr>
          <w:rFonts w:hint="eastAsia"/>
          <w:sz w:val="24"/>
          <w:lang w:val="en-US" w:eastAsia="zh-CN"/>
        </w:rPr>
        <w:t>被校对象</w:t>
      </w:r>
      <w:r>
        <w:rPr>
          <w:rFonts w:hint="eastAsia"/>
          <w:sz w:val="24"/>
        </w:rPr>
        <w:t>的校准。机器视觉</w:t>
      </w:r>
      <w:r>
        <w:rPr>
          <w:rFonts w:hint="eastAsia"/>
          <w:sz w:val="24"/>
          <w:lang w:val="en-US" w:eastAsia="zh-CN"/>
        </w:rPr>
        <w:t>低频振动测量系统通过测量由</w:t>
      </w:r>
      <w:r>
        <w:rPr>
          <w:rFonts w:hint="eastAsia"/>
          <w:sz w:val="24"/>
        </w:rPr>
        <w:t>低频振动标准显示器</w:t>
      </w:r>
      <w:r>
        <w:rPr>
          <w:rFonts w:hint="eastAsia"/>
          <w:sz w:val="24"/>
          <w:lang w:val="en-US" w:eastAsia="zh-CN"/>
        </w:rPr>
        <w:t>发生的</w:t>
      </w:r>
      <w:r>
        <w:rPr>
          <w:rFonts w:hint="eastAsia"/>
          <w:sz w:val="24"/>
        </w:rPr>
        <w:t>振动参考视频</w:t>
      </w:r>
      <w:r>
        <w:rPr>
          <w:rFonts w:hint="eastAsia"/>
          <w:sz w:val="24"/>
          <w:lang w:eastAsia="zh-CN"/>
        </w:rPr>
        <w:t>，</w:t>
      </w:r>
      <w:r>
        <w:rPr>
          <w:rFonts w:hint="eastAsia"/>
          <w:sz w:val="24"/>
          <w:lang w:val="en-US" w:eastAsia="zh-CN"/>
        </w:rPr>
        <w:t>实现低频振动量值的溯源。</w:t>
      </w:r>
    </w:p>
    <w:p w14:paraId="12C81800">
      <w:pPr>
        <w:pStyle w:val="2"/>
        <w:numPr>
          <w:ilvl w:val="0"/>
          <w:numId w:val="3"/>
        </w:numPr>
        <w:spacing w:before="120" w:beforeLines="50" w:after="120" w:afterLines="50" w:line="240" w:lineRule="auto"/>
        <w:rPr>
          <w:rFonts w:eastAsia="黑体"/>
          <w:b w:val="0"/>
          <w:bCs w:val="0"/>
          <w:sz w:val="24"/>
          <w:szCs w:val="24"/>
        </w:rPr>
      </w:pPr>
      <w:bookmarkStart w:id="23" w:name="_Toc435726342"/>
      <w:bookmarkEnd w:id="23"/>
      <w:bookmarkStart w:id="24" w:name="_Toc435726344"/>
      <w:bookmarkEnd w:id="24"/>
      <w:bookmarkStart w:id="25" w:name="_Toc435726341"/>
      <w:bookmarkEnd w:id="25"/>
      <w:bookmarkStart w:id="26" w:name="_Toc435726340"/>
      <w:bookmarkEnd w:id="26"/>
      <w:bookmarkStart w:id="27" w:name="_Toc435726343"/>
      <w:bookmarkEnd w:id="27"/>
      <w:bookmarkStart w:id="28" w:name="_Toc435726345"/>
      <w:bookmarkEnd w:id="28"/>
      <w:bookmarkStart w:id="29" w:name="_Toc435726346"/>
      <w:bookmarkEnd w:id="29"/>
      <w:bookmarkStart w:id="30" w:name="_Toc139139605"/>
      <w:bookmarkStart w:id="31" w:name="_Toc1523"/>
      <w:bookmarkStart w:id="32" w:name="_Toc422683924"/>
      <w:r>
        <w:rPr>
          <w:rFonts w:eastAsia="黑体"/>
          <w:b w:val="0"/>
          <w:bCs w:val="0"/>
          <w:sz w:val="24"/>
          <w:szCs w:val="24"/>
        </w:rPr>
        <w:t>计量特性</w:t>
      </w:r>
      <w:bookmarkEnd w:id="30"/>
      <w:bookmarkEnd w:id="31"/>
      <w:bookmarkEnd w:id="32"/>
      <w:bookmarkStart w:id="33" w:name="_Toc195978140"/>
    </w:p>
    <w:p w14:paraId="0A72E57D">
      <w:pPr>
        <w:spacing w:line="300" w:lineRule="auto"/>
        <w:ind w:left="-22"/>
        <w:jc w:val="center"/>
        <w:rPr>
          <w:rFonts w:hint="eastAsia" w:ascii="黑体" w:hAnsi="黑体" w:eastAsia="黑体" w:cs="黑体"/>
          <w:sz w:val="21"/>
          <w:szCs w:val="21"/>
          <w:lang w:val="en-US" w:eastAsia="zh-CN"/>
        </w:rPr>
      </w:pPr>
      <w:bookmarkStart w:id="34" w:name="_Toc224383110"/>
      <w:r>
        <w:rPr>
          <w:rFonts w:hint="eastAsia" w:ascii="黑体" w:hAnsi="黑体" w:eastAsia="黑体" w:cs="黑体"/>
          <w:sz w:val="21"/>
          <w:szCs w:val="21"/>
          <w:lang w:val="en-US" w:eastAsia="zh-CN"/>
        </w:rPr>
        <w:t>表1 计量特性</w:t>
      </w:r>
    </w:p>
    <w:tbl>
      <w:tblPr>
        <w:tblStyle w:val="18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00"/>
        <w:gridCol w:w="2603"/>
        <w:gridCol w:w="2604"/>
      </w:tblGrid>
      <w:tr w14:paraId="53A26A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600" w:type="dxa"/>
            <w:vAlign w:val="center"/>
          </w:tcPr>
          <w:p w14:paraId="64498108">
            <w:pPr>
              <w:spacing w:line="240" w:lineRule="auto"/>
              <w:jc w:val="center"/>
              <w:rPr>
                <w:rFonts w:hint="default" w:ascii="黑体" w:hAnsi="黑体" w:eastAsia="黑体" w:cs="黑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val="en-US" w:eastAsia="zh-CN"/>
              </w:rPr>
              <w:t>被校对象</w:t>
            </w:r>
          </w:p>
        </w:tc>
        <w:tc>
          <w:tcPr>
            <w:tcW w:w="5207" w:type="dxa"/>
            <w:gridSpan w:val="2"/>
            <w:vAlign w:val="center"/>
          </w:tcPr>
          <w:p w14:paraId="4F0318BD">
            <w:pPr>
              <w:spacing w:line="240" w:lineRule="auto"/>
              <w:jc w:val="center"/>
              <w:rPr>
                <w:rFonts w:hint="default" w:ascii="黑体" w:hAnsi="黑体" w:eastAsia="黑体" w:cs="黑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val="en-US" w:eastAsia="zh-CN"/>
              </w:rPr>
              <w:t>计量特性</w:t>
            </w:r>
          </w:p>
        </w:tc>
      </w:tr>
      <w:tr w14:paraId="29A746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600" w:type="dxa"/>
            <w:vMerge w:val="restart"/>
            <w:vAlign w:val="center"/>
          </w:tcPr>
          <w:p w14:paraId="4FD411DE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机器视觉低频振动测量系统</w:t>
            </w:r>
          </w:p>
        </w:tc>
        <w:tc>
          <w:tcPr>
            <w:tcW w:w="2603" w:type="dxa"/>
            <w:vAlign w:val="center"/>
          </w:tcPr>
          <w:p w14:paraId="50F62268">
            <w:pPr>
              <w:spacing w:line="240" w:lineRule="auto"/>
              <w:jc w:val="center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幅值</w:t>
            </w:r>
            <w:r>
              <w:rPr>
                <w:rFonts w:hint="eastAsia" w:ascii="宋体" w:hAnsi="宋体" w:cs="宋体"/>
                <w:sz w:val="21"/>
                <w:szCs w:val="21"/>
                <w:vertAlign w:val="baseline"/>
                <w:lang w:val="en-US" w:eastAsia="zh-CN"/>
              </w:rPr>
              <w:t>误差</w:t>
            </w:r>
          </w:p>
        </w:tc>
        <w:tc>
          <w:tcPr>
            <w:tcW w:w="2604" w:type="dxa"/>
            <w:vAlign w:val="center"/>
          </w:tcPr>
          <w:p w14:paraId="427A7E96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±0.2%</w:t>
            </w:r>
          </w:p>
        </w:tc>
      </w:tr>
      <w:tr w14:paraId="304A43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600" w:type="dxa"/>
            <w:vMerge w:val="continue"/>
            <w:vAlign w:val="center"/>
          </w:tcPr>
          <w:p w14:paraId="50880542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603" w:type="dxa"/>
            <w:vAlign w:val="center"/>
          </w:tcPr>
          <w:p w14:paraId="3711C471">
            <w:pPr>
              <w:spacing w:line="240" w:lineRule="auto"/>
              <w:jc w:val="center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相位</w:t>
            </w:r>
            <w:r>
              <w:rPr>
                <w:rFonts w:hint="eastAsia" w:ascii="宋体" w:hAnsi="宋体" w:cs="宋体"/>
                <w:sz w:val="21"/>
                <w:szCs w:val="21"/>
                <w:vertAlign w:val="baseline"/>
                <w:lang w:val="en-US" w:eastAsia="zh-CN"/>
              </w:rPr>
              <w:t>误差</w:t>
            </w:r>
          </w:p>
        </w:tc>
        <w:tc>
          <w:tcPr>
            <w:tcW w:w="2604" w:type="dxa"/>
            <w:vAlign w:val="center"/>
          </w:tcPr>
          <w:p w14:paraId="6A0BEA12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±0.2°</w:t>
            </w:r>
          </w:p>
        </w:tc>
      </w:tr>
      <w:tr w14:paraId="065170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600" w:type="dxa"/>
            <w:vMerge w:val="restart"/>
            <w:vAlign w:val="center"/>
          </w:tcPr>
          <w:p w14:paraId="30AA9C8C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机器视觉低频振动测量算法/软件</w:t>
            </w:r>
          </w:p>
        </w:tc>
        <w:tc>
          <w:tcPr>
            <w:tcW w:w="2603" w:type="dxa"/>
            <w:shd w:val="clear" w:color="auto" w:fill="auto"/>
            <w:vAlign w:val="center"/>
          </w:tcPr>
          <w:p w14:paraId="29C0A800">
            <w:pPr>
              <w:spacing w:line="240" w:lineRule="auto"/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幅值</w:t>
            </w:r>
            <w:r>
              <w:rPr>
                <w:rFonts w:hint="eastAsia" w:ascii="宋体" w:hAnsi="宋体" w:cs="宋体"/>
                <w:sz w:val="21"/>
                <w:szCs w:val="21"/>
                <w:vertAlign w:val="baseline"/>
                <w:lang w:val="en-US" w:eastAsia="zh-CN"/>
              </w:rPr>
              <w:t>误差</w:t>
            </w:r>
          </w:p>
        </w:tc>
        <w:tc>
          <w:tcPr>
            <w:tcW w:w="2604" w:type="dxa"/>
            <w:shd w:val="clear" w:color="auto" w:fill="auto"/>
            <w:vAlign w:val="center"/>
          </w:tcPr>
          <w:p w14:paraId="525EEB6B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±0.</w:t>
            </w:r>
            <w:r>
              <w:rPr>
                <w:rFonts w:hint="eastAsia" w:cs="Times New Roman"/>
                <w:sz w:val="21"/>
                <w:szCs w:val="21"/>
                <w:vertAlign w:val="baseline"/>
                <w:lang w:val="en-US" w:eastAsia="zh-CN"/>
              </w:rPr>
              <w:t>1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%</w:t>
            </w:r>
          </w:p>
        </w:tc>
      </w:tr>
      <w:tr w14:paraId="7276A9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600" w:type="dxa"/>
            <w:vMerge w:val="continue"/>
            <w:vAlign w:val="center"/>
          </w:tcPr>
          <w:p w14:paraId="7421EF94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603" w:type="dxa"/>
            <w:shd w:val="clear" w:color="auto" w:fill="auto"/>
            <w:vAlign w:val="center"/>
          </w:tcPr>
          <w:p w14:paraId="1231EBA5">
            <w:pPr>
              <w:spacing w:line="240" w:lineRule="auto"/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相位</w:t>
            </w:r>
            <w:r>
              <w:rPr>
                <w:rFonts w:hint="eastAsia" w:ascii="宋体" w:hAnsi="宋体" w:cs="宋体"/>
                <w:sz w:val="21"/>
                <w:szCs w:val="21"/>
                <w:vertAlign w:val="baseline"/>
                <w:lang w:val="en-US" w:eastAsia="zh-CN"/>
              </w:rPr>
              <w:t>误差</w:t>
            </w:r>
          </w:p>
        </w:tc>
        <w:tc>
          <w:tcPr>
            <w:tcW w:w="2604" w:type="dxa"/>
            <w:shd w:val="clear" w:color="auto" w:fill="auto"/>
            <w:vAlign w:val="center"/>
          </w:tcPr>
          <w:p w14:paraId="224A344C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±0.</w:t>
            </w:r>
            <w:r>
              <w:rPr>
                <w:rFonts w:hint="eastAsia" w:cs="Times New Roman"/>
                <w:sz w:val="21"/>
                <w:szCs w:val="21"/>
                <w:vertAlign w:val="baseline"/>
                <w:lang w:val="en-US" w:eastAsia="zh-CN"/>
              </w:rPr>
              <w:t>1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°</w:t>
            </w:r>
          </w:p>
        </w:tc>
      </w:tr>
      <w:tr w14:paraId="234A6D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600" w:type="dxa"/>
            <w:vMerge w:val="restart"/>
            <w:vAlign w:val="center"/>
          </w:tcPr>
          <w:p w14:paraId="4465DB6A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低频振动传感器</w:t>
            </w:r>
          </w:p>
        </w:tc>
        <w:tc>
          <w:tcPr>
            <w:tcW w:w="2603" w:type="dxa"/>
            <w:vAlign w:val="center"/>
          </w:tcPr>
          <w:p w14:paraId="574BB8A2">
            <w:pPr>
              <w:spacing w:line="240" w:lineRule="auto"/>
              <w:jc w:val="center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灵敏度幅值</w:t>
            </w:r>
          </w:p>
        </w:tc>
        <w:tc>
          <w:tcPr>
            <w:tcW w:w="2604" w:type="dxa"/>
            <w:shd w:val="clear" w:color="auto" w:fill="auto"/>
            <w:vAlign w:val="center"/>
          </w:tcPr>
          <w:p w14:paraId="17B1C53F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vertAlign w:val="baseline"/>
                <w:lang w:val="en-US" w:eastAsia="zh-CN"/>
              </w:rPr>
              <w:t>测量不确定度≤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0.</w:t>
            </w:r>
            <w:r>
              <w:rPr>
                <w:rFonts w:hint="eastAsia" w:cs="Times New Roman"/>
                <w:sz w:val="21"/>
                <w:szCs w:val="21"/>
                <w:vertAlign w:val="baseline"/>
                <w:lang w:val="en-US" w:eastAsia="zh-CN"/>
              </w:rPr>
              <w:t>5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%</w:t>
            </w:r>
          </w:p>
        </w:tc>
      </w:tr>
      <w:tr w14:paraId="1C368D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600" w:type="dxa"/>
            <w:vMerge w:val="continue"/>
            <w:vAlign w:val="center"/>
          </w:tcPr>
          <w:p w14:paraId="30705C6B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603" w:type="dxa"/>
            <w:vAlign w:val="center"/>
          </w:tcPr>
          <w:p w14:paraId="7B02AFD2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灵敏度相移</w:t>
            </w:r>
          </w:p>
        </w:tc>
        <w:tc>
          <w:tcPr>
            <w:tcW w:w="2604" w:type="dxa"/>
            <w:shd w:val="clear" w:color="auto" w:fill="auto"/>
            <w:vAlign w:val="center"/>
          </w:tcPr>
          <w:p w14:paraId="2FDE9DAB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vertAlign w:val="baseline"/>
                <w:lang w:val="en-US" w:eastAsia="zh-CN"/>
              </w:rPr>
              <w:t>测量不确定度≤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0.</w:t>
            </w:r>
            <w:r>
              <w:rPr>
                <w:rFonts w:hint="eastAsia" w:cs="Times New Roman"/>
                <w:sz w:val="21"/>
                <w:szCs w:val="21"/>
                <w:vertAlign w:val="baseline"/>
                <w:lang w:val="en-US" w:eastAsia="zh-CN"/>
              </w:rPr>
              <w:t>5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°</w:t>
            </w:r>
          </w:p>
        </w:tc>
      </w:tr>
      <w:tr w14:paraId="1A9D02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600" w:type="dxa"/>
            <w:vAlign w:val="center"/>
          </w:tcPr>
          <w:p w14:paraId="0751CA1D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低频振动测量系统</w:t>
            </w:r>
          </w:p>
        </w:tc>
        <w:tc>
          <w:tcPr>
            <w:tcW w:w="2603" w:type="dxa"/>
            <w:vAlign w:val="center"/>
          </w:tcPr>
          <w:p w14:paraId="2F9AFA88">
            <w:pPr>
              <w:spacing w:line="240" w:lineRule="auto"/>
              <w:jc w:val="center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幅值</w:t>
            </w:r>
            <w:r>
              <w:rPr>
                <w:rFonts w:hint="eastAsia" w:ascii="宋体" w:hAnsi="宋体" w:cs="宋体"/>
                <w:sz w:val="21"/>
                <w:szCs w:val="21"/>
                <w:vertAlign w:val="baseline"/>
                <w:lang w:val="en-US" w:eastAsia="zh-CN"/>
              </w:rPr>
              <w:t>误差</w:t>
            </w:r>
          </w:p>
        </w:tc>
        <w:tc>
          <w:tcPr>
            <w:tcW w:w="2604" w:type="dxa"/>
            <w:vAlign w:val="center"/>
          </w:tcPr>
          <w:p w14:paraId="05F2F5D3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±0.</w:t>
            </w:r>
            <w:r>
              <w:rPr>
                <w:rFonts w:hint="eastAsia" w:cs="Times New Roman"/>
                <w:sz w:val="21"/>
                <w:szCs w:val="21"/>
                <w:vertAlign w:val="baseline"/>
                <w:lang w:val="en-US" w:eastAsia="zh-CN"/>
              </w:rPr>
              <w:t>5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%</w:t>
            </w:r>
          </w:p>
        </w:tc>
      </w:tr>
    </w:tbl>
    <w:p w14:paraId="0331ABFB">
      <w:pPr>
        <w:spacing w:line="300" w:lineRule="auto"/>
        <w:ind w:left="-22" w:firstLine="360" w:firstLineChars="200"/>
        <w:jc w:val="left"/>
        <w:rPr>
          <w:rFonts w:hint="eastAsia" w:ascii="仿宋_GB2312" w:hAnsi="仿宋_GB2312" w:eastAsia="仿宋_GB2312" w:cs="仿宋_GB2312"/>
          <w:sz w:val="21"/>
          <w:szCs w:val="21"/>
          <w:lang w:val="en-US" w:eastAsia="zh-CN"/>
        </w:rPr>
      </w:pPr>
      <w:r>
        <w:rPr>
          <w:rFonts w:hint="eastAsia" w:ascii="仿宋_GB2312" w:hAnsi="仿宋_GB2312" w:eastAsia="仿宋_GB2312" w:cs="仿宋_GB2312"/>
          <w:sz w:val="18"/>
          <w:szCs w:val="18"/>
          <w:lang w:val="en-US" w:eastAsia="zh-CN"/>
        </w:rPr>
        <w:t>注：以上指标不是用于合格性判别，仅提供参考。</w:t>
      </w:r>
    </w:p>
    <w:bookmarkEnd w:id="33"/>
    <w:bookmarkEnd w:id="34"/>
    <w:p w14:paraId="6BF0C8BE">
      <w:pPr>
        <w:pStyle w:val="2"/>
        <w:numPr>
          <w:ilvl w:val="0"/>
          <w:numId w:val="3"/>
        </w:numPr>
        <w:spacing w:before="120" w:beforeLines="50" w:after="120" w:afterLines="50" w:line="300" w:lineRule="auto"/>
        <w:rPr>
          <w:rFonts w:eastAsia="黑体"/>
          <w:b w:val="0"/>
          <w:bCs w:val="0"/>
          <w:sz w:val="24"/>
          <w:szCs w:val="24"/>
        </w:rPr>
      </w:pPr>
      <w:bookmarkStart w:id="35" w:name="_Toc435726348"/>
      <w:bookmarkEnd w:id="35"/>
      <w:bookmarkStart w:id="36" w:name="_Toc435726349"/>
      <w:bookmarkEnd w:id="36"/>
      <w:bookmarkStart w:id="37" w:name="_Toc621"/>
      <w:bookmarkStart w:id="38" w:name="_Toc422683925"/>
      <w:bookmarkStart w:id="39" w:name="_Toc139139606"/>
      <w:r>
        <w:rPr>
          <w:rFonts w:eastAsia="黑体"/>
          <w:b w:val="0"/>
          <w:bCs w:val="0"/>
          <w:sz w:val="24"/>
          <w:szCs w:val="24"/>
        </w:rPr>
        <w:t>校准条件</w:t>
      </w:r>
      <w:bookmarkEnd w:id="37"/>
      <w:bookmarkEnd w:id="38"/>
      <w:bookmarkEnd w:id="39"/>
    </w:p>
    <w:p w14:paraId="0F5201D6">
      <w:pPr>
        <w:pStyle w:val="3"/>
        <w:spacing w:line="300" w:lineRule="auto"/>
        <w:ind w:left="0"/>
        <w:rPr>
          <w:rFonts w:hint="eastAsia" w:ascii="宋体" w:hAnsi="宋体" w:cs="宋体"/>
          <w:b w:val="0"/>
          <w:bCs w:val="0"/>
          <w:sz w:val="24"/>
          <w:szCs w:val="24"/>
        </w:rPr>
      </w:pPr>
      <w:bookmarkStart w:id="40" w:name="_Toc17308"/>
      <w:r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  <w:t xml:space="preserve">6.1 </w:t>
      </w:r>
      <w:r>
        <w:rPr>
          <w:rFonts w:hint="eastAsia" w:ascii="宋体" w:hAnsi="宋体" w:cs="宋体"/>
          <w:b w:val="0"/>
          <w:bCs w:val="0"/>
          <w:sz w:val="24"/>
          <w:szCs w:val="24"/>
        </w:rPr>
        <w:t>环境条件</w:t>
      </w:r>
      <w:bookmarkEnd w:id="40"/>
    </w:p>
    <w:p w14:paraId="581D15EE">
      <w:pPr>
        <w:spacing w:line="300" w:lineRule="auto"/>
        <w:ind w:firstLine="435"/>
        <w:rPr>
          <w:rFonts w:hint="eastAsia" w:ascii="宋体" w:hAnsi="宋体" w:cs="宋体"/>
          <w:b w:val="0"/>
          <w:bCs w:val="0"/>
          <w:sz w:val="24"/>
          <w:szCs w:val="24"/>
        </w:rPr>
      </w:pPr>
      <w:r>
        <w:rPr>
          <w:rFonts w:hint="eastAsia" w:ascii="宋体" w:hAnsi="宋体" w:cs="宋体"/>
          <w:b w:val="0"/>
          <w:bCs w:val="0"/>
          <w:sz w:val="24"/>
          <w:szCs w:val="24"/>
        </w:rPr>
        <w:t>环境温度：（</w:t>
      </w:r>
      <w:r>
        <w:rPr>
          <w:rFonts w:hint="eastAsia" w:ascii="宋体" w:hAnsi="宋体" w:cs="宋体"/>
          <w:b w:val="0"/>
          <w:bCs w:val="0"/>
          <w:sz w:val="24"/>
          <w:szCs w:val="24"/>
          <w:lang w:val="zh-CN"/>
        </w:rPr>
        <w:t>20～26</w:t>
      </w:r>
      <w:r>
        <w:rPr>
          <w:rFonts w:hint="eastAsia" w:ascii="宋体" w:hAnsi="宋体" w:cs="宋体"/>
          <w:b w:val="0"/>
          <w:bCs w:val="0"/>
          <w:sz w:val="24"/>
          <w:szCs w:val="24"/>
        </w:rPr>
        <w:t>）℃；</w:t>
      </w:r>
    </w:p>
    <w:p w14:paraId="6EDF2539">
      <w:pPr>
        <w:spacing w:line="300" w:lineRule="auto"/>
        <w:ind w:firstLine="435"/>
        <w:rPr>
          <w:rFonts w:hint="eastAsia" w:ascii="宋体" w:hAnsi="宋体" w:cs="宋体"/>
          <w:b w:val="0"/>
          <w:bCs w:val="0"/>
          <w:sz w:val="24"/>
          <w:szCs w:val="24"/>
        </w:rPr>
      </w:pPr>
      <w:r>
        <w:rPr>
          <w:rFonts w:hint="eastAsia" w:ascii="宋体" w:hAnsi="宋体" w:cs="宋体"/>
          <w:b w:val="0"/>
          <w:bCs w:val="0"/>
          <w:sz w:val="24"/>
          <w:szCs w:val="24"/>
        </w:rPr>
        <w:t xml:space="preserve">相对湿度：≤ 75％； </w:t>
      </w:r>
    </w:p>
    <w:p w14:paraId="01A3ECC7">
      <w:pPr>
        <w:spacing w:line="300" w:lineRule="auto"/>
        <w:ind w:firstLine="435"/>
        <w:rPr>
          <w:rFonts w:hint="eastAsia" w:ascii="宋体" w:hAnsi="宋体" w:cs="宋体"/>
          <w:b w:val="0"/>
          <w:bCs w:val="0"/>
          <w:sz w:val="24"/>
          <w:szCs w:val="24"/>
        </w:rPr>
      </w:pPr>
      <w:r>
        <w:rPr>
          <w:rFonts w:hint="eastAsia" w:ascii="宋体" w:hAnsi="宋体" w:cs="宋体"/>
          <w:b w:val="0"/>
          <w:bCs w:val="0"/>
          <w:sz w:val="24"/>
          <w:szCs w:val="24"/>
        </w:rPr>
        <w:t>环境振动：</w:t>
      </w:r>
      <w:r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  <w:t>加速度功率谱密度不高于</w:t>
      </w:r>
      <w:r>
        <w:rPr>
          <w:rFonts w:hint="eastAsia" w:ascii="宋体" w:hAnsi="宋体" w:cs="宋体"/>
          <w:b w:val="0"/>
          <w:bCs w:val="0"/>
          <w:sz w:val="24"/>
          <w:szCs w:val="24"/>
        </w:rPr>
        <w:t>1×10</w:t>
      </w:r>
      <w:r>
        <w:rPr>
          <w:rFonts w:hint="eastAsia" w:ascii="宋体" w:hAnsi="宋体" w:cs="宋体"/>
          <w:b w:val="0"/>
          <w:bCs w:val="0"/>
          <w:sz w:val="24"/>
          <w:szCs w:val="24"/>
          <w:vertAlign w:val="superscript"/>
        </w:rPr>
        <w:t>-6</w:t>
      </w:r>
      <w:r>
        <w:rPr>
          <w:rFonts w:hint="eastAsia" w:ascii="宋体" w:hAnsi="宋体" w:cs="宋体"/>
          <w:b w:val="0"/>
          <w:bCs w:val="0"/>
          <w:sz w:val="24"/>
          <w:szCs w:val="24"/>
        </w:rPr>
        <w:t xml:space="preserve"> </w:t>
      </w:r>
      <m:oMath>
        <m:r>
          <m:rPr>
            <m:sty m:val="p"/>
          </m:rPr>
          <w:rPr>
            <w:rFonts w:hint="default" w:ascii="Cambria Math" w:hAnsi="Cambria Math" w:cs="宋体"/>
            <w:sz w:val="24"/>
            <w:szCs w:val="24"/>
            <w:vertAlign w:val="superscript"/>
            <w:lang w:val="en-US" w:eastAsia="zh-CN"/>
          </w:rPr>
          <m:t>m/</m:t>
        </m:r>
        <m:sSup>
          <m:sSupPr>
            <m:ctrlPr>
              <w:rPr>
                <w:rFonts w:hint="eastAsia" w:ascii="Cambria Math" w:hAnsi="Cambria Math" w:cs="宋体"/>
                <w:b w:val="0"/>
                <w:bCs w:val="0"/>
                <w:sz w:val="24"/>
                <w:szCs w:val="24"/>
                <w:vertAlign w:val="superscript"/>
                <w:lang w:val="en-US" w:eastAsia="zh-CN"/>
              </w:rPr>
            </m:ctrlPr>
          </m:sSupPr>
          <m:e>
            <m:r>
              <m:rPr>
                <m:sty m:val="p"/>
              </m:rPr>
              <w:rPr>
                <w:rFonts w:hint="default" w:ascii="Cambria Math" w:hAnsi="Cambria Math" w:cs="宋体"/>
                <w:sz w:val="24"/>
                <w:szCs w:val="24"/>
                <w:vertAlign w:val="superscript"/>
                <w:lang w:val="en-US" w:eastAsia="zh-CN"/>
              </w:rPr>
              <m:t>s</m:t>
            </m:r>
            <m:ctrlPr>
              <w:rPr>
                <w:rFonts w:hint="eastAsia" w:ascii="Cambria Math" w:hAnsi="Cambria Math" w:cs="宋体"/>
                <w:b w:val="0"/>
                <w:bCs w:val="0"/>
                <w:sz w:val="24"/>
                <w:szCs w:val="24"/>
                <w:vertAlign w:val="superscript"/>
                <w:lang w:val="en-US" w:eastAsia="zh-CN"/>
              </w:rPr>
            </m:ctrlPr>
          </m:e>
          <m:sup>
            <m:r>
              <m:rPr>
                <m:sty m:val="p"/>
              </m:rPr>
              <w:rPr>
                <w:rFonts w:hint="default" w:ascii="Cambria Math" w:hAnsi="Cambria Math" w:cs="宋体"/>
                <w:sz w:val="24"/>
                <w:szCs w:val="24"/>
                <w:vertAlign w:val="superscript"/>
                <w:lang w:val="en-US" w:eastAsia="zh-CN"/>
              </w:rPr>
              <m:t>2</m:t>
            </m:r>
            <m:ctrlPr>
              <w:rPr>
                <w:rFonts w:hint="eastAsia" w:ascii="Cambria Math" w:hAnsi="Cambria Math" w:cs="宋体"/>
                <w:b w:val="0"/>
                <w:bCs w:val="0"/>
                <w:sz w:val="24"/>
                <w:szCs w:val="24"/>
                <w:vertAlign w:val="superscript"/>
                <w:lang w:val="en-US" w:eastAsia="zh-CN"/>
              </w:rPr>
            </m:ctrlPr>
          </m:sup>
        </m:sSup>
        <m:r>
          <m:rPr>
            <m:sty m:val="p"/>
          </m:rPr>
          <w:rPr>
            <w:rFonts w:hint="eastAsia" w:ascii="Cambria Math" w:hAnsi="Cambria Math" w:cs="宋体"/>
            <w:sz w:val="24"/>
            <w:szCs w:val="24"/>
            <w:vertAlign w:val="superscript"/>
            <w:lang w:val="en-US" w:eastAsia="zh-CN"/>
          </w:rPr>
          <m:t>/</m:t>
        </m:r>
        <m:rad>
          <m:radPr>
            <m:degHide m:val="1"/>
            <m:ctrlPr>
              <w:rPr>
                <w:rFonts w:hint="eastAsia" w:ascii="Cambria Math" w:hAnsi="Cambria Math" w:cs="宋体"/>
                <w:b w:val="0"/>
                <w:bCs w:val="0"/>
                <w:i/>
                <w:sz w:val="24"/>
                <w:szCs w:val="24"/>
                <w:vertAlign w:val="superscript"/>
              </w:rPr>
            </m:ctrlPr>
          </m:radPr>
          <m:deg>
            <m:ctrlPr>
              <w:rPr>
                <w:rFonts w:hint="eastAsia" w:ascii="Cambria Math" w:hAnsi="Cambria Math" w:cs="宋体"/>
                <w:b w:val="0"/>
                <w:bCs w:val="0"/>
                <w:i/>
                <w:sz w:val="24"/>
                <w:szCs w:val="24"/>
                <w:vertAlign w:val="superscript"/>
              </w:rPr>
            </m:ctrlPr>
          </m:deg>
          <m:e>
            <m:r>
              <m:rPr>
                <m:sty m:val="p"/>
              </m:rPr>
              <w:rPr>
                <w:rFonts w:hint="default" w:ascii="Cambria Math" w:hAnsi="Cambria Math" w:cs="宋体"/>
                <w:sz w:val="24"/>
                <w:szCs w:val="24"/>
                <w:vertAlign w:val="superscript"/>
                <w:lang w:val="en-US" w:eastAsia="zh-CN"/>
              </w:rPr>
              <m:t>Hz</m:t>
            </m:r>
            <m:ctrlPr>
              <w:rPr>
                <w:rFonts w:hint="eastAsia" w:ascii="Cambria Math" w:hAnsi="Cambria Math" w:cs="宋体"/>
                <w:b w:val="0"/>
                <w:bCs w:val="0"/>
                <w:i/>
                <w:sz w:val="24"/>
                <w:szCs w:val="24"/>
                <w:vertAlign w:val="superscript"/>
              </w:rPr>
            </m:ctrlPr>
          </m:e>
        </m:rad>
      </m:oMath>
      <w:r>
        <w:rPr>
          <w:rFonts w:hint="eastAsia" w:ascii="宋体" w:hAnsi="宋体" w:cs="宋体"/>
          <w:b w:val="0"/>
          <w:bCs w:val="0"/>
          <w:sz w:val="24"/>
          <w:szCs w:val="24"/>
        </w:rPr>
        <w:t>。</w:t>
      </w:r>
    </w:p>
    <w:p w14:paraId="01F31FE6">
      <w:pPr>
        <w:pStyle w:val="3"/>
        <w:spacing w:line="300" w:lineRule="auto"/>
        <w:ind w:left="0"/>
        <w:rPr>
          <w:rFonts w:hint="eastAsia" w:ascii="宋体" w:hAnsi="宋体" w:cs="宋体"/>
          <w:b w:val="0"/>
          <w:bCs w:val="0"/>
          <w:sz w:val="24"/>
          <w:szCs w:val="24"/>
        </w:rPr>
      </w:pPr>
      <w:bookmarkStart w:id="41" w:name="_Toc25517"/>
      <w:r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  <w:t>6.2</w:t>
      </w:r>
      <w:r>
        <w:rPr>
          <w:rFonts w:hint="eastAsia" w:ascii="宋体" w:hAnsi="宋体" w:cs="宋体"/>
          <w:b w:val="0"/>
          <w:bCs w:val="0"/>
          <w:sz w:val="24"/>
          <w:szCs w:val="24"/>
        </w:rPr>
        <w:t xml:space="preserve">  测量标准及其他设备</w:t>
      </w:r>
      <w:bookmarkEnd w:id="41"/>
    </w:p>
    <w:p w14:paraId="3BDE4437">
      <w:pPr>
        <w:numPr>
          <w:ilvl w:val="-1"/>
          <w:numId w:val="0"/>
        </w:numPr>
        <w:spacing w:line="300" w:lineRule="auto"/>
        <w:ind w:left="0" w:firstLine="0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  <w:lang w:val="en-US" w:eastAsia="zh-CN"/>
        </w:rPr>
        <w:t xml:space="preserve">6.2.1 </w:t>
      </w:r>
      <w:r>
        <w:rPr>
          <w:rFonts w:hint="eastAsia" w:ascii="宋体" w:hAnsi="宋体" w:cs="宋体"/>
          <w:sz w:val="24"/>
          <w:szCs w:val="24"/>
        </w:rPr>
        <w:t>振动参考视频库</w:t>
      </w:r>
    </w:p>
    <w:p w14:paraId="0AE25253">
      <w:pPr>
        <w:spacing w:line="300" w:lineRule="auto"/>
        <w:ind w:firstLine="435"/>
        <w:rPr>
          <w:sz w:val="24"/>
          <w:szCs w:val="24"/>
        </w:rPr>
      </w:pPr>
      <w:r>
        <w:rPr>
          <w:sz w:val="24"/>
          <w:szCs w:val="24"/>
        </w:rPr>
        <w:t>频率范围：</w:t>
      </w:r>
      <w:r>
        <w:rPr>
          <w:rFonts w:hint="eastAsia"/>
          <w:sz w:val="24"/>
          <w:szCs w:val="24"/>
          <w:lang w:val="en-US" w:eastAsia="zh-CN"/>
        </w:rPr>
        <w:t xml:space="preserve">DC </w:t>
      </w:r>
      <w:r>
        <w:rPr>
          <w:sz w:val="24"/>
          <w:szCs w:val="24"/>
        </w:rPr>
        <w:t>~ 20 Hz；</w:t>
      </w:r>
    </w:p>
    <w:p w14:paraId="7F98443D">
      <w:pPr>
        <w:spacing w:line="300" w:lineRule="auto"/>
        <w:ind w:firstLine="435"/>
        <w:rPr>
          <w:rFonts w:hint="eastAsia"/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val="en-US" w:eastAsia="zh-CN"/>
        </w:rPr>
        <w:t>幅值</w:t>
      </w:r>
      <w:r>
        <w:rPr>
          <w:sz w:val="24"/>
          <w:szCs w:val="24"/>
        </w:rPr>
        <w:t>不确定度：</w:t>
      </w:r>
      <w:r>
        <w:rPr>
          <w:rFonts w:hint="eastAsia"/>
          <w:sz w:val="24"/>
          <w:szCs w:val="24"/>
          <w:lang w:val="en-US" w:eastAsia="zh-CN"/>
        </w:rPr>
        <w:t>≤</w:t>
      </w:r>
      <w:r>
        <w:rPr>
          <w:sz w:val="24"/>
          <w:szCs w:val="24"/>
        </w:rPr>
        <w:t>0.</w:t>
      </w:r>
      <w:r>
        <w:rPr>
          <w:rFonts w:hint="eastAsia"/>
          <w:sz w:val="24"/>
          <w:szCs w:val="24"/>
          <w:lang w:val="en-US" w:eastAsia="zh-CN"/>
        </w:rPr>
        <w:t>02</w:t>
      </w:r>
      <w:r>
        <w:rPr>
          <w:sz w:val="24"/>
          <w:szCs w:val="24"/>
        </w:rPr>
        <w:t>%</w:t>
      </w:r>
      <w:r>
        <w:rPr>
          <w:rFonts w:hint="eastAsia"/>
          <w:sz w:val="24"/>
          <w:szCs w:val="24"/>
          <w:lang w:eastAsia="zh-CN"/>
        </w:rPr>
        <w:t>（</w:t>
      </w:r>
      <w:r>
        <w:rPr>
          <w:rFonts w:hint="eastAsia"/>
          <w:i/>
          <w:iCs/>
          <w:sz w:val="24"/>
          <w:szCs w:val="24"/>
          <w:lang w:val="en-US" w:eastAsia="zh-CN"/>
        </w:rPr>
        <w:t>k</w:t>
      </w:r>
      <w:r>
        <w:rPr>
          <w:rFonts w:hint="eastAsia"/>
          <w:sz w:val="24"/>
          <w:szCs w:val="24"/>
          <w:lang w:val="en-US" w:eastAsia="zh-CN"/>
        </w:rPr>
        <w:t>=2</w:t>
      </w:r>
      <w:r>
        <w:rPr>
          <w:rFonts w:hint="eastAsia"/>
          <w:sz w:val="24"/>
          <w:szCs w:val="24"/>
          <w:lang w:eastAsia="zh-CN"/>
        </w:rPr>
        <w:t>）；</w:t>
      </w:r>
    </w:p>
    <w:p w14:paraId="71A387FF">
      <w:pPr>
        <w:spacing w:line="300" w:lineRule="auto"/>
        <w:ind w:firstLine="435"/>
        <w:rPr>
          <w:rFonts w:hint="eastAsia"/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val="en-US" w:eastAsia="zh-CN"/>
        </w:rPr>
        <w:t>相位</w:t>
      </w:r>
      <w:r>
        <w:rPr>
          <w:sz w:val="24"/>
          <w:szCs w:val="24"/>
        </w:rPr>
        <w:t>不确定度：</w:t>
      </w:r>
      <w:r>
        <w:rPr>
          <w:rFonts w:hint="eastAsia"/>
          <w:sz w:val="24"/>
          <w:szCs w:val="24"/>
          <w:lang w:val="en-US" w:eastAsia="zh-CN"/>
        </w:rPr>
        <w:t>≤</w:t>
      </w:r>
      <w:r>
        <w:rPr>
          <w:sz w:val="24"/>
          <w:szCs w:val="24"/>
        </w:rPr>
        <w:t>0.</w:t>
      </w:r>
      <w:r>
        <w:rPr>
          <w:rFonts w:hint="eastAsia"/>
          <w:sz w:val="24"/>
          <w:szCs w:val="24"/>
          <w:lang w:val="en-US" w:eastAsia="zh-CN"/>
        </w:rPr>
        <w:t>02°</w:t>
      </w:r>
      <w:r>
        <w:rPr>
          <w:rFonts w:hint="eastAsia"/>
          <w:sz w:val="24"/>
          <w:szCs w:val="24"/>
          <w:lang w:eastAsia="zh-CN"/>
        </w:rPr>
        <w:t>（</w:t>
      </w:r>
      <w:r>
        <w:rPr>
          <w:rFonts w:hint="eastAsia"/>
          <w:i/>
          <w:iCs/>
          <w:sz w:val="24"/>
          <w:szCs w:val="24"/>
          <w:lang w:val="en-US" w:eastAsia="zh-CN"/>
        </w:rPr>
        <w:t>k</w:t>
      </w:r>
      <w:r>
        <w:rPr>
          <w:rFonts w:hint="eastAsia"/>
          <w:sz w:val="24"/>
          <w:szCs w:val="24"/>
          <w:lang w:val="en-US" w:eastAsia="zh-CN"/>
        </w:rPr>
        <w:t>=2</w:t>
      </w:r>
      <w:r>
        <w:rPr>
          <w:rFonts w:hint="eastAsia"/>
          <w:sz w:val="24"/>
          <w:szCs w:val="24"/>
          <w:lang w:eastAsia="zh-CN"/>
        </w:rPr>
        <w:t>）。</w:t>
      </w:r>
    </w:p>
    <w:p w14:paraId="42274679">
      <w:pPr>
        <w:spacing w:line="300" w:lineRule="auto"/>
        <w:rPr>
          <w:sz w:val="24"/>
          <w:szCs w:val="24"/>
        </w:rPr>
      </w:pPr>
      <w:r>
        <w:rPr>
          <w:rFonts w:hint="eastAsia"/>
          <w:sz w:val="24"/>
          <w:lang w:val="en-US" w:eastAsia="zh-CN"/>
        </w:rPr>
        <w:t xml:space="preserve">6.2.2 </w:t>
      </w:r>
      <w:r>
        <w:rPr>
          <w:rFonts w:hint="eastAsia"/>
          <w:sz w:val="24"/>
        </w:rPr>
        <w:t>低频振动标准显示器</w:t>
      </w:r>
    </w:p>
    <w:p w14:paraId="0C7D5996">
      <w:pPr>
        <w:spacing w:line="300" w:lineRule="auto"/>
        <w:ind w:firstLine="435"/>
        <w:rPr>
          <w:sz w:val="24"/>
          <w:szCs w:val="24"/>
        </w:rPr>
      </w:pPr>
      <w:r>
        <w:rPr>
          <w:sz w:val="24"/>
          <w:szCs w:val="24"/>
        </w:rPr>
        <w:t>标准低频振动显示器</w:t>
      </w:r>
      <w:r>
        <w:rPr>
          <w:rFonts w:hint="eastAsia"/>
          <w:sz w:val="24"/>
          <w:szCs w:val="24"/>
          <w:lang w:val="en-US" w:eastAsia="zh-CN"/>
        </w:rPr>
        <w:t>像素宽度</w:t>
      </w:r>
      <w:r>
        <w:rPr>
          <w:sz w:val="24"/>
          <w:szCs w:val="24"/>
        </w:rPr>
        <w:t>的不确定度：</w:t>
      </w:r>
      <w:r>
        <w:rPr>
          <w:rFonts w:hint="eastAsia"/>
          <w:sz w:val="24"/>
          <w:szCs w:val="24"/>
          <w:lang w:val="en-US" w:eastAsia="zh-CN"/>
        </w:rPr>
        <w:t>0.02 mm</w:t>
      </w:r>
      <w:r>
        <w:rPr>
          <w:rFonts w:hint="eastAsia"/>
          <w:sz w:val="24"/>
          <w:szCs w:val="24"/>
          <w:lang w:eastAsia="zh-CN"/>
        </w:rPr>
        <w:t>（</w:t>
      </w:r>
      <w:r>
        <w:rPr>
          <w:rFonts w:hint="eastAsia"/>
          <w:i/>
          <w:iCs/>
          <w:sz w:val="24"/>
          <w:szCs w:val="24"/>
          <w:lang w:val="en-US" w:eastAsia="zh-CN"/>
        </w:rPr>
        <w:t>k</w:t>
      </w:r>
      <w:r>
        <w:rPr>
          <w:rFonts w:hint="eastAsia"/>
          <w:sz w:val="24"/>
          <w:szCs w:val="24"/>
          <w:lang w:val="en-US" w:eastAsia="zh-CN"/>
        </w:rPr>
        <w:t>=2</w:t>
      </w:r>
      <w:r>
        <w:rPr>
          <w:rFonts w:hint="eastAsia"/>
          <w:sz w:val="24"/>
          <w:szCs w:val="24"/>
          <w:lang w:eastAsia="zh-CN"/>
        </w:rPr>
        <w:t>）</w:t>
      </w:r>
      <w:r>
        <w:rPr>
          <w:sz w:val="24"/>
          <w:szCs w:val="24"/>
        </w:rPr>
        <w:t>；</w:t>
      </w:r>
    </w:p>
    <w:p w14:paraId="464AE34A">
      <w:pPr>
        <w:spacing w:line="300" w:lineRule="auto"/>
        <w:ind w:firstLine="435"/>
        <w:rPr>
          <w:sz w:val="24"/>
          <w:szCs w:val="24"/>
        </w:rPr>
      </w:pPr>
      <w:r>
        <w:rPr>
          <w:sz w:val="24"/>
          <w:szCs w:val="24"/>
        </w:rPr>
        <w:t>标准低频振动显示器刷新率的不确定度：0.1%</w:t>
      </w:r>
      <w:r>
        <w:rPr>
          <w:rFonts w:hint="eastAsia"/>
          <w:sz w:val="24"/>
          <w:szCs w:val="24"/>
          <w:lang w:eastAsia="zh-CN"/>
        </w:rPr>
        <w:t>（</w:t>
      </w:r>
      <w:r>
        <w:rPr>
          <w:rFonts w:hint="eastAsia"/>
          <w:i/>
          <w:iCs/>
          <w:sz w:val="24"/>
          <w:szCs w:val="24"/>
          <w:lang w:val="en-US" w:eastAsia="zh-CN"/>
        </w:rPr>
        <w:t>k</w:t>
      </w:r>
      <w:r>
        <w:rPr>
          <w:rFonts w:hint="eastAsia"/>
          <w:sz w:val="24"/>
          <w:szCs w:val="24"/>
          <w:lang w:val="en-US" w:eastAsia="zh-CN"/>
        </w:rPr>
        <w:t>=2</w:t>
      </w:r>
      <w:r>
        <w:rPr>
          <w:rFonts w:hint="eastAsia"/>
          <w:sz w:val="24"/>
          <w:szCs w:val="24"/>
          <w:lang w:eastAsia="zh-CN"/>
        </w:rPr>
        <w:t>）</w:t>
      </w:r>
      <w:r>
        <w:rPr>
          <w:sz w:val="24"/>
          <w:szCs w:val="24"/>
        </w:rPr>
        <w:t>。</w:t>
      </w:r>
    </w:p>
    <w:p w14:paraId="08BF4585">
      <w:pPr>
        <w:numPr>
          <w:ilvl w:val="-1"/>
          <w:numId w:val="0"/>
        </w:numPr>
        <w:spacing w:line="300" w:lineRule="auto"/>
        <w:ind w:left="0" w:firstLine="0"/>
        <w:rPr>
          <w:rFonts w:hint="default" w:eastAsia="宋体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6.2.3 低频标准振动台</w:t>
      </w:r>
    </w:p>
    <w:p w14:paraId="0D37C7A2">
      <w:pPr>
        <w:spacing w:line="300" w:lineRule="auto"/>
        <w:ind w:firstLine="435"/>
        <w:rPr>
          <w:rFonts w:hint="default" w:eastAsia="宋体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信噪比：≥50 dB；</w:t>
      </w:r>
    </w:p>
    <w:p w14:paraId="2CDAADC6">
      <w:pPr>
        <w:spacing w:line="300" w:lineRule="auto"/>
        <w:ind w:firstLine="435"/>
        <w:rPr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频率示值误差</w:t>
      </w:r>
      <w:r>
        <w:rPr>
          <w:sz w:val="24"/>
          <w:szCs w:val="24"/>
        </w:rPr>
        <w:t>：</w:t>
      </w:r>
      <w:r>
        <w:rPr>
          <w:rFonts w:hint="eastAsia"/>
          <w:sz w:val="24"/>
          <w:szCs w:val="24"/>
          <w:lang w:val="en-US" w:eastAsia="zh-CN"/>
        </w:rPr>
        <w:t>±</w:t>
      </w:r>
      <w:r>
        <w:rPr>
          <w:sz w:val="24"/>
          <w:szCs w:val="24"/>
        </w:rPr>
        <w:t>0.1%；</w:t>
      </w:r>
    </w:p>
    <w:p w14:paraId="69C1D114">
      <w:pPr>
        <w:spacing w:line="300" w:lineRule="auto"/>
        <w:ind w:firstLine="435"/>
        <w:rPr>
          <w:sz w:val="24"/>
          <w:szCs w:val="24"/>
        </w:rPr>
      </w:pPr>
      <w:r>
        <w:rPr>
          <w:sz w:val="24"/>
          <w:szCs w:val="24"/>
        </w:rPr>
        <w:t>加速度幅值稳定性：</w:t>
      </w:r>
      <w:r>
        <w:rPr>
          <w:rFonts w:hint="eastAsia"/>
          <w:sz w:val="24"/>
          <w:szCs w:val="24"/>
          <w:lang w:val="en-US" w:eastAsia="zh-CN"/>
        </w:rPr>
        <w:t>≤</w:t>
      </w:r>
      <w:r>
        <w:rPr>
          <w:sz w:val="24"/>
          <w:szCs w:val="24"/>
        </w:rPr>
        <w:t>0.1%；</w:t>
      </w:r>
    </w:p>
    <w:p w14:paraId="4C19F44A">
      <w:pPr>
        <w:spacing w:line="300" w:lineRule="auto"/>
        <w:ind w:firstLine="435"/>
        <w:rPr>
          <w:sz w:val="24"/>
          <w:szCs w:val="24"/>
        </w:rPr>
      </w:pPr>
      <w:r>
        <w:rPr>
          <w:sz w:val="24"/>
          <w:szCs w:val="24"/>
        </w:rPr>
        <w:t>频率稳定性：</w:t>
      </w:r>
      <w:r>
        <w:rPr>
          <w:rFonts w:hint="eastAsia"/>
          <w:sz w:val="24"/>
          <w:szCs w:val="24"/>
          <w:lang w:val="en-US" w:eastAsia="zh-CN"/>
        </w:rPr>
        <w:t>≤</w:t>
      </w:r>
      <w:r>
        <w:rPr>
          <w:sz w:val="24"/>
          <w:szCs w:val="24"/>
        </w:rPr>
        <w:t>0.1%；</w:t>
      </w:r>
    </w:p>
    <w:p w14:paraId="5C495B95">
      <w:pPr>
        <w:spacing w:line="300" w:lineRule="auto"/>
        <w:ind w:firstLine="435"/>
        <w:rPr>
          <w:sz w:val="24"/>
          <w:szCs w:val="24"/>
        </w:rPr>
      </w:pPr>
      <w:r>
        <w:rPr>
          <w:sz w:val="24"/>
          <w:szCs w:val="24"/>
        </w:rPr>
        <w:t>加速度谐波失真：</w:t>
      </w:r>
      <w:r>
        <w:rPr>
          <w:rFonts w:hint="eastAsia"/>
          <w:sz w:val="24"/>
          <w:szCs w:val="24"/>
          <w:lang w:val="en-US" w:eastAsia="zh-CN"/>
        </w:rPr>
        <w:t>≤</w:t>
      </w:r>
      <w:r>
        <w:rPr>
          <w:sz w:val="24"/>
          <w:szCs w:val="24"/>
        </w:rPr>
        <w:t xml:space="preserve">5%； </w:t>
      </w:r>
    </w:p>
    <w:p w14:paraId="01D83CE6">
      <w:pPr>
        <w:spacing w:line="300" w:lineRule="auto"/>
        <w:ind w:firstLine="435"/>
        <w:rPr>
          <w:rFonts w:hint="eastAsia" w:eastAsia="宋体"/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val="en-US" w:eastAsia="zh-CN"/>
        </w:rPr>
        <w:t>横向振动比</w:t>
      </w:r>
      <w:r>
        <w:rPr>
          <w:sz w:val="24"/>
          <w:szCs w:val="24"/>
        </w:rPr>
        <w:t>：</w:t>
      </w:r>
      <w:r>
        <w:rPr>
          <w:rFonts w:hint="eastAsia"/>
          <w:sz w:val="24"/>
          <w:szCs w:val="24"/>
          <w:lang w:val="en-US" w:eastAsia="zh-CN"/>
        </w:rPr>
        <w:t>≤</w:t>
      </w:r>
      <w:r>
        <w:rPr>
          <w:sz w:val="24"/>
          <w:szCs w:val="24"/>
        </w:rPr>
        <w:t xml:space="preserve"> </w:t>
      </w:r>
      <w:r>
        <w:rPr>
          <w:rFonts w:hint="eastAsia"/>
          <w:sz w:val="24"/>
          <w:szCs w:val="24"/>
          <w:lang w:val="en-US" w:eastAsia="zh-CN"/>
        </w:rPr>
        <w:t>10</w:t>
      </w:r>
      <w:r>
        <w:rPr>
          <w:sz w:val="24"/>
          <w:szCs w:val="24"/>
        </w:rPr>
        <w:t>%</w:t>
      </w:r>
      <w:r>
        <w:rPr>
          <w:rFonts w:hint="eastAsia"/>
          <w:sz w:val="24"/>
          <w:szCs w:val="24"/>
          <w:lang w:eastAsia="zh-CN"/>
        </w:rPr>
        <w:t>。</w:t>
      </w:r>
    </w:p>
    <w:p w14:paraId="28D8E02E">
      <w:pPr>
        <w:numPr>
          <w:ilvl w:val="-1"/>
          <w:numId w:val="0"/>
        </w:numPr>
        <w:spacing w:line="300" w:lineRule="auto"/>
        <w:ind w:left="0" w:firstLine="0"/>
        <w:rPr>
          <w:rFonts w:hint="default" w:eastAsia="宋体"/>
          <w:color w:val="auto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 xml:space="preserve">6.2.4 </w:t>
      </w:r>
      <w:r>
        <w:rPr>
          <w:rFonts w:hint="eastAsia"/>
          <w:color w:val="auto"/>
          <w:sz w:val="24"/>
          <w:szCs w:val="24"/>
          <w:lang w:val="en-US" w:eastAsia="zh-CN"/>
        </w:rPr>
        <w:t>动态信号分析仪</w:t>
      </w:r>
    </w:p>
    <w:p w14:paraId="231D0C45">
      <w:pPr>
        <w:spacing w:line="300" w:lineRule="auto"/>
        <w:ind w:firstLine="435"/>
        <w:rPr>
          <w:sz w:val="24"/>
          <w:szCs w:val="24"/>
        </w:rPr>
      </w:pPr>
      <w:r>
        <w:rPr>
          <w:sz w:val="24"/>
          <w:szCs w:val="24"/>
        </w:rPr>
        <w:t>频率范围：</w:t>
      </w:r>
      <w:r>
        <w:rPr>
          <w:rFonts w:hint="eastAsia"/>
          <w:sz w:val="24"/>
          <w:szCs w:val="24"/>
          <w:lang w:val="en-US" w:eastAsia="zh-CN"/>
        </w:rPr>
        <w:t xml:space="preserve">DC </w:t>
      </w:r>
      <w:r>
        <w:rPr>
          <w:sz w:val="24"/>
          <w:szCs w:val="24"/>
        </w:rPr>
        <w:t xml:space="preserve">~ </w:t>
      </w:r>
      <w:r>
        <w:rPr>
          <w:rFonts w:hint="eastAsia"/>
          <w:sz w:val="24"/>
          <w:szCs w:val="24"/>
          <w:lang w:val="en-US" w:eastAsia="zh-CN"/>
        </w:rPr>
        <w:t>10</w:t>
      </w:r>
      <w:r>
        <w:rPr>
          <w:sz w:val="24"/>
          <w:szCs w:val="24"/>
        </w:rPr>
        <w:t>0 Hz；</w:t>
      </w:r>
    </w:p>
    <w:p w14:paraId="08B6F579">
      <w:pPr>
        <w:spacing w:line="300" w:lineRule="auto"/>
        <w:ind w:firstLine="435"/>
        <w:rPr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电压测量误差</w:t>
      </w:r>
      <w:r>
        <w:rPr>
          <w:sz w:val="24"/>
          <w:szCs w:val="24"/>
        </w:rPr>
        <w:t>：</w:t>
      </w:r>
      <w:r>
        <w:rPr>
          <w:rFonts w:hint="eastAsia"/>
          <w:sz w:val="24"/>
          <w:szCs w:val="24"/>
          <w:lang w:val="en-US" w:eastAsia="zh-CN"/>
        </w:rPr>
        <w:t>±</w:t>
      </w:r>
      <w:r>
        <w:rPr>
          <w:sz w:val="24"/>
          <w:szCs w:val="24"/>
        </w:rPr>
        <w:t>0.</w:t>
      </w:r>
      <w:r>
        <w:rPr>
          <w:rFonts w:hint="eastAsia"/>
          <w:sz w:val="24"/>
          <w:szCs w:val="24"/>
          <w:lang w:val="en-US" w:eastAsia="zh-CN"/>
        </w:rPr>
        <w:t>2</w:t>
      </w:r>
      <w:r>
        <w:rPr>
          <w:sz w:val="24"/>
          <w:szCs w:val="24"/>
        </w:rPr>
        <w:t>%</w:t>
      </w:r>
      <w:r>
        <w:rPr>
          <w:rFonts w:hint="eastAsia"/>
          <w:sz w:val="24"/>
          <w:szCs w:val="24"/>
          <w:lang w:eastAsia="zh-CN"/>
        </w:rPr>
        <w:t>。</w:t>
      </w:r>
      <w:bookmarkStart w:id="42" w:name="_Toc422683926"/>
    </w:p>
    <w:p w14:paraId="7D80343C">
      <w:pPr>
        <w:pStyle w:val="2"/>
        <w:numPr>
          <w:ilvl w:val="0"/>
          <w:numId w:val="3"/>
        </w:numPr>
        <w:spacing w:before="120" w:beforeLines="50" w:after="120" w:afterLines="50" w:line="298" w:lineRule="auto"/>
        <w:rPr>
          <w:rFonts w:eastAsia="黑体"/>
          <w:b w:val="0"/>
          <w:bCs w:val="0"/>
          <w:sz w:val="24"/>
          <w:szCs w:val="24"/>
        </w:rPr>
      </w:pPr>
      <w:bookmarkStart w:id="43" w:name="_Toc139139607"/>
      <w:bookmarkStart w:id="44" w:name="_Toc589"/>
      <w:r>
        <w:rPr>
          <w:rFonts w:eastAsia="黑体"/>
          <w:b w:val="0"/>
          <w:bCs w:val="0"/>
          <w:sz w:val="24"/>
          <w:szCs w:val="24"/>
        </w:rPr>
        <w:t>校准项目和校准方法</w:t>
      </w:r>
      <w:bookmarkEnd w:id="42"/>
      <w:bookmarkEnd w:id="43"/>
      <w:bookmarkEnd w:id="44"/>
    </w:p>
    <w:p w14:paraId="3A60E5F9">
      <w:pPr>
        <w:pStyle w:val="3"/>
        <w:spacing w:line="300" w:lineRule="auto"/>
        <w:rPr>
          <w:rFonts w:hint="eastAsia" w:ascii="宋体" w:hAnsi="宋体" w:cs="宋体"/>
          <w:b w:val="0"/>
          <w:bCs w:val="0"/>
          <w:sz w:val="24"/>
          <w:szCs w:val="24"/>
        </w:rPr>
      </w:pPr>
      <w:bookmarkStart w:id="45" w:name="_Toc27873"/>
      <w:r>
        <w:rPr>
          <w:rFonts w:hint="eastAsia" w:ascii="宋体" w:hAnsi="宋体" w:cs="宋体"/>
          <w:b w:val="0"/>
          <w:bCs w:val="0"/>
          <w:sz w:val="24"/>
          <w:szCs w:val="24"/>
        </w:rPr>
        <w:t>7.1 校准项目</w:t>
      </w:r>
      <w:bookmarkEnd w:id="45"/>
    </w:p>
    <w:p w14:paraId="1539B222">
      <w:pPr>
        <w:spacing w:line="300" w:lineRule="auto"/>
        <w:ind w:left="-22"/>
        <w:jc w:val="center"/>
        <w:rPr>
          <w:rFonts w:hint="default" w:ascii="黑体" w:hAnsi="黑体" w:eastAsia="黑体" w:cs="黑体"/>
          <w:sz w:val="21"/>
          <w:szCs w:val="21"/>
          <w:lang w:val="en-US" w:eastAsia="zh-CN"/>
        </w:rPr>
      </w:pPr>
      <w:r>
        <w:rPr>
          <w:rFonts w:hint="eastAsia" w:ascii="黑体" w:hAnsi="黑体" w:eastAsia="黑体" w:cs="黑体"/>
          <w:sz w:val="21"/>
          <w:szCs w:val="21"/>
          <w:lang w:val="en-US" w:eastAsia="zh-CN"/>
        </w:rPr>
        <w:t>表2 校准项目</w:t>
      </w:r>
    </w:p>
    <w:tbl>
      <w:tblPr>
        <w:tblStyle w:val="1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749"/>
        <w:gridCol w:w="3750"/>
      </w:tblGrid>
      <w:tr w14:paraId="105D67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749" w:type="dxa"/>
            <w:vAlign w:val="center"/>
          </w:tcPr>
          <w:p w14:paraId="62D735B0">
            <w:pPr>
              <w:spacing w:line="240" w:lineRule="auto"/>
              <w:jc w:val="center"/>
              <w:rPr>
                <w:rFonts w:hint="default" w:ascii="黑体" w:hAnsi="黑体" w:eastAsia="黑体" w:cs="黑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val="en-US" w:eastAsia="zh-CN"/>
              </w:rPr>
              <w:t>被校对象</w:t>
            </w:r>
          </w:p>
        </w:tc>
        <w:tc>
          <w:tcPr>
            <w:tcW w:w="3750" w:type="dxa"/>
            <w:vAlign w:val="center"/>
          </w:tcPr>
          <w:p w14:paraId="64C2A56E">
            <w:pPr>
              <w:spacing w:line="240" w:lineRule="auto"/>
              <w:jc w:val="center"/>
              <w:rPr>
                <w:rFonts w:hint="default" w:ascii="黑体" w:hAnsi="黑体" w:eastAsia="黑体" w:cs="黑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val="en-US" w:eastAsia="zh-CN"/>
              </w:rPr>
              <w:t>校准项目</w:t>
            </w:r>
          </w:p>
        </w:tc>
      </w:tr>
      <w:tr w14:paraId="3A1C63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749" w:type="dxa"/>
            <w:vMerge w:val="restart"/>
            <w:vAlign w:val="center"/>
          </w:tcPr>
          <w:p w14:paraId="18C8F6FA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机器视觉低频振动测量系统</w:t>
            </w:r>
          </w:p>
        </w:tc>
        <w:tc>
          <w:tcPr>
            <w:tcW w:w="3750" w:type="dxa"/>
            <w:vAlign w:val="center"/>
          </w:tcPr>
          <w:p w14:paraId="3837C079">
            <w:pPr>
              <w:spacing w:line="240" w:lineRule="auto"/>
              <w:jc w:val="center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幅值</w:t>
            </w:r>
            <w:r>
              <w:rPr>
                <w:rFonts w:hint="eastAsia" w:ascii="宋体" w:hAnsi="宋体" w:cs="宋体"/>
                <w:sz w:val="21"/>
                <w:szCs w:val="21"/>
                <w:vertAlign w:val="baseline"/>
                <w:lang w:val="en-US" w:eastAsia="zh-CN"/>
              </w:rPr>
              <w:t>误差</w:t>
            </w:r>
          </w:p>
        </w:tc>
      </w:tr>
      <w:tr w14:paraId="01676F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749" w:type="dxa"/>
            <w:vMerge w:val="continue"/>
            <w:vAlign w:val="center"/>
          </w:tcPr>
          <w:p w14:paraId="3B33182A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3750" w:type="dxa"/>
            <w:vAlign w:val="center"/>
          </w:tcPr>
          <w:p w14:paraId="4E803900">
            <w:pPr>
              <w:spacing w:line="240" w:lineRule="auto"/>
              <w:jc w:val="center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相位</w:t>
            </w:r>
            <w:r>
              <w:rPr>
                <w:rFonts w:hint="eastAsia" w:ascii="宋体" w:hAnsi="宋体" w:cs="宋体"/>
                <w:sz w:val="21"/>
                <w:szCs w:val="21"/>
                <w:vertAlign w:val="baseline"/>
                <w:lang w:val="en-US" w:eastAsia="zh-CN"/>
              </w:rPr>
              <w:t>误差</w:t>
            </w:r>
          </w:p>
        </w:tc>
      </w:tr>
      <w:tr w14:paraId="7FF164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749" w:type="dxa"/>
            <w:vMerge w:val="restart"/>
            <w:vAlign w:val="center"/>
          </w:tcPr>
          <w:p w14:paraId="54E0B313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机器视觉低频振动测量算法/软件</w:t>
            </w:r>
          </w:p>
        </w:tc>
        <w:tc>
          <w:tcPr>
            <w:tcW w:w="3750" w:type="dxa"/>
            <w:shd w:val="clear" w:color="auto" w:fill="auto"/>
            <w:vAlign w:val="center"/>
          </w:tcPr>
          <w:p w14:paraId="5FACE32E">
            <w:pPr>
              <w:spacing w:line="240" w:lineRule="auto"/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幅值</w:t>
            </w:r>
            <w:r>
              <w:rPr>
                <w:rFonts w:hint="eastAsia" w:ascii="宋体" w:hAnsi="宋体" w:cs="宋体"/>
                <w:sz w:val="21"/>
                <w:szCs w:val="21"/>
                <w:vertAlign w:val="baseline"/>
                <w:lang w:val="en-US" w:eastAsia="zh-CN"/>
              </w:rPr>
              <w:t>误差</w:t>
            </w:r>
          </w:p>
        </w:tc>
      </w:tr>
      <w:tr w14:paraId="253AFE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749" w:type="dxa"/>
            <w:vMerge w:val="continue"/>
            <w:vAlign w:val="center"/>
          </w:tcPr>
          <w:p w14:paraId="593C2AC4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3750" w:type="dxa"/>
            <w:shd w:val="clear" w:color="auto" w:fill="auto"/>
            <w:vAlign w:val="center"/>
          </w:tcPr>
          <w:p w14:paraId="54ED5164">
            <w:pPr>
              <w:spacing w:line="240" w:lineRule="auto"/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相位</w:t>
            </w:r>
            <w:r>
              <w:rPr>
                <w:rFonts w:hint="eastAsia" w:ascii="宋体" w:hAnsi="宋体" w:cs="宋体"/>
                <w:sz w:val="21"/>
                <w:szCs w:val="21"/>
                <w:vertAlign w:val="baseline"/>
                <w:lang w:val="en-US" w:eastAsia="zh-CN"/>
              </w:rPr>
              <w:t>误差</w:t>
            </w:r>
          </w:p>
        </w:tc>
      </w:tr>
      <w:tr w14:paraId="1D9E98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749" w:type="dxa"/>
            <w:vMerge w:val="restart"/>
            <w:vAlign w:val="center"/>
          </w:tcPr>
          <w:p w14:paraId="5D9E99A8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低频振动传感器</w:t>
            </w:r>
          </w:p>
        </w:tc>
        <w:tc>
          <w:tcPr>
            <w:tcW w:w="3750" w:type="dxa"/>
            <w:vAlign w:val="center"/>
          </w:tcPr>
          <w:p w14:paraId="7B6021D0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灵敏度幅值</w:t>
            </w:r>
          </w:p>
        </w:tc>
      </w:tr>
      <w:tr w14:paraId="6D6159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749" w:type="dxa"/>
            <w:vMerge w:val="continue"/>
            <w:vAlign w:val="center"/>
          </w:tcPr>
          <w:p w14:paraId="1CD3F20B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3750" w:type="dxa"/>
            <w:vAlign w:val="center"/>
          </w:tcPr>
          <w:p w14:paraId="6B230024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灵敏度相移</w:t>
            </w:r>
          </w:p>
        </w:tc>
      </w:tr>
      <w:tr w14:paraId="70A14D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749" w:type="dxa"/>
            <w:vAlign w:val="center"/>
          </w:tcPr>
          <w:p w14:paraId="0BE56311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低频振动测量系统</w:t>
            </w:r>
          </w:p>
        </w:tc>
        <w:tc>
          <w:tcPr>
            <w:tcW w:w="3750" w:type="dxa"/>
            <w:vAlign w:val="center"/>
          </w:tcPr>
          <w:p w14:paraId="4BBD48F4">
            <w:pPr>
              <w:spacing w:line="240" w:lineRule="auto"/>
              <w:jc w:val="center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幅值</w:t>
            </w:r>
            <w:r>
              <w:rPr>
                <w:rFonts w:hint="eastAsia" w:ascii="宋体" w:hAnsi="宋体" w:cs="宋体"/>
                <w:sz w:val="21"/>
                <w:szCs w:val="21"/>
                <w:vertAlign w:val="baseline"/>
                <w:lang w:val="en-US" w:eastAsia="zh-CN"/>
              </w:rPr>
              <w:t>误差</w:t>
            </w:r>
          </w:p>
        </w:tc>
      </w:tr>
    </w:tbl>
    <w:p w14:paraId="566A877E">
      <w:pPr>
        <w:tabs>
          <w:tab w:val="left" w:pos="638"/>
        </w:tabs>
        <w:spacing w:line="300" w:lineRule="auto"/>
        <w:ind w:firstLine="0" w:firstLineChars="0"/>
        <w:rPr>
          <w:sz w:val="24"/>
          <w:szCs w:val="24"/>
        </w:rPr>
      </w:pPr>
    </w:p>
    <w:p w14:paraId="73C1C532">
      <w:pPr>
        <w:pStyle w:val="3"/>
        <w:spacing w:line="300" w:lineRule="auto"/>
        <w:ind w:firstLineChars="0"/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</w:pPr>
      <w:bookmarkStart w:id="46" w:name="_Toc20730"/>
      <w:r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  <w:t>7.2 校准方法</w:t>
      </w:r>
      <w:bookmarkEnd w:id="46"/>
    </w:p>
    <w:p w14:paraId="008F7926">
      <w:pPr>
        <w:tabs>
          <w:tab w:val="left" w:pos="638"/>
        </w:tabs>
        <w:spacing w:line="300" w:lineRule="auto"/>
        <w:ind w:firstLine="0" w:firstLineChars="0"/>
        <w:rPr>
          <w:sz w:val="24"/>
          <w:szCs w:val="24"/>
        </w:rPr>
      </w:pPr>
      <w:r>
        <w:rPr>
          <w:rFonts w:hint="eastAsia"/>
          <w:sz w:val="24"/>
          <w:szCs w:val="24"/>
        </w:rPr>
        <w:t>7.2</w:t>
      </w:r>
      <w:r>
        <w:rPr>
          <w:rFonts w:hint="eastAsia"/>
          <w:sz w:val="24"/>
          <w:szCs w:val="24"/>
          <w:lang w:val="en-US" w:eastAsia="zh-CN"/>
        </w:rPr>
        <w:t>.1</w:t>
      </w:r>
      <w:r>
        <w:rPr>
          <w:rFonts w:hint="eastAsia"/>
          <w:sz w:val="24"/>
          <w:szCs w:val="24"/>
        </w:rPr>
        <w:t xml:space="preserve"> 机器视觉低频振动测量系统的校准</w:t>
      </w:r>
    </w:p>
    <w:p w14:paraId="1501D82D">
      <w:pPr>
        <w:tabs>
          <w:tab w:val="left" w:pos="638"/>
        </w:tabs>
        <w:spacing w:line="300" w:lineRule="auto"/>
        <w:ind w:firstLine="0" w:firstLineChars="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7.2</w:t>
      </w:r>
      <w:r>
        <w:rPr>
          <w:rFonts w:hint="eastAsia"/>
          <w:sz w:val="24"/>
          <w:szCs w:val="24"/>
          <w:lang w:val="en-US" w:eastAsia="zh-CN"/>
        </w:rPr>
        <w:t xml:space="preserve">.1.1 </w:t>
      </w:r>
      <w:r>
        <w:rPr>
          <w:rFonts w:hint="eastAsia"/>
          <w:sz w:val="24"/>
          <w:szCs w:val="24"/>
        </w:rPr>
        <w:t>校准前准备</w:t>
      </w:r>
    </w:p>
    <w:p w14:paraId="4D998DF8">
      <w:pPr>
        <w:tabs>
          <w:tab w:val="left" w:pos="638"/>
        </w:tabs>
        <w:spacing w:line="300" w:lineRule="auto"/>
        <w:ind w:firstLine="480" w:firstLineChars="200"/>
        <w:rPr>
          <w:rFonts w:hint="eastAsia"/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被校对象应标有清晰的型号、出厂编号、软件/算法版本号等信息。</w:t>
      </w:r>
    </w:p>
    <w:p w14:paraId="46F369E8">
      <w:pPr>
        <w:tabs>
          <w:tab w:val="left" w:pos="638"/>
        </w:tabs>
        <w:spacing w:line="300" w:lineRule="auto"/>
        <w:ind w:firstLine="480" w:firstLineChars="200"/>
        <w:rPr>
          <w:rFonts w:hint="default"/>
          <w:sz w:val="24"/>
          <w:szCs w:val="24"/>
          <w:lang w:val="en-US" w:eastAsia="zh-CN"/>
        </w:rPr>
      </w:pPr>
      <w:r>
        <w:rPr>
          <w:rFonts w:hint="default"/>
          <w:sz w:val="24"/>
          <w:szCs w:val="24"/>
          <w:lang w:val="en-US" w:eastAsia="zh-CN"/>
        </w:rPr>
        <w:t>检查</w:t>
      </w:r>
      <w:r>
        <w:rPr>
          <w:rFonts w:hint="eastAsia"/>
          <w:sz w:val="24"/>
          <w:szCs w:val="24"/>
          <w:lang w:val="en-US" w:eastAsia="zh-CN"/>
        </w:rPr>
        <w:t>被校对象</w:t>
      </w:r>
      <w:r>
        <w:rPr>
          <w:rFonts w:hint="default"/>
          <w:sz w:val="24"/>
          <w:szCs w:val="24"/>
          <w:lang w:val="en-US" w:eastAsia="zh-CN"/>
        </w:rPr>
        <w:t>的测量范围、供电方式</w:t>
      </w:r>
      <w:r>
        <w:rPr>
          <w:rFonts w:hint="eastAsia"/>
          <w:sz w:val="24"/>
          <w:szCs w:val="24"/>
          <w:lang w:val="en-US" w:eastAsia="zh-CN"/>
        </w:rPr>
        <w:t>、</w:t>
      </w:r>
      <w:r>
        <w:rPr>
          <w:rFonts w:hint="eastAsia"/>
          <w:color w:val="auto"/>
          <w:sz w:val="24"/>
          <w:szCs w:val="24"/>
          <w:lang w:val="en-US" w:eastAsia="zh-CN"/>
        </w:rPr>
        <w:t>相机位置、光</w:t>
      </w:r>
      <w:r>
        <w:rPr>
          <w:rFonts w:hint="eastAsia"/>
          <w:sz w:val="24"/>
          <w:szCs w:val="24"/>
          <w:lang w:val="en-US" w:eastAsia="zh-CN"/>
        </w:rPr>
        <w:t>照</w:t>
      </w:r>
      <w:r>
        <w:rPr>
          <w:rFonts w:hint="default"/>
          <w:sz w:val="24"/>
          <w:szCs w:val="24"/>
          <w:lang w:val="en-US" w:eastAsia="zh-CN"/>
        </w:rPr>
        <w:t>等影响校准的参数。</w:t>
      </w:r>
    </w:p>
    <w:p w14:paraId="42E5AA17">
      <w:pPr>
        <w:tabs>
          <w:tab w:val="left" w:pos="638"/>
        </w:tabs>
        <w:spacing w:line="300" w:lineRule="auto"/>
        <w:ind w:firstLine="480" w:firstLineChars="200"/>
        <w:rPr>
          <w:rFonts w:hint="default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</w:rPr>
        <w:t>校准的</w:t>
      </w:r>
      <w:r>
        <w:rPr>
          <w:rFonts w:hint="eastAsia"/>
          <w:sz w:val="24"/>
          <w:szCs w:val="24"/>
          <w:lang w:val="en-US" w:eastAsia="zh-CN"/>
        </w:rPr>
        <w:t>幅值</w:t>
      </w:r>
      <w:r>
        <w:rPr>
          <w:rFonts w:hint="eastAsia"/>
          <w:sz w:val="24"/>
          <w:szCs w:val="24"/>
        </w:rPr>
        <w:t>范围、频率范围、优选的频率点和</w:t>
      </w:r>
      <w:r>
        <w:rPr>
          <w:rFonts w:hint="eastAsia"/>
          <w:sz w:val="24"/>
          <w:szCs w:val="24"/>
          <w:lang w:val="en-US" w:eastAsia="zh-CN"/>
        </w:rPr>
        <w:t>振动</w:t>
      </w:r>
      <w:r>
        <w:rPr>
          <w:rFonts w:hint="eastAsia"/>
          <w:sz w:val="24"/>
          <w:szCs w:val="24"/>
        </w:rPr>
        <w:t>幅值可与用户协商选择，或者按使用要求或出厂指标选择</w:t>
      </w:r>
      <w:r>
        <w:rPr>
          <w:sz w:val="24"/>
          <w:szCs w:val="24"/>
        </w:rPr>
        <w:t>。</w:t>
      </w:r>
      <w:r>
        <w:rPr>
          <w:rFonts w:hint="eastAsia"/>
          <w:sz w:val="24"/>
          <w:szCs w:val="24"/>
        </w:rPr>
        <w:t>参考频率优先选择DC零频、0.01Hz、0.05Hz、0.1Hz、1 Hz、1.6 Hz、4 Hz</w:t>
      </w:r>
      <w:r>
        <w:rPr>
          <w:rFonts w:hint="eastAsia"/>
          <w:sz w:val="24"/>
          <w:szCs w:val="24"/>
          <w:lang w:eastAsia="zh-CN"/>
        </w:rPr>
        <w:t>、</w:t>
      </w:r>
      <w:r>
        <w:rPr>
          <w:rFonts w:hint="eastAsia"/>
          <w:sz w:val="24"/>
          <w:szCs w:val="24"/>
        </w:rPr>
        <w:t>8 Hz</w:t>
      </w:r>
      <w:r>
        <w:rPr>
          <w:rFonts w:hint="eastAsia"/>
          <w:sz w:val="24"/>
          <w:szCs w:val="24"/>
          <w:lang w:val="en-US" w:eastAsia="zh-CN"/>
        </w:rPr>
        <w:t>和16 Hz</w:t>
      </w:r>
      <w:r>
        <w:rPr>
          <w:rFonts w:hint="eastAsia"/>
          <w:sz w:val="24"/>
          <w:szCs w:val="24"/>
        </w:rPr>
        <w:t>等。</w:t>
      </w:r>
    </w:p>
    <w:p w14:paraId="24158A61">
      <w:pPr>
        <w:tabs>
          <w:tab w:val="left" w:pos="638"/>
        </w:tabs>
        <w:spacing w:line="300" w:lineRule="auto"/>
        <w:ind w:firstLine="0" w:firstLineChars="0"/>
        <w:rPr>
          <w:rFonts w:hint="eastAsia" w:eastAsia="宋体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</w:rPr>
        <w:t>7.2</w:t>
      </w:r>
      <w:r>
        <w:rPr>
          <w:rFonts w:hint="eastAsia"/>
          <w:sz w:val="24"/>
          <w:szCs w:val="24"/>
          <w:lang w:val="en-US" w:eastAsia="zh-CN"/>
        </w:rPr>
        <w:t xml:space="preserve">.1.2 </w:t>
      </w:r>
      <w:r>
        <w:rPr>
          <w:rFonts w:hint="eastAsia"/>
          <w:sz w:val="24"/>
          <w:szCs w:val="24"/>
        </w:rPr>
        <w:t>校准</w:t>
      </w:r>
      <w:r>
        <w:rPr>
          <w:rFonts w:hint="eastAsia"/>
          <w:sz w:val="24"/>
          <w:szCs w:val="24"/>
          <w:lang w:val="en-US" w:eastAsia="zh-CN"/>
        </w:rPr>
        <w:t>方法</w:t>
      </w:r>
    </w:p>
    <w:p w14:paraId="186A9AFA">
      <w:pPr>
        <w:tabs>
          <w:tab w:val="left" w:pos="638"/>
        </w:tabs>
        <w:spacing w:line="300" w:lineRule="auto"/>
        <w:ind w:firstLine="480" w:firstLineChars="2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在工作频率范围内，按要求选取7～10个频率点，通过</w:t>
      </w:r>
      <w:r>
        <w:rPr>
          <w:rFonts w:hint="eastAsia"/>
          <w:sz w:val="24"/>
        </w:rPr>
        <w:t>低频振动标准显示器</w:t>
      </w:r>
      <w:r>
        <w:rPr>
          <w:rFonts w:hint="eastAsia"/>
          <w:sz w:val="24"/>
          <w:lang w:val="en-US" w:eastAsia="zh-CN"/>
        </w:rPr>
        <w:t>发生</w:t>
      </w:r>
      <w:r>
        <w:rPr>
          <w:rFonts w:hint="eastAsia"/>
          <w:sz w:val="24"/>
          <w:szCs w:val="24"/>
        </w:rPr>
        <w:t>振动参考视频，机器视觉</w:t>
      </w:r>
      <w:r>
        <w:rPr>
          <w:rFonts w:hint="eastAsia"/>
          <w:sz w:val="24"/>
          <w:szCs w:val="24"/>
          <w:lang w:val="en-US" w:eastAsia="zh-CN"/>
        </w:rPr>
        <w:t>低频</w:t>
      </w:r>
      <w:r>
        <w:rPr>
          <w:rFonts w:hint="eastAsia"/>
          <w:sz w:val="24"/>
          <w:szCs w:val="24"/>
        </w:rPr>
        <w:t>振动测量系统测量低频振动标准显示器发生的振动参考视频，并输出测量得到的幅值和相位，通过与振动参考视频的幅值和相位比较，得到机器视觉</w:t>
      </w:r>
      <w:r>
        <w:rPr>
          <w:rFonts w:hint="eastAsia"/>
          <w:sz w:val="24"/>
          <w:szCs w:val="24"/>
          <w:lang w:val="en-US" w:eastAsia="zh-CN"/>
        </w:rPr>
        <w:t>低频</w:t>
      </w:r>
      <w:r>
        <w:rPr>
          <w:rFonts w:hint="eastAsia"/>
          <w:sz w:val="24"/>
          <w:szCs w:val="24"/>
        </w:rPr>
        <w:t>振动测量系统的幅值和相位误差，如图</w:t>
      </w:r>
      <w:r>
        <w:rPr>
          <w:rFonts w:hint="eastAsia"/>
          <w:sz w:val="24"/>
          <w:szCs w:val="24"/>
          <w:lang w:val="en-US" w:eastAsia="zh-CN"/>
        </w:rPr>
        <w:t>2</w:t>
      </w:r>
      <w:r>
        <w:rPr>
          <w:rFonts w:hint="eastAsia"/>
          <w:sz w:val="24"/>
          <w:szCs w:val="24"/>
        </w:rPr>
        <w:t>所示。</w:t>
      </w:r>
    </w:p>
    <w:p w14:paraId="7C34E26E">
      <w:pPr>
        <w:tabs>
          <w:tab w:val="left" w:pos="638"/>
        </w:tabs>
        <w:spacing w:line="300" w:lineRule="auto"/>
      </w:pPr>
      <w:r>
        <w:drawing>
          <wp:inline distT="0" distB="0" distL="114300" distR="114300">
            <wp:extent cx="6118860" cy="2160905"/>
            <wp:effectExtent l="0" t="0" r="5715" b="1270"/>
            <wp:docPr id="9" name="图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37"/>
                    <pic:cNvPicPr>
                      <a:picLocks noChangeAspect="1"/>
                    </pic:cNvPicPr>
                  </pic:nvPicPr>
                  <pic:blipFill>
                    <a:blip r:embed="rId17">
                      <a:grayscl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8860" cy="2160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DF8455">
      <w:pPr>
        <w:tabs>
          <w:tab w:val="left" w:pos="638"/>
        </w:tabs>
        <w:spacing w:line="300" w:lineRule="auto"/>
        <w:ind w:firstLine="2730" w:firstLineChars="1300"/>
        <w:rPr>
          <w:rFonts w:hint="eastAsia" w:ascii="宋体" w:hAnsi="宋体" w:eastAsia="宋体" w:cs="宋体"/>
          <w:lang w:eastAsia="zh-CN"/>
        </w:rPr>
      </w:pPr>
      <w:r>
        <w:rPr>
          <w:rFonts w:hint="eastAsia" w:ascii="宋体" w:hAnsi="宋体" w:eastAsia="宋体" w:cs="宋体"/>
        </w:rPr>
        <w:t>图</w:t>
      </w:r>
      <w:r>
        <w:rPr>
          <w:rFonts w:hint="eastAsia" w:ascii="宋体" w:hAnsi="宋体" w:eastAsia="宋体" w:cs="宋体"/>
          <w:lang w:val="en-US" w:eastAsia="zh-CN"/>
        </w:rPr>
        <w:t>2</w:t>
      </w:r>
      <w:r>
        <w:rPr>
          <w:rFonts w:hint="eastAsia" w:ascii="宋体" w:hAnsi="宋体" w:eastAsia="宋体" w:cs="宋体"/>
        </w:rPr>
        <w:t xml:space="preserve"> 机器视觉振动测量系统的校准</w:t>
      </w:r>
    </w:p>
    <w:p w14:paraId="76770C69">
      <w:pPr>
        <w:tabs>
          <w:tab w:val="left" w:pos="638"/>
        </w:tabs>
        <w:spacing w:line="30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7.</w:t>
      </w:r>
      <w:r>
        <w:rPr>
          <w:rFonts w:hint="eastAsia"/>
          <w:sz w:val="24"/>
          <w:szCs w:val="24"/>
          <w:lang w:val="en-US" w:eastAsia="zh-CN"/>
        </w:rPr>
        <w:t>2.2</w:t>
      </w:r>
      <w:r>
        <w:rPr>
          <w:rFonts w:hint="eastAsia"/>
          <w:sz w:val="24"/>
          <w:szCs w:val="24"/>
        </w:rPr>
        <w:t>机器视觉低频振动测量算法/软件的校准</w:t>
      </w:r>
    </w:p>
    <w:p w14:paraId="569C1C7E">
      <w:pPr>
        <w:tabs>
          <w:tab w:val="left" w:pos="638"/>
        </w:tabs>
        <w:spacing w:line="300" w:lineRule="auto"/>
        <w:ind w:firstLine="0" w:firstLineChars="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7.2</w:t>
      </w:r>
      <w:r>
        <w:rPr>
          <w:rFonts w:hint="eastAsia"/>
          <w:sz w:val="24"/>
          <w:szCs w:val="24"/>
          <w:lang w:val="en-US" w:eastAsia="zh-CN"/>
        </w:rPr>
        <w:t xml:space="preserve">.1.1 </w:t>
      </w:r>
      <w:r>
        <w:rPr>
          <w:rFonts w:hint="eastAsia"/>
          <w:sz w:val="24"/>
          <w:szCs w:val="24"/>
        </w:rPr>
        <w:t>校准前准备</w:t>
      </w:r>
    </w:p>
    <w:p w14:paraId="151CCADC">
      <w:pPr>
        <w:tabs>
          <w:tab w:val="left" w:pos="638"/>
        </w:tabs>
        <w:spacing w:line="300" w:lineRule="auto"/>
        <w:ind w:firstLine="480" w:firstLineChars="200"/>
        <w:rPr>
          <w:rFonts w:hint="default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eastAsia="zh-CN"/>
        </w:rPr>
        <w:t>被校对象应标有清晰的软件/算法版本号等信息。</w:t>
      </w:r>
    </w:p>
    <w:p w14:paraId="6BEE42F1">
      <w:pPr>
        <w:tabs>
          <w:tab w:val="left" w:pos="638"/>
        </w:tabs>
        <w:spacing w:line="300" w:lineRule="auto"/>
        <w:ind w:firstLine="480" w:firstLineChars="200"/>
        <w:rPr>
          <w:rFonts w:hint="default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</w:rPr>
        <w:t>校准的</w:t>
      </w:r>
      <w:r>
        <w:rPr>
          <w:rFonts w:hint="eastAsia"/>
          <w:sz w:val="24"/>
          <w:szCs w:val="24"/>
          <w:lang w:val="en-US" w:eastAsia="zh-CN"/>
        </w:rPr>
        <w:t>幅值</w:t>
      </w:r>
      <w:r>
        <w:rPr>
          <w:rFonts w:hint="eastAsia"/>
          <w:sz w:val="24"/>
          <w:szCs w:val="24"/>
        </w:rPr>
        <w:t>范围、频率范围、优选的频率点和</w:t>
      </w:r>
      <w:r>
        <w:rPr>
          <w:rFonts w:hint="eastAsia"/>
          <w:sz w:val="24"/>
          <w:szCs w:val="24"/>
          <w:lang w:val="en-US" w:eastAsia="zh-CN"/>
        </w:rPr>
        <w:t>振动</w:t>
      </w:r>
      <w:r>
        <w:rPr>
          <w:rFonts w:hint="eastAsia"/>
          <w:sz w:val="24"/>
          <w:szCs w:val="24"/>
        </w:rPr>
        <w:t>幅值可与用户协商选择，或者按使用要求或出厂指标选择</w:t>
      </w:r>
      <w:r>
        <w:rPr>
          <w:sz w:val="24"/>
          <w:szCs w:val="24"/>
        </w:rPr>
        <w:t>。</w:t>
      </w:r>
      <w:r>
        <w:rPr>
          <w:rFonts w:hint="eastAsia"/>
          <w:sz w:val="24"/>
          <w:szCs w:val="24"/>
        </w:rPr>
        <w:t>参考频率优先选择DC零频、0.01Hz、0.05Hz、0.1Hz、1 Hz、1.6 Hz、4 Hz</w:t>
      </w:r>
      <w:r>
        <w:rPr>
          <w:rFonts w:hint="eastAsia"/>
          <w:sz w:val="24"/>
          <w:szCs w:val="24"/>
          <w:lang w:eastAsia="zh-CN"/>
        </w:rPr>
        <w:t>、</w:t>
      </w:r>
      <w:r>
        <w:rPr>
          <w:rFonts w:hint="eastAsia"/>
          <w:sz w:val="24"/>
          <w:szCs w:val="24"/>
        </w:rPr>
        <w:t>8 Hz</w:t>
      </w:r>
      <w:r>
        <w:rPr>
          <w:rFonts w:hint="eastAsia"/>
          <w:sz w:val="24"/>
          <w:szCs w:val="24"/>
          <w:lang w:val="en-US" w:eastAsia="zh-CN"/>
        </w:rPr>
        <w:t>和16 Hz</w:t>
      </w:r>
      <w:r>
        <w:rPr>
          <w:rFonts w:hint="eastAsia"/>
          <w:sz w:val="24"/>
          <w:szCs w:val="24"/>
        </w:rPr>
        <w:t>等。</w:t>
      </w:r>
    </w:p>
    <w:p w14:paraId="43DBB29E">
      <w:pPr>
        <w:tabs>
          <w:tab w:val="left" w:pos="638"/>
        </w:tabs>
        <w:spacing w:line="300" w:lineRule="auto"/>
        <w:ind w:firstLine="0" w:firstLineChars="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7.2</w:t>
      </w:r>
      <w:r>
        <w:rPr>
          <w:rFonts w:hint="eastAsia"/>
          <w:sz w:val="24"/>
          <w:szCs w:val="24"/>
          <w:lang w:val="en-US" w:eastAsia="zh-CN"/>
        </w:rPr>
        <w:t xml:space="preserve">.2.2 </w:t>
      </w:r>
      <w:r>
        <w:rPr>
          <w:rFonts w:hint="eastAsia"/>
          <w:sz w:val="24"/>
          <w:szCs w:val="24"/>
        </w:rPr>
        <w:t>校准</w:t>
      </w:r>
      <w:r>
        <w:rPr>
          <w:rFonts w:hint="eastAsia"/>
          <w:sz w:val="24"/>
          <w:szCs w:val="24"/>
          <w:lang w:val="en-US" w:eastAsia="zh-CN"/>
        </w:rPr>
        <w:t>方法</w:t>
      </w:r>
    </w:p>
    <w:p w14:paraId="5024187F">
      <w:pPr>
        <w:tabs>
          <w:tab w:val="left" w:pos="638"/>
        </w:tabs>
        <w:spacing w:line="300" w:lineRule="auto"/>
        <w:ind w:firstLine="480" w:firstLineChars="2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在工作频率范围内，按要求选取7～10个频率点，由机器视觉振动测量算法/软件直接处理振动参考视频，并输出测量得到的幅值和相位，通过与振动参考视频的幅值和相位比较，得到机器视觉低频振动测量算法/软件的幅值和相位误差，如图</w:t>
      </w:r>
      <w:r>
        <w:rPr>
          <w:rFonts w:hint="eastAsia"/>
          <w:sz w:val="24"/>
          <w:szCs w:val="24"/>
          <w:lang w:val="en-US" w:eastAsia="zh-CN"/>
        </w:rPr>
        <w:t>3</w:t>
      </w:r>
      <w:r>
        <w:rPr>
          <w:rFonts w:hint="eastAsia"/>
          <w:sz w:val="24"/>
          <w:szCs w:val="24"/>
        </w:rPr>
        <w:t>所示。</w:t>
      </w:r>
    </w:p>
    <w:p w14:paraId="475B65F7">
      <w:pPr>
        <w:tabs>
          <w:tab w:val="left" w:pos="638"/>
        </w:tabs>
        <w:spacing w:before="0" w:beforeLines="-2147483648" w:line="300" w:lineRule="auto"/>
        <w:jc w:val="center"/>
      </w:pPr>
      <w:r>
        <w:drawing>
          <wp:inline distT="0" distB="0" distL="114300" distR="114300">
            <wp:extent cx="4548505" cy="2159000"/>
            <wp:effectExtent l="0" t="0" r="4445" b="3175"/>
            <wp:docPr id="10" name="图片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38"/>
                    <pic:cNvPicPr>
                      <a:picLocks noChangeAspect="1"/>
                    </pic:cNvPicPr>
                  </pic:nvPicPr>
                  <pic:blipFill>
                    <a:blip r:embed="rId18">
                      <a:grayscl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48505" cy="215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D4060E">
      <w:pPr>
        <w:tabs>
          <w:tab w:val="left" w:pos="638"/>
        </w:tabs>
        <w:spacing w:line="300" w:lineRule="auto"/>
        <w:jc w:val="center"/>
        <w:rPr>
          <w:rFonts w:hint="eastAsia" w:ascii="宋体" w:hAnsi="宋体" w:cs="宋体"/>
          <w:sz w:val="21"/>
          <w:szCs w:val="21"/>
        </w:rPr>
      </w:pPr>
      <w:r>
        <w:rPr>
          <w:rFonts w:hint="eastAsia" w:ascii="宋体" w:hAnsi="宋体" w:eastAsia="宋体" w:cs="宋体"/>
        </w:rPr>
        <w:t>图</w:t>
      </w:r>
      <w:r>
        <w:rPr>
          <w:rFonts w:hint="eastAsia" w:ascii="宋体" w:hAnsi="宋体" w:eastAsia="宋体" w:cs="宋体"/>
          <w:lang w:val="en-US" w:eastAsia="zh-CN"/>
        </w:rPr>
        <w:t>3</w:t>
      </w:r>
      <w:r>
        <w:rPr>
          <w:rFonts w:hint="eastAsia" w:ascii="宋体" w:hAnsi="宋体" w:eastAsia="宋体" w:cs="宋体"/>
        </w:rPr>
        <w:t xml:space="preserve"> 机器视觉测量算法/软件的校准</w:t>
      </w:r>
    </w:p>
    <w:p w14:paraId="13CC9FD3">
      <w:pPr>
        <w:tabs>
          <w:tab w:val="left" w:pos="638"/>
        </w:tabs>
        <w:spacing w:line="30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7.</w:t>
      </w:r>
      <w:r>
        <w:rPr>
          <w:rFonts w:hint="eastAsia"/>
          <w:sz w:val="24"/>
          <w:szCs w:val="24"/>
          <w:lang w:val="en-US" w:eastAsia="zh-CN"/>
        </w:rPr>
        <w:t>2.3</w:t>
      </w:r>
      <w:r>
        <w:rPr>
          <w:sz w:val="24"/>
          <w:szCs w:val="24"/>
        </w:rPr>
        <w:t xml:space="preserve">  </w:t>
      </w:r>
      <w:r>
        <w:rPr>
          <w:rFonts w:hint="eastAsia"/>
          <w:sz w:val="24"/>
          <w:szCs w:val="24"/>
        </w:rPr>
        <w:t>低频振动传感器</w:t>
      </w:r>
      <w:r>
        <w:rPr>
          <w:rFonts w:hint="eastAsia"/>
          <w:sz w:val="24"/>
          <w:szCs w:val="24"/>
          <w:lang w:val="en-US" w:eastAsia="zh-CN"/>
        </w:rPr>
        <w:t>/</w:t>
      </w:r>
      <w:r>
        <w:rPr>
          <w:rFonts w:hint="eastAsia"/>
          <w:sz w:val="24"/>
          <w:szCs w:val="24"/>
        </w:rPr>
        <w:t>测量系统的</w:t>
      </w:r>
      <w:r>
        <w:rPr>
          <w:sz w:val="24"/>
          <w:szCs w:val="24"/>
        </w:rPr>
        <w:t>校准</w:t>
      </w:r>
    </w:p>
    <w:p w14:paraId="6697B8DE">
      <w:pPr>
        <w:tabs>
          <w:tab w:val="left" w:pos="638"/>
        </w:tabs>
        <w:spacing w:line="300" w:lineRule="auto"/>
        <w:ind w:firstLine="0" w:firstLineChars="0"/>
        <w:rPr>
          <w:rFonts w:hint="default"/>
          <w:sz w:val="24"/>
          <w:szCs w:val="24"/>
          <w:lang w:val="en-US" w:eastAsia="zh-CN"/>
        </w:rPr>
      </w:pPr>
      <w:bookmarkStart w:id="47" w:name="_Toc422683927"/>
      <w:r>
        <w:rPr>
          <w:rFonts w:hint="default"/>
          <w:sz w:val="24"/>
          <w:szCs w:val="24"/>
          <w:lang w:val="en-US" w:eastAsia="zh-CN"/>
        </w:rPr>
        <w:t>7.2.</w:t>
      </w:r>
      <w:r>
        <w:rPr>
          <w:rFonts w:hint="eastAsia"/>
          <w:sz w:val="24"/>
          <w:szCs w:val="24"/>
          <w:lang w:val="en-US" w:eastAsia="zh-CN"/>
        </w:rPr>
        <w:t>3.</w:t>
      </w:r>
      <w:r>
        <w:rPr>
          <w:rFonts w:hint="default"/>
          <w:sz w:val="24"/>
          <w:szCs w:val="24"/>
          <w:lang w:val="en-US" w:eastAsia="zh-CN"/>
        </w:rPr>
        <w:t>1 校准前准备</w:t>
      </w:r>
    </w:p>
    <w:p w14:paraId="11A0B6F1">
      <w:pPr>
        <w:tabs>
          <w:tab w:val="left" w:pos="638"/>
        </w:tabs>
        <w:spacing w:line="300" w:lineRule="auto"/>
        <w:ind w:firstLine="480" w:firstLineChars="200"/>
        <w:rPr>
          <w:rFonts w:hint="default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被校对象</w:t>
      </w:r>
      <w:r>
        <w:rPr>
          <w:rFonts w:hint="default"/>
          <w:sz w:val="24"/>
          <w:szCs w:val="24"/>
          <w:lang w:val="en-US" w:eastAsia="zh-CN"/>
        </w:rPr>
        <w:t>应标有清晰的型号、出厂编号</w:t>
      </w:r>
      <w:r>
        <w:rPr>
          <w:rFonts w:hint="eastAsia"/>
          <w:sz w:val="24"/>
          <w:szCs w:val="24"/>
          <w:lang w:val="en-US" w:eastAsia="zh-CN"/>
        </w:rPr>
        <w:t>等信息。被校传感器的</w:t>
      </w:r>
      <w:r>
        <w:rPr>
          <w:rFonts w:hint="default"/>
          <w:sz w:val="24"/>
          <w:szCs w:val="24"/>
          <w:lang w:val="en-US" w:eastAsia="zh-CN"/>
        </w:rPr>
        <w:t>安装面应无影响安装刚度的划痕及其他瑕疵。</w:t>
      </w:r>
    </w:p>
    <w:p w14:paraId="42F9A687">
      <w:pPr>
        <w:tabs>
          <w:tab w:val="left" w:pos="638"/>
        </w:tabs>
        <w:spacing w:line="300" w:lineRule="auto"/>
        <w:ind w:firstLine="480" w:firstLineChars="200"/>
        <w:rPr>
          <w:rFonts w:hint="default"/>
          <w:sz w:val="24"/>
          <w:szCs w:val="24"/>
          <w:lang w:val="en-US" w:eastAsia="zh-CN"/>
        </w:rPr>
      </w:pPr>
      <w:r>
        <w:rPr>
          <w:rFonts w:hint="default"/>
          <w:sz w:val="24"/>
          <w:szCs w:val="24"/>
          <w:lang w:val="en-US" w:eastAsia="zh-CN"/>
        </w:rPr>
        <w:t>检查</w:t>
      </w:r>
      <w:r>
        <w:rPr>
          <w:rFonts w:hint="eastAsia"/>
          <w:sz w:val="24"/>
          <w:szCs w:val="24"/>
          <w:lang w:val="en-US" w:eastAsia="zh-CN"/>
        </w:rPr>
        <w:t>被校对象</w:t>
      </w:r>
      <w:r>
        <w:rPr>
          <w:rFonts w:hint="default"/>
          <w:sz w:val="24"/>
          <w:szCs w:val="24"/>
          <w:lang w:val="en-US" w:eastAsia="zh-CN"/>
        </w:rPr>
        <w:t>的测量范围、供电方式等影响校准的参数。</w:t>
      </w:r>
    </w:p>
    <w:p w14:paraId="026B30CB">
      <w:pPr>
        <w:tabs>
          <w:tab w:val="left" w:pos="638"/>
        </w:tabs>
        <w:spacing w:line="300" w:lineRule="auto"/>
        <w:ind w:firstLine="480" w:firstLineChars="200"/>
        <w:rPr>
          <w:sz w:val="24"/>
          <w:szCs w:val="24"/>
        </w:rPr>
      </w:pPr>
      <w:r>
        <w:rPr>
          <w:rFonts w:hint="eastAsia"/>
          <w:sz w:val="24"/>
          <w:szCs w:val="24"/>
        </w:rPr>
        <w:t>校准的</w:t>
      </w:r>
      <w:r>
        <w:rPr>
          <w:rFonts w:hint="eastAsia"/>
          <w:sz w:val="24"/>
          <w:szCs w:val="24"/>
          <w:lang w:val="en-US" w:eastAsia="zh-CN"/>
        </w:rPr>
        <w:t>幅值</w:t>
      </w:r>
      <w:r>
        <w:rPr>
          <w:rFonts w:hint="eastAsia"/>
          <w:sz w:val="24"/>
          <w:szCs w:val="24"/>
        </w:rPr>
        <w:t>范围、频率范围、优选的频率点和</w:t>
      </w:r>
      <w:r>
        <w:rPr>
          <w:rFonts w:hint="eastAsia"/>
          <w:sz w:val="24"/>
          <w:szCs w:val="24"/>
          <w:lang w:val="en-US" w:eastAsia="zh-CN"/>
        </w:rPr>
        <w:t>振动</w:t>
      </w:r>
      <w:r>
        <w:rPr>
          <w:rFonts w:hint="eastAsia"/>
          <w:sz w:val="24"/>
          <w:szCs w:val="24"/>
        </w:rPr>
        <w:t>幅值可与用户协商选择，或者按使用要求或出厂指标选择</w:t>
      </w:r>
      <w:r>
        <w:rPr>
          <w:sz w:val="24"/>
          <w:szCs w:val="24"/>
        </w:rPr>
        <w:t>。</w:t>
      </w:r>
      <w:r>
        <w:rPr>
          <w:rFonts w:hint="eastAsia"/>
          <w:sz w:val="24"/>
          <w:szCs w:val="24"/>
        </w:rPr>
        <w:t>参考频率优先选择DC零频、0.01Hz、0.05Hz、0.1Hz、1 Hz、1.6 Hz、4 Hz</w:t>
      </w:r>
      <w:r>
        <w:rPr>
          <w:rFonts w:hint="eastAsia"/>
          <w:sz w:val="24"/>
          <w:szCs w:val="24"/>
          <w:lang w:eastAsia="zh-CN"/>
        </w:rPr>
        <w:t>、</w:t>
      </w:r>
      <w:r>
        <w:rPr>
          <w:rFonts w:hint="eastAsia"/>
          <w:sz w:val="24"/>
          <w:szCs w:val="24"/>
        </w:rPr>
        <w:t>8 Hz</w:t>
      </w:r>
      <w:r>
        <w:rPr>
          <w:rFonts w:hint="eastAsia"/>
          <w:sz w:val="24"/>
          <w:szCs w:val="24"/>
          <w:lang w:val="en-US" w:eastAsia="zh-CN"/>
        </w:rPr>
        <w:t>和16 Hz</w:t>
      </w:r>
      <w:r>
        <w:rPr>
          <w:rFonts w:hint="eastAsia"/>
          <w:sz w:val="24"/>
          <w:szCs w:val="24"/>
        </w:rPr>
        <w:t>等。</w:t>
      </w:r>
    </w:p>
    <w:p w14:paraId="0110CDFE">
      <w:pPr>
        <w:tabs>
          <w:tab w:val="left" w:pos="638"/>
        </w:tabs>
        <w:spacing w:line="300" w:lineRule="auto"/>
        <w:ind w:firstLine="0" w:firstLineChars="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7.2</w:t>
      </w:r>
      <w:r>
        <w:rPr>
          <w:rFonts w:hint="eastAsia"/>
          <w:sz w:val="24"/>
          <w:szCs w:val="24"/>
          <w:lang w:val="en-US" w:eastAsia="zh-CN"/>
        </w:rPr>
        <w:t xml:space="preserve">.3.2 </w:t>
      </w:r>
      <w:r>
        <w:rPr>
          <w:rFonts w:hint="eastAsia"/>
          <w:sz w:val="24"/>
          <w:szCs w:val="24"/>
        </w:rPr>
        <w:t>校准</w:t>
      </w:r>
      <w:r>
        <w:rPr>
          <w:rFonts w:hint="eastAsia"/>
          <w:sz w:val="24"/>
          <w:szCs w:val="24"/>
          <w:lang w:val="en-US" w:eastAsia="zh-CN"/>
        </w:rPr>
        <w:t>方法</w:t>
      </w:r>
    </w:p>
    <w:p w14:paraId="2C1C1368">
      <w:pPr>
        <w:tabs>
          <w:tab w:val="left" w:pos="638"/>
        </w:tabs>
        <w:spacing w:line="300" w:lineRule="auto"/>
        <w:ind w:firstLine="480" w:firstLineChars="200"/>
        <w:rPr>
          <w:sz w:val="24"/>
          <w:szCs w:val="24"/>
        </w:rPr>
      </w:pPr>
      <w:r>
        <w:rPr>
          <w:rFonts w:hint="eastAsia"/>
          <w:sz w:val="24"/>
          <w:szCs w:val="24"/>
        </w:rPr>
        <w:t>在工作频率范围内，按要求选取7～10个频率点，</w:t>
      </w:r>
      <w:r>
        <w:rPr>
          <w:rFonts w:hint="eastAsia"/>
          <w:sz w:val="24"/>
          <w:szCs w:val="24"/>
          <w:lang w:val="en-US" w:eastAsia="zh-CN"/>
        </w:rPr>
        <w:t>由经过校准的</w:t>
      </w:r>
      <w:r>
        <w:rPr>
          <w:rFonts w:hint="eastAsia"/>
          <w:sz w:val="24"/>
          <w:szCs w:val="24"/>
        </w:rPr>
        <w:t>机器视觉</w:t>
      </w:r>
      <w:r>
        <w:rPr>
          <w:rFonts w:hint="eastAsia"/>
          <w:sz w:val="24"/>
          <w:szCs w:val="24"/>
          <w:lang w:val="en-US" w:eastAsia="zh-CN"/>
        </w:rPr>
        <w:t>低频振动测量</w:t>
      </w:r>
      <w:r>
        <w:rPr>
          <w:rFonts w:hint="eastAsia"/>
          <w:sz w:val="24"/>
          <w:szCs w:val="24"/>
        </w:rPr>
        <w:t>系统和被校的</w:t>
      </w:r>
      <w:r>
        <w:rPr>
          <w:rFonts w:hint="eastAsia"/>
          <w:sz w:val="24"/>
          <w:szCs w:val="24"/>
          <w:lang w:val="en-US" w:eastAsia="zh-CN"/>
        </w:rPr>
        <w:t>低频</w:t>
      </w:r>
      <w:r>
        <w:rPr>
          <w:rFonts w:hint="eastAsia"/>
          <w:sz w:val="24"/>
          <w:szCs w:val="24"/>
        </w:rPr>
        <w:t>振动传感器/测量</w:t>
      </w:r>
      <w:r>
        <w:rPr>
          <w:rFonts w:hint="eastAsia"/>
          <w:sz w:val="24"/>
          <w:szCs w:val="24"/>
          <w:lang w:val="en-US" w:eastAsia="zh-CN"/>
        </w:rPr>
        <w:t>系统</w:t>
      </w:r>
      <w:r>
        <w:rPr>
          <w:rFonts w:hint="eastAsia"/>
          <w:sz w:val="24"/>
          <w:szCs w:val="24"/>
        </w:rPr>
        <w:t>同时测量</w:t>
      </w:r>
      <w:r>
        <w:rPr>
          <w:rFonts w:hint="eastAsia"/>
          <w:color w:val="auto"/>
          <w:sz w:val="24"/>
          <w:szCs w:val="24"/>
        </w:rPr>
        <w:t>低频</w:t>
      </w:r>
      <w:r>
        <w:rPr>
          <w:rFonts w:hint="eastAsia"/>
          <w:color w:val="auto"/>
          <w:sz w:val="24"/>
          <w:szCs w:val="24"/>
          <w:lang w:val="en-US" w:eastAsia="zh-CN"/>
        </w:rPr>
        <w:t>标准振动台发生</w:t>
      </w:r>
      <w:r>
        <w:rPr>
          <w:rFonts w:hint="eastAsia"/>
          <w:sz w:val="24"/>
          <w:szCs w:val="24"/>
        </w:rPr>
        <w:t>的</w:t>
      </w:r>
      <w:r>
        <w:rPr>
          <w:rFonts w:hint="eastAsia"/>
          <w:sz w:val="24"/>
          <w:szCs w:val="24"/>
          <w:lang w:val="en-US" w:eastAsia="zh-CN"/>
        </w:rPr>
        <w:t>低频</w:t>
      </w:r>
      <w:r>
        <w:rPr>
          <w:rFonts w:hint="eastAsia"/>
          <w:sz w:val="24"/>
          <w:szCs w:val="24"/>
        </w:rPr>
        <w:t>振动。通过对比机器视觉</w:t>
      </w:r>
      <w:r>
        <w:rPr>
          <w:rFonts w:hint="eastAsia"/>
          <w:sz w:val="24"/>
          <w:szCs w:val="24"/>
          <w:lang w:val="en-US" w:eastAsia="zh-CN"/>
        </w:rPr>
        <w:t>低频振动测量</w:t>
      </w:r>
      <w:r>
        <w:rPr>
          <w:rFonts w:hint="eastAsia"/>
          <w:sz w:val="24"/>
          <w:szCs w:val="24"/>
        </w:rPr>
        <w:t>系统测</w:t>
      </w:r>
      <w:r>
        <w:rPr>
          <w:rFonts w:hint="eastAsia"/>
          <w:sz w:val="24"/>
          <w:szCs w:val="24"/>
          <w:lang w:val="en-US" w:eastAsia="zh-CN"/>
        </w:rPr>
        <w:t>得</w:t>
      </w:r>
      <w:r>
        <w:rPr>
          <w:rFonts w:hint="eastAsia"/>
          <w:sz w:val="24"/>
          <w:szCs w:val="24"/>
        </w:rPr>
        <w:t>的振动信号和被校</w:t>
      </w:r>
      <w:r>
        <w:rPr>
          <w:rFonts w:hint="eastAsia"/>
          <w:sz w:val="24"/>
          <w:szCs w:val="24"/>
          <w:lang w:val="en-US" w:eastAsia="zh-CN"/>
        </w:rPr>
        <w:t>低频</w:t>
      </w:r>
      <w:r>
        <w:rPr>
          <w:rFonts w:hint="eastAsia"/>
          <w:sz w:val="24"/>
          <w:szCs w:val="24"/>
        </w:rPr>
        <w:t>振动传感器/测量</w:t>
      </w:r>
      <w:r>
        <w:rPr>
          <w:rFonts w:hint="eastAsia"/>
          <w:sz w:val="24"/>
          <w:szCs w:val="24"/>
          <w:lang w:val="en-US" w:eastAsia="zh-CN"/>
        </w:rPr>
        <w:t>系统</w:t>
      </w:r>
      <w:r>
        <w:rPr>
          <w:rFonts w:hint="eastAsia"/>
          <w:sz w:val="24"/>
          <w:szCs w:val="24"/>
        </w:rPr>
        <w:t>的输出，实现对被校</w:t>
      </w:r>
      <w:r>
        <w:rPr>
          <w:rFonts w:hint="eastAsia"/>
          <w:sz w:val="24"/>
          <w:szCs w:val="24"/>
          <w:lang w:val="en-US" w:eastAsia="zh-CN"/>
        </w:rPr>
        <w:t>低频</w:t>
      </w:r>
      <w:r>
        <w:rPr>
          <w:rFonts w:hint="eastAsia"/>
          <w:sz w:val="24"/>
          <w:szCs w:val="24"/>
        </w:rPr>
        <w:t>振动传感器/测量</w:t>
      </w:r>
      <w:r>
        <w:rPr>
          <w:rFonts w:hint="eastAsia"/>
          <w:sz w:val="24"/>
          <w:szCs w:val="24"/>
          <w:lang w:val="en-US" w:eastAsia="zh-CN"/>
        </w:rPr>
        <w:t>系统</w:t>
      </w:r>
      <w:r>
        <w:rPr>
          <w:rFonts w:hint="eastAsia"/>
          <w:sz w:val="24"/>
          <w:szCs w:val="24"/>
        </w:rPr>
        <w:t>的校准，如图</w:t>
      </w:r>
      <w:r>
        <w:rPr>
          <w:rFonts w:hint="eastAsia"/>
          <w:sz w:val="24"/>
          <w:szCs w:val="24"/>
          <w:lang w:val="en-US" w:eastAsia="zh-CN"/>
        </w:rPr>
        <w:t>4</w:t>
      </w:r>
      <w:r>
        <w:rPr>
          <w:rFonts w:hint="eastAsia"/>
          <w:sz w:val="24"/>
          <w:szCs w:val="24"/>
        </w:rPr>
        <w:t>所示。</w:t>
      </w:r>
    </w:p>
    <w:p w14:paraId="4C2147A2">
      <w:pPr>
        <w:tabs>
          <w:tab w:val="left" w:pos="638"/>
        </w:tabs>
        <w:spacing w:line="300" w:lineRule="auto"/>
        <w:jc w:val="center"/>
        <w:rPr>
          <w:sz w:val="24"/>
          <w:szCs w:val="24"/>
        </w:rPr>
      </w:pPr>
      <w:r>
        <w:drawing>
          <wp:inline distT="0" distB="0" distL="114300" distR="114300">
            <wp:extent cx="6118860" cy="2160905"/>
            <wp:effectExtent l="0" t="0" r="5715" b="1270"/>
            <wp:docPr id="11" name="图片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39"/>
                    <pic:cNvPicPr>
                      <a:picLocks noChangeAspect="1"/>
                    </pic:cNvPicPr>
                  </pic:nvPicPr>
                  <pic:blipFill>
                    <a:blip r:embed="rId19">
                      <a:grayscl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8860" cy="2160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CBF5DC">
      <w:pPr>
        <w:tabs>
          <w:tab w:val="left" w:pos="638"/>
        </w:tabs>
        <w:spacing w:line="300" w:lineRule="auto"/>
        <w:jc w:val="center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图</w:t>
      </w:r>
      <w:r>
        <w:rPr>
          <w:rFonts w:hint="eastAsia" w:ascii="宋体" w:hAnsi="宋体" w:eastAsia="宋体" w:cs="宋体"/>
          <w:lang w:val="en-US" w:eastAsia="zh-CN"/>
        </w:rPr>
        <w:t>4</w:t>
      </w:r>
      <w:r>
        <w:rPr>
          <w:rFonts w:hint="eastAsia" w:ascii="宋体" w:hAnsi="宋体" w:eastAsia="宋体" w:cs="宋体"/>
        </w:rPr>
        <w:t xml:space="preserve"> 低频振动传感器/测量系统的</w:t>
      </w:r>
      <w:r>
        <w:rPr>
          <w:rFonts w:hint="eastAsia" w:ascii="宋体" w:hAnsi="宋体" w:eastAsia="宋体" w:cs="宋体"/>
          <w:lang w:val="en-US" w:eastAsia="zh-CN"/>
        </w:rPr>
        <w:t>机器视觉法</w:t>
      </w:r>
      <w:r>
        <w:rPr>
          <w:rFonts w:hint="eastAsia" w:ascii="宋体" w:hAnsi="宋体" w:eastAsia="宋体" w:cs="宋体"/>
        </w:rPr>
        <w:t>校准</w:t>
      </w:r>
    </w:p>
    <w:p w14:paraId="194135E7">
      <w:pPr>
        <w:tabs>
          <w:tab w:val="left" w:pos="638"/>
        </w:tabs>
        <w:spacing w:line="300" w:lineRule="auto"/>
        <w:ind w:firstLine="480" w:firstLineChars="200"/>
        <w:rPr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低频振动传感器的灵敏度相移采用</w:t>
      </w:r>
      <w:r>
        <w:rPr>
          <w:rFonts w:hint="eastAsia"/>
          <w:sz w:val="24"/>
        </w:rPr>
        <w:t>机器视觉时空同步测量方法</w:t>
      </w:r>
      <w:r>
        <w:rPr>
          <w:rFonts w:hint="eastAsia"/>
          <w:sz w:val="24"/>
          <w:lang w:val="en-US" w:eastAsia="zh-CN"/>
        </w:rPr>
        <w:t>校准</w:t>
      </w:r>
      <w:r>
        <w:rPr>
          <w:rFonts w:hint="eastAsia"/>
          <w:sz w:val="24"/>
          <w:szCs w:val="24"/>
        </w:rPr>
        <w:t>，如图</w:t>
      </w:r>
      <w:r>
        <w:rPr>
          <w:rFonts w:hint="eastAsia"/>
          <w:sz w:val="24"/>
          <w:szCs w:val="24"/>
          <w:lang w:val="en-US" w:eastAsia="zh-CN"/>
        </w:rPr>
        <w:t>5</w:t>
      </w:r>
      <w:r>
        <w:rPr>
          <w:rFonts w:hint="eastAsia"/>
          <w:sz w:val="24"/>
          <w:szCs w:val="24"/>
        </w:rPr>
        <w:t>所示</w:t>
      </w:r>
      <w:r>
        <w:rPr>
          <w:rFonts w:hint="eastAsia"/>
          <w:sz w:val="24"/>
          <w:szCs w:val="24"/>
          <w:lang w:eastAsia="zh-CN"/>
        </w:rPr>
        <w:t>。</w:t>
      </w:r>
      <w:r>
        <w:rPr>
          <w:rFonts w:hint="eastAsia"/>
          <w:sz w:val="24"/>
          <w:szCs w:val="24"/>
          <w:lang w:val="en-US" w:eastAsia="zh-CN"/>
        </w:rPr>
        <w:t>低频标准振动台</w:t>
      </w:r>
      <w:r>
        <w:rPr>
          <w:rFonts w:hint="eastAsia"/>
          <w:sz w:val="24"/>
          <w:szCs w:val="24"/>
        </w:rPr>
        <w:t>零位脉冲信号用于同步机器视觉</w:t>
      </w:r>
      <w:r>
        <w:rPr>
          <w:rFonts w:hint="eastAsia"/>
          <w:sz w:val="24"/>
          <w:szCs w:val="24"/>
          <w:lang w:val="en-US" w:eastAsia="zh-CN"/>
        </w:rPr>
        <w:t>低频</w:t>
      </w:r>
      <w:r>
        <w:rPr>
          <w:rFonts w:hint="eastAsia"/>
          <w:sz w:val="24"/>
          <w:szCs w:val="24"/>
        </w:rPr>
        <w:t>测量</w:t>
      </w:r>
      <w:r>
        <w:rPr>
          <w:rFonts w:hint="eastAsia"/>
          <w:sz w:val="24"/>
          <w:szCs w:val="24"/>
          <w:lang w:val="en-US" w:eastAsia="zh-CN"/>
        </w:rPr>
        <w:t>系统测得的振动</w:t>
      </w:r>
      <w:r>
        <w:rPr>
          <w:rFonts w:hint="eastAsia"/>
          <w:sz w:val="24"/>
          <w:szCs w:val="24"/>
        </w:rPr>
        <w:t>信号和被校</w:t>
      </w:r>
      <w:r>
        <w:rPr>
          <w:rFonts w:hint="eastAsia"/>
          <w:sz w:val="24"/>
          <w:szCs w:val="24"/>
          <w:lang w:val="en-US" w:eastAsia="zh-CN"/>
        </w:rPr>
        <w:t>低频振动</w:t>
      </w:r>
      <w:r>
        <w:rPr>
          <w:rFonts w:hint="eastAsia"/>
          <w:sz w:val="24"/>
          <w:szCs w:val="24"/>
        </w:rPr>
        <w:t>传感器的输出信号。</w:t>
      </w:r>
      <w:r>
        <w:rPr>
          <w:rFonts w:hint="eastAsia"/>
          <w:sz w:val="24"/>
          <w:szCs w:val="24"/>
          <w:lang w:val="en-US" w:eastAsia="zh-CN"/>
        </w:rPr>
        <w:t>低频标准振动台</w:t>
      </w:r>
      <w:r>
        <w:rPr>
          <w:rFonts w:hint="eastAsia"/>
          <w:sz w:val="24"/>
          <w:szCs w:val="24"/>
        </w:rPr>
        <w:t>零位对应的</w:t>
      </w:r>
      <w:r>
        <w:rPr>
          <w:rFonts w:hint="eastAsia"/>
          <w:sz w:val="24"/>
          <w:szCs w:val="24"/>
          <w:lang w:val="en-US" w:eastAsia="zh-CN"/>
        </w:rPr>
        <w:t>振动</w:t>
      </w:r>
      <w:r>
        <w:rPr>
          <w:rFonts w:hint="eastAsia"/>
          <w:sz w:val="24"/>
          <w:szCs w:val="24"/>
        </w:rPr>
        <w:t>信号的相位为</w:t>
      </w:r>
      <w:r>
        <w:rPr>
          <w:rFonts w:hint="eastAsia"/>
          <w:i/>
          <w:sz w:val="24"/>
          <w:szCs w:val="24"/>
        </w:rPr>
        <w:sym w:font="Symbol" w:char="F06A"/>
      </w:r>
      <w:r>
        <w:rPr>
          <w:i/>
          <w:sz w:val="24"/>
          <w:szCs w:val="24"/>
          <w:vertAlign w:val="subscript"/>
        </w:rPr>
        <w:t>G</w:t>
      </w:r>
      <w:r>
        <w:rPr>
          <w:rFonts w:hint="eastAsia"/>
          <w:sz w:val="24"/>
          <w:szCs w:val="24"/>
          <w:lang w:eastAsia="zh-CN"/>
        </w:rPr>
        <w:t>，</w:t>
      </w:r>
      <w:r>
        <w:rPr>
          <w:rFonts w:hint="eastAsia"/>
          <w:sz w:val="24"/>
          <w:szCs w:val="24"/>
        </w:rPr>
        <w:t>被校准传感器在零位时输出信号的相位为</w:t>
      </w:r>
      <w:r>
        <w:rPr>
          <w:rFonts w:hint="eastAsia"/>
          <w:i/>
          <w:sz w:val="24"/>
          <w:szCs w:val="24"/>
        </w:rPr>
        <w:sym w:font="Symbol" w:char="F06A"/>
      </w:r>
      <w:r>
        <w:rPr>
          <w:i/>
          <w:sz w:val="24"/>
          <w:szCs w:val="24"/>
          <w:vertAlign w:val="subscript"/>
        </w:rPr>
        <w:t>Z</w:t>
      </w:r>
      <w:r>
        <w:rPr>
          <w:rFonts w:hint="eastAsia"/>
          <w:sz w:val="24"/>
          <w:szCs w:val="24"/>
        </w:rPr>
        <w:t>。通过以下公式计算被校准</w:t>
      </w:r>
      <w:r>
        <w:rPr>
          <w:rFonts w:hint="eastAsia"/>
          <w:sz w:val="24"/>
          <w:szCs w:val="24"/>
          <w:lang w:val="en-US" w:eastAsia="zh-CN"/>
        </w:rPr>
        <w:t>低频振动</w:t>
      </w:r>
      <w:r>
        <w:rPr>
          <w:rFonts w:hint="eastAsia"/>
          <w:sz w:val="24"/>
          <w:szCs w:val="24"/>
        </w:rPr>
        <w:t>传感器的灵敏度相移</w:t>
      </w:r>
      <w:r>
        <w:rPr>
          <w:sz w:val="24"/>
          <w:szCs w:val="24"/>
        </w:rPr>
        <w:t>:</w:t>
      </w:r>
    </w:p>
    <w:p w14:paraId="75BD94F0">
      <w:pPr>
        <w:tabs>
          <w:tab w:val="left" w:pos="638"/>
        </w:tabs>
        <w:spacing w:line="300" w:lineRule="auto"/>
        <w:ind w:firstLine="420" w:firstLineChars="200"/>
        <w:jc w:val="center"/>
      </w:pPr>
      <w:r>
        <w:pict>
          <v:shape id="_x0000_i1025" o:spt="75" type="#_x0000_t75" style="height:16pt;width:56pt;" filled="f" o:preferrelative="t" stroked="f" coordsize="21600,21600" equationxml="&lt;?xml version=&quot;1.0&quot; encoding=&quot;UTF-8&quot; standalone=&quot;yes&quot;?&gt;&#10;&#10;&#10;&#10;&#10;&lt;?mso-application progid=&quot;Word.Document&quot;?&gt;&#10;&#10;&#10;&#10;&#10;&lt;w:wordDocument xmlns:aml=&quot;http://schemas.microsoft.com/aml/2001/core&quot; xmlns:wpc=&quot;http://schemas.microsoft.com/office/word/2010/wordprocessingCanvas&quot; xmlns:cx=&quot;http://schemas.microsoft.com/office/drawing/2014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print&quot;/&gt;&lt;w:zoom w:percent=&quot;110&quot;/&gt;&lt;w:bordersDontSurroundHeader/&gt;&lt;w:bordersDontSurroundFooter/&gt;&lt;w:activeWritingStyle w:lang=&quot;EN-GB&quot; w:vendorID=&quot;64&quot; w:dllVersion=&quot;131078&quot; w:nlCheck=&quot;on&quot; w:optionSet=&quot;0&quot;/&gt;&lt;w:activeWritingStyle w:lang=&quot;EN-US&quot; w:vendorID=&quot;64&quot; w:dllVersion=&quot;131078&quot; w:nlCheck=&quot;on&quot; w:optionSet=&quot;0&quot;/&gt;&lt;w:activeWritingStyle w:lang=&quot;ZH-CN&quot; w:vendorID=&quot;64&quot; w:dllVersion=&quot;131077&quot; w:nlCheck=&quot;on&quot; w:optionSet=&quot;1&quot;/&gt;&lt;w:stylePaneFormatFilter w:val=&quot;3F01&quot;/&gt;&lt;w:defaultTabStop w:val=&quot;420&quot;/&gt;&lt;w:drawingGridVerticalSpacing w:val=&quot;156&quot;/&gt;&lt;w:displayHorizontalDrawingGridEvery w:val=&quot;0&quot;/&gt;&lt;w:displayVerticalDrawingGridEvery w:val=&quot;2&quot;/&gt;&lt;w:punctuationKerning/&gt;&lt;w:characterSpacingControl w:val=&quot;CompressPunctuation&quot;/&gt;&lt;w:optimizeForBrowser/&gt;&lt;w:targetScreenSz w:val=&quot;800x600&quot;/&gt;&lt;w:validateAgainstSchema/&gt;&lt;w:saveInvalidXML w:val=&quot;off&quot;/&gt;&lt;w:ignoreMixedContent w:val=&quot;off&quot;/&gt;&lt;w:alwaysShowPlaceholderText w:val=&quot;off&quot;/&gt;&lt;w:compat&gt;&lt;w:spaceForUL/&gt;&lt;w:balanceSingleByteDoubleByteWidth/&gt;&lt;w:doNotLeaveBackslashAlone/&gt;&lt;w:ulTrailSpace/&gt;&lt;w:doNotExpandShiftReturn/&gt;&lt;w:adjustLineHeightInTable/&gt;&lt;w:breakWrappedTables/&gt;&lt;w:snapToGridInCell/&gt;&lt;w:wrapTextWithPunct/&gt;&lt;w:useAsianBreakRules/&gt;&lt;w:dontGrowAutofit/&gt;&lt;w:useFELayout/&gt;&lt;/w:compat&gt;&lt;wsp:rsids&gt;&lt;wsp:rsidRoot wsp:val=&quot;00080603&quot;/&gt;&lt;wsp:rsid wsp:val=&quot;0000196A&quot;/&gt;&lt;wsp:rsid wsp:val=&quot;000020F3&quot;/&gt;&lt;wsp:rsid wsp:val=&quot;0000225B&quot;/&gt;&lt;wsp:rsid wsp:val=&quot;00002806&quot;/&gt;&lt;wsp:rsid wsp:val=&quot;00002F0C&quot;/&gt;&lt;wsp:rsid wsp:val=&quot;00003CC3&quot;/&gt;&lt;wsp:rsid wsp:val=&quot;00004373&quot;/&gt;&lt;wsp:rsid wsp:val=&quot;00004B0A&quot;/&gt;&lt;wsp:rsid wsp:val=&quot;00004DDF&quot;/&gt;&lt;wsp:rsid wsp:val=&quot;000064B1&quot;/&gt;&lt;wsp:rsid wsp:val=&quot;00006A43&quot;/&gt;&lt;wsp:rsid wsp:val=&quot;000074EC&quot;/&gt;&lt;wsp:rsid wsp:val=&quot;0001022D&quot;/&gt;&lt;wsp:rsid wsp:val=&quot;00011C30&quot;/&gt;&lt;wsp:rsid wsp:val=&quot;00012B5F&quot;/&gt;&lt;wsp:rsid wsp:val=&quot;00017FD3&quot;/&gt;&lt;wsp:rsid wsp:val=&quot;0002010E&quot;/&gt;&lt;wsp:rsid wsp:val=&quot;000203C5&quot;/&gt;&lt;wsp:rsid wsp:val=&quot;000203E3&quot;/&gt;&lt;wsp:rsid wsp:val=&quot;00021A15&quot;/&gt;&lt;wsp:rsid wsp:val=&quot;000228F9&quot;/&gt;&lt;wsp:rsid wsp:val=&quot;00022E80&quot;/&gt;&lt;wsp:rsid wsp:val=&quot;00023529&quot;/&gt;&lt;wsp:rsid wsp:val=&quot;0002693D&quot;/&gt;&lt;wsp:rsid wsp:val=&quot;00026B26&quot;/&gt;&lt;wsp:rsid wsp:val=&quot;00026B2D&quot;/&gt;&lt;wsp:rsid wsp:val=&quot;00026FE1&quot;/&gt;&lt;wsp:rsid wsp:val=&quot;00030488&quot;/&gt;&lt;wsp:rsid wsp:val=&quot;000311AB&quot;/&gt;&lt;wsp:rsid wsp:val=&quot;0003160A&quot;/&gt;&lt;wsp:rsid wsp:val=&quot;000329CB&quot;/&gt;&lt;wsp:rsid wsp:val=&quot;000330E3&quot;/&gt;&lt;wsp:rsid wsp:val=&quot;00033A1F&quot;/&gt;&lt;wsp:rsid wsp:val=&quot;00034708&quot;/&gt;&lt;wsp:rsid wsp:val=&quot;00034DB4&quot;/&gt;&lt;wsp:rsid wsp:val=&quot;000358B6&quot;/&gt;&lt;wsp:rsid wsp:val=&quot;00035F0B&quot;/&gt;&lt;wsp:rsid wsp:val=&quot;00036287&quot;/&gt;&lt;wsp:rsid wsp:val=&quot;00040F4F&quot;/&gt;&lt;wsp:rsid wsp:val=&quot;000410E6&quot;/&gt;&lt;wsp:rsid wsp:val=&quot;000423DA&quot;/&gt;&lt;wsp:rsid wsp:val=&quot;00042F86&quot;/&gt;&lt;wsp:rsid wsp:val=&quot;00044ADF&quot;/&gt;&lt;wsp:rsid wsp:val=&quot;00044BC7&quot;/&gt;&lt;wsp:rsid wsp:val=&quot;0004561D&quot;/&gt;&lt;wsp:rsid wsp:val=&quot;00045979&quot;/&gt;&lt;wsp:rsid wsp:val=&quot;00046B4C&quot;/&gt;&lt;wsp:rsid wsp:val=&quot;0004784B&quot;/&gt;&lt;wsp:rsid wsp:val=&quot;0005014E&quot;/&gt;&lt;wsp:rsid wsp:val=&quot;00050225&quot;/&gt;&lt;wsp:rsid wsp:val=&quot;00051C32&quot;/&gt;&lt;wsp:rsid wsp:val=&quot;00051E7D&quot;/&gt;&lt;wsp:rsid wsp:val=&quot;00053431&quot;/&gt;&lt;wsp:rsid wsp:val=&quot;00054708&quot;/&gt;&lt;wsp:rsid wsp:val=&quot;0005569F&quot;/&gt;&lt;wsp:rsid wsp:val=&quot;0005573D&quot;/&gt;&lt;wsp:rsid wsp:val=&quot;000570C2&quot;/&gt;&lt;wsp:rsid wsp:val=&quot;00057F4C&quot;/&gt;&lt;wsp:rsid wsp:val=&quot;00062305&quot;/&gt;&lt;wsp:rsid wsp:val=&quot;00062B4C&quot;/&gt;&lt;wsp:rsid wsp:val=&quot;00063960&quot;/&gt;&lt;wsp:rsid wsp:val=&quot;00065619&quot;/&gt;&lt;wsp:rsid wsp:val=&quot;00065CD1&quot;/&gt;&lt;wsp:rsid wsp:val=&quot;00065DF8&quot;/&gt;&lt;wsp:rsid wsp:val=&quot;000673E8&quot;/&gt;&lt;wsp:rsid wsp:val=&quot;0007051C&quot;/&gt;&lt;wsp:rsid wsp:val=&quot;000706ED&quot;/&gt;&lt;wsp:rsid wsp:val=&quot;00070BBF&quot;/&gt;&lt;wsp:rsid wsp:val=&quot;00071535&quot;/&gt;&lt;wsp:rsid wsp:val=&quot;00071955&quot;/&gt;&lt;wsp:rsid wsp:val=&quot;00071AE0&quot;/&gt;&lt;wsp:rsid wsp:val=&quot;00075F6A&quot;/&gt;&lt;wsp:rsid wsp:val=&quot;00076201&quot;/&gt;&lt;wsp:rsid wsp:val=&quot;00076433&quot;/&gt;&lt;wsp:rsid wsp:val=&quot;00076794&quot;/&gt;&lt;wsp:rsid wsp:val=&quot;000778CA&quot;/&gt;&lt;wsp:rsid wsp:val=&quot;00080603&quot;/&gt;&lt;wsp:rsid wsp:val=&quot;000819AE&quot;/&gt;&lt;wsp:rsid wsp:val=&quot;00083E4C&quot;/&gt;&lt;wsp:rsid wsp:val=&quot;0008590B&quot;/&gt;&lt;wsp:rsid wsp:val=&quot;00086744&quot;/&gt;&lt;wsp:rsid wsp:val=&quot;0008680D&quot;/&gt;&lt;wsp:rsid wsp:val=&quot;00086A2D&quot;/&gt;&lt;wsp:rsid wsp:val=&quot;00092AC0&quot;/&gt;&lt;wsp:rsid wsp:val=&quot;00092D0E&quot;/&gt;&lt;wsp:rsid wsp:val=&quot;00092F66&quot;/&gt;&lt;wsp:rsid wsp:val=&quot;00093355&quot;/&gt;&lt;wsp:rsid wsp:val=&quot;00093B48&quot;/&gt;&lt;wsp:rsid wsp:val=&quot;00094876&quot;/&gt;&lt;wsp:rsid wsp:val=&quot;0009518F&quot;/&gt;&lt;wsp:rsid wsp:val=&quot;0009645B&quot;/&gt;&lt;wsp:rsid wsp:val=&quot;00097AAC&quot;/&gt;&lt;wsp:rsid wsp:val=&quot;000A00BE&quot;/&gt;&lt;wsp:rsid wsp:val=&quot;000A0487&quot;/&gt;&lt;wsp:rsid wsp:val=&quot;000A0E76&quot;/&gt;&lt;wsp:rsid wsp:val=&quot;000A130E&quot;/&gt;&lt;wsp:rsid wsp:val=&quot;000A3B17&quot;/&gt;&lt;wsp:rsid wsp:val=&quot;000B1ED2&quot;/&gt;&lt;wsp:rsid wsp:val=&quot;000B2024&quot;/&gt;&lt;wsp:rsid wsp:val=&quot;000B31FE&quot;/&gt;&lt;wsp:rsid wsp:val=&quot;000B5A19&quot;/&gt;&lt;wsp:rsid wsp:val=&quot;000B5E21&quot;/&gt;&lt;wsp:rsid wsp:val=&quot;000B71D5&quot;/&gt;&lt;wsp:rsid wsp:val=&quot;000C0731&quot;/&gt;&lt;wsp:rsid wsp:val=&quot;000C1B18&quot;/&gt;&lt;wsp:rsid wsp:val=&quot;000C1F95&quot;/&gt;&lt;wsp:rsid wsp:val=&quot;000C20C1&quot;/&gt;&lt;wsp:rsid wsp:val=&quot;000C4ECD&quot;/&gt;&lt;wsp:rsid wsp:val=&quot;000C6055&quot;/&gt;&lt;wsp:rsid wsp:val=&quot;000C61AB&quot;/&gt;&lt;wsp:rsid wsp:val=&quot;000C734F&quot;/&gt;&lt;wsp:rsid wsp:val=&quot;000D0D40&quot;/&gt;&lt;wsp:rsid wsp:val=&quot;000D175A&quot;/&gt;&lt;wsp:rsid wsp:val=&quot;000D1CC2&quot;/&gt;&lt;wsp:rsid wsp:val=&quot;000D31B0&quot;/&gt;&lt;wsp:rsid wsp:val=&quot;000D3231&quot;/&gt;&lt;wsp:rsid wsp:val=&quot;000D3A8D&quot;/&gt;&lt;wsp:rsid wsp:val=&quot;000D46E8&quot;/&gt;&lt;wsp:rsid wsp:val=&quot;000D4ECC&quot;/&gt;&lt;wsp:rsid wsp:val=&quot;000D508B&quot;/&gt;&lt;wsp:rsid wsp:val=&quot;000D5F78&quot;/&gt;&lt;wsp:rsid wsp:val=&quot;000E0C5B&quot;/&gt;&lt;wsp:rsid wsp:val=&quot;000E15FF&quot;/&gt;&lt;wsp:rsid wsp:val=&quot;000E22F3&quot;/&gt;&lt;wsp:rsid wsp:val=&quot;000E25CE&quot;/&gt;&lt;wsp:rsid wsp:val=&quot;000E264B&quot;/&gt;&lt;wsp:rsid wsp:val=&quot;000E27DD&quot;/&gt;&lt;wsp:rsid wsp:val=&quot;000E27DE&quot;/&gt;&lt;wsp:rsid wsp:val=&quot;000E32C3&quot;/&gt;&lt;wsp:rsid wsp:val=&quot;000E33C9&quot;/&gt;&lt;wsp:rsid wsp:val=&quot;000E3447&quot;/&gt;&lt;wsp:rsid wsp:val=&quot;000E46A1&quot;/&gt;&lt;wsp:rsid wsp:val=&quot;000E4A24&quot;/&gt;&lt;wsp:rsid wsp:val=&quot;000E4F07&quot;/&gt;&lt;wsp:rsid wsp:val=&quot;000E59CC&quot;/&gt;&lt;wsp:rsid wsp:val=&quot;000E742C&quot;/&gt;&lt;wsp:rsid wsp:val=&quot;000F0106&quot;/&gt;&lt;wsp:rsid wsp:val=&quot;000F0963&quot;/&gt;&lt;wsp:rsid wsp:val=&quot;000F0E1F&quot;/&gt;&lt;wsp:rsid wsp:val=&quot;000F11DE&quot;/&gt;&lt;wsp:rsid wsp:val=&quot;000F14A1&quot;/&gt;&lt;wsp:rsid wsp:val=&quot;000F17B4&quot;/&gt;&lt;wsp:rsid wsp:val=&quot;000F1994&quot;/&gt;&lt;wsp:rsid wsp:val=&quot;000F19D5&quot;/&gt;&lt;wsp:rsid wsp:val=&quot;000F3EA6&quot;/&gt;&lt;wsp:rsid wsp:val=&quot;000F4304&quot;/&gt;&lt;wsp:rsid wsp:val=&quot;000F5022&quot;/&gt;&lt;wsp:rsid wsp:val=&quot;000F56D2&quot;/&gt;&lt;wsp:rsid wsp:val=&quot;000F5A44&quot;/&gt;&lt;wsp:rsid wsp:val=&quot;000F5FB3&quot;/&gt;&lt;wsp:rsid wsp:val=&quot;000F68D4&quot;/&gt;&lt;wsp:rsid wsp:val=&quot;000F6996&quot;/&gt;&lt;wsp:rsid wsp:val=&quot;000F6F0A&quot;/&gt;&lt;wsp:rsid wsp:val=&quot;000F75CC&quot;/&gt;&lt;wsp:rsid wsp:val=&quot;000F79D0&quot;/&gt;&lt;wsp:rsid wsp:val=&quot;0010031C&quot;/&gt;&lt;wsp:rsid wsp:val=&quot;001020EA&quot;/&gt;&lt;wsp:rsid wsp:val=&quot;00102E18&quot;/&gt;&lt;wsp:rsid wsp:val=&quot;00104908&quot;/&gt;&lt;wsp:rsid wsp:val=&quot;001074D2&quot;/&gt;&lt;wsp:rsid wsp:val=&quot;001079A5&quot;/&gt;&lt;wsp:rsid wsp:val=&quot;00110782&quot;/&gt;&lt;wsp:rsid wsp:val=&quot;00111586&quot;/&gt;&lt;wsp:rsid wsp:val=&quot;00115472&quot;/&gt;&lt;wsp:rsid wsp:val=&quot;0011604D&quot;/&gt;&lt;wsp:rsid wsp:val=&quot;0011666A&quot;/&gt;&lt;wsp:rsid wsp:val=&quot;00117B3F&quot;/&gt;&lt;wsp:rsid wsp:val=&quot;00117B47&quot;/&gt;&lt;wsp:rsid wsp:val=&quot;00117B97&quot;/&gt;&lt;wsp:rsid wsp:val=&quot;00117BC2&quot;/&gt;&lt;wsp:rsid wsp:val=&quot;00117C0D&quot;/&gt;&lt;wsp:rsid wsp:val=&quot;001201B6&quot;/&gt;&lt;wsp:rsid wsp:val=&quot;00120DB3&quot;/&gt;&lt;wsp:rsid wsp:val=&quot;00122011&quot;/&gt;&lt;wsp:rsid wsp:val=&quot;00122A2B&quot;/&gt;&lt;wsp:rsid wsp:val=&quot;001241B9&quot;/&gt;&lt;wsp:rsid wsp:val=&quot;0012437E&quot;/&gt;&lt;wsp:rsid wsp:val=&quot;00124584&quot;/&gt;&lt;wsp:rsid wsp:val=&quot;00124943&quot;/&gt;&lt;wsp:rsid wsp:val=&quot;00124AE8&quot;/&gt;&lt;wsp:rsid wsp:val=&quot;00126EDF&quot;/&gt;&lt;wsp:rsid wsp:val=&quot;00127728&quot;/&gt;&lt;wsp:rsid wsp:val=&quot;00127E91&quot;/&gt;&lt;wsp:rsid wsp:val=&quot;00127EC9&quot;/&gt;&lt;wsp:rsid wsp:val=&quot;001301CF&quot;/&gt;&lt;wsp:rsid wsp:val=&quot;00130936&quot;/&gt;&lt;wsp:rsid wsp:val=&quot;001324EF&quot;/&gt;&lt;wsp:rsid wsp:val=&quot;00132D3B&quot;/&gt;&lt;wsp:rsid wsp:val=&quot;00133634&quot;/&gt;&lt;wsp:rsid wsp:val=&quot;001336BF&quot;/&gt;&lt;wsp:rsid wsp:val=&quot;00133DA8&quot;/&gt;&lt;wsp:rsid wsp:val=&quot;001347A3&quot;/&gt;&lt;wsp:rsid wsp:val=&quot;00136447&quot;/&gt;&lt;wsp:rsid wsp:val=&quot;0013686D&quot;/&gt;&lt;wsp:rsid wsp:val=&quot;00136BC2&quot;/&gt;&lt;wsp:rsid wsp:val=&quot;00136C15&quot;/&gt;&lt;wsp:rsid wsp:val=&quot;00136C4C&quot;/&gt;&lt;wsp:rsid wsp:val=&quot;00136EEB&quot;/&gt;&lt;wsp:rsid wsp:val=&quot;00137145&quot;/&gt;&lt;wsp:rsid wsp:val=&quot;0013785F&quot;/&gt;&lt;wsp:rsid wsp:val=&quot;00137ACA&quot;/&gt;&lt;wsp:rsid wsp:val=&quot;00141203&quot;/&gt;&lt;wsp:rsid wsp:val=&quot;00141722&quot;/&gt;&lt;wsp:rsid wsp:val=&quot;001418C9&quot;/&gt;&lt;wsp:rsid wsp:val=&quot;00142416&quot;/&gt;&lt;wsp:rsid wsp:val=&quot;0014369D&quot;/&gt;&lt;wsp:rsid wsp:val=&quot;00144B25&quot;/&gt;&lt;wsp:rsid wsp:val=&quot;00144BA2&quot;/&gt;&lt;wsp:rsid wsp:val=&quot;0014532B&quot;/&gt;&lt;wsp:rsid wsp:val=&quot;00145D1D&quot;/&gt;&lt;wsp:rsid wsp:val=&quot;00146B43&quot;/&gt;&lt;wsp:rsid wsp:val=&quot;00146E78&quot;/&gt;&lt;wsp:rsid wsp:val=&quot;00153182&quot;/&gt;&lt;wsp:rsid wsp:val=&quot;00155FA5&quot;/&gt;&lt;wsp:rsid wsp:val=&quot;00156A72&quot;/&gt;&lt;wsp:rsid wsp:val=&quot;00160797&quot;/&gt;&lt;wsp:rsid wsp:val=&quot;00160DF6&quot;/&gt;&lt;wsp:rsid wsp:val=&quot;001621EE&quot;/&gt;&lt;wsp:rsid wsp:val=&quot;001625FA&quot;/&gt;&lt;wsp:rsid wsp:val=&quot;0016354F&quot;/&gt;&lt;wsp:rsid wsp:val=&quot;00163879&quot;/&gt;&lt;wsp:rsid wsp:val=&quot;001650F3&quot;/&gt;&lt;wsp:rsid wsp:val=&quot;00165D18&quot;/&gt;&lt;wsp:rsid wsp:val=&quot;00166A52&quot;/&gt;&lt;wsp:rsid wsp:val=&quot;00166A9B&quot;/&gt;&lt;wsp:rsid wsp:val=&quot;00166AF0&quot;/&gt;&lt;wsp:rsid wsp:val=&quot;00166B0C&quot;/&gt;&lt;wsp:rsid wsp:val=&quot;00167272&quot;/&gt;&lt;wsp:rsid wsp:val=&quot;00167ECA&quot;/&gt;&lt;wsp:rsid wsp:val=&quot;00170E1F&quot;/&gt;&lt;wsp:rsid wsp:val=&quot;001715BB&quot;/&gt;&lt;wsp:rsid wsp:val=&quot;001716DA&quot;/&gt;&lt;wsp:rsid wsp:val=&quot;00171DA3&quot;/&gt;&lt;wsp:rsid wsp:val=&quot;00172139&quot;/&gt;&lt;wsp:rsid wsp:val=&quot;001728D9&quot;/&gt;&lt;wsp:rsid wsp:val=&quot;0017365B&quot;/&gt;&lt;wsp:rsid wsp:val=&quot;001739BC&quot;/&gt;&lt;wsp:rsid wsp:val=&quot;00174523&quot;/&gt;&lt;wsp:rsid wsp:val=&quot;00174641&quot;/&gt;&lt;wsp:rsid wsp:val=&quot;00175678&quot;/&gt;&lt;wsp:rsid wsp:val=&quot;00175C8C&quot;/&gt;&lt;wsp:rsid wsp:val=&quot;00176261&quot;/&gt;&lt;wsp:rsid wsp:val=&quot;00176EE6&quot;/&gt;&lt;wsp:rsid wsp:val=&quot;00176FE1&quot;/&gt;&lt;wsp:rsid wsp:val=&quot;001776C9&quot;/&gt;&lt;wsp:rsid wsp:val=&quot;00177B72&quot;/&gt;&lt;wsp:rsid wsp:val=&quot;00177F07&quot;/&gt;&lt;wsp:rsid wsp:val=&quot;001805BD&quot;/&gt;&lt;wsp:rsid wsp:val=&quot;0018081F&quot;/&gt;&lt;wsp:rsid wsp:val=&quot;00180C64&quot;/&gt;&lt;wsp:rsid wsp:val=&quot;00180F41&quot;/&gt;&lt;wsp:rsid wsp:val=&quot;00181A87&quot;/&gt;&lt;wsp:rsid wsp:val=&quot;00181D1B&quot;/&gt;&lt;wsp:rsid wsp:val=&quot;0018226C&quot;/&gt;&lt;wsp:rsid wsp:val=&quot;001838D1&quot;/&gt;&lt;wsp:rsid wsp:val=&quot;00184D1E&quot;/&gt;&lt;wsp:rsid wsp:val=&quot;00185613&quot;/&gt;&lt;wsp:rsid wsp:val=&quot;001856E0&quot;/&gt;&lt;wsp:rsid wsp:val=&quot;0018572E&quot;/&gt;&lt;wsp:rsid wsp:val=&quot;001908DC&quot;/&gt;&lt;wsp:rsid wsp:val=&quot;00190F15&quot;/&gt;&lt;wsp:rsid wsp:val=&quot;00191D9C&quot;/&gt;&lt;wsp:rsid wsp:val=&quot;00191DBA&quot;/&gt;&lt;wsp:rsid wsp:val=&quot;00191E10&quot;/&gt;&lt;wsp:rsid wsp:val=&quot;00192D6D&quot;/&gt;&lt;wsp:rsid wsp:val=&quot;001944E6&quot;/&gt;&lt;wsp:rsid wsp:val=&quot;001945C9&quot;/&gt;&lt;wsp:rsid wsp:val=&quot;00195193&quot;/&gt;&lt;wsp:rsid wsp:val=&quot;00195E48&quot;/&gt;&lt;wsp:rsid wsp:val=&quot;001975BE&quot;/&gt;&lt;wsp:rsid wsp:val=&quot;00197C6B&quot;/&gt;&lt;wsp:rsid wsp:val=&quot;001A0C8A&quot;/&gt;&lt;wsp:rsid wsp:val=&quot;001A1EAB&quot;/&gt;&lt;wsp:rsid wsp:val=&quot;001A2F53&quot;/&gt;&lt;wsp:rsid wsp:val=&quot;001A4657&quot;/&gt;&lt;wsp:rsid wsp:val=&quot;001A7D10&quot;/&gt;&lt;wsp:rsid wsp:val=&quot;001B0C1C&quot;/&gt;&lt;wsp:rsid wsp:val=&quot;001B120F&quot;/&gt;&lt;wsp:rsid wsp:val=&quot;001B14C3&quot;/&gt;&lt;wsp:rsid wsp:val=&quot;001B1CBC&quot;/&gt;&lt;wsp:rsid wsp:val=&quot;001B6424&quot;/&gt;&lt;wsp:rsid wsp:val=&quot;001C1579&quot;/&gt;&lt;wsp:rsid wsp:val=&quot;001C1FBD&quot;/&gt;&lt;wsp:rsid wsp:val=&quot;001C30E6&quot;/&gt;&lt;wsp:rsid wsp:val=&quot;001C4A8B&quot;/&gt;&lt;wsp:rsid wsp:val=&quot;001C51EC&quot;/&gt;&lt;wsp:rsid wsp:val=&quot;001C5B18&quot;/&gt;&lt;wsp:rsid wsp:val=&quot;001C64EB&quot;/&gt;&lt;wsp:rsid wsp:val=&quot;001D098D&quot;/&gt;&lt;wsp:rsid wsp:val=&quot;001D1954&quot;/&gt;&lt;wsp:rsid wsp:val=&quot;001D52B2&quot;/&gt;&lt;wsp:rsid wsp:val=&quot;001D6254&quot;/&gt;&lt;wsp:rsid wsp:val=&quot;001D7152&quot;/&gt;&lt;wsp:rsid wsp:val=&quot;001D7C85&quot;/&gt;&lt;wsp:rsid wsp:val=&quot;001E0D39&quot;/&gt;&lt;wsp:rsid wsp:val=&quot;001E36E2&quot;/&gt;&lt;wsp:rsid wsp:val=&quot;001E36E7&quot;/&gt;&lt;wsp:rsid wsp:val=&quot;001E5854&quot;/&gt;&lt;wsp:rsid wsp:val=&quot;001E5C81&quot;/&gt;&lt;wsp:rsid wsp:val=&quot;001E6419&quot;/&gt;&lt;wsp:rsid wsp:val=&quot;001E6E4A&quot;/&gt;&lt;wsp:rsid wsp:val=&quot;001E7F81&quot;/&gt;&lt;wsp:rsid wsp:val=&quot;001F351A&quot;/&gt;&lt;wsp:rsid wsp:val=&quot;001F54E6&quot;/&gt;&lt;wsp:rsid wsp:val=&quot;001F6AF7&quot;/&gt;&lt;wsp:rsid wsp:val=&quot;001F7122&quot;/&gt;&lt;wsp:rsid wsp:val=&quot;00200F79&quot;/&gt;&lt;wsp:rsid wsp:val=&quot;00201151&quot;/&gt;&lt;wsp:rsid wsp:val=&quot;00202037&quot;/&gt;&lt;wsp:rsid wsp:val=&quot;00202132&quot;/&gt;&lt;wsp:rsid wsp:val=&quot;00203112&quot;/&gt;&lt;wsp:rsid wsp:val=&quot;0020357F&quot;/&gt;&lt;wsp:rsid wsp:val=&quot;00205F37&quot;/&gt;&lt;wsp:rsid wsp:val=&quot;0020643A&quot;/&gt;&lt;wsp:rsid wsp:val=&quot;00206AF6&quot;/&gt;&lt;wsp:rsid wsp:val=&quot;00207457&quot;/&gt;&lt;wsp:rsid wsp:val=&quot;002075D8&quot;/&gt;&lt;wsp:rsid wsp:val=&quot;0021006C&quot;/&gt;&lt;wsp:rsid wsp:val=&quot;00210DC4&quot;/&gt;&lt;wsp:rsid wsp:val=&quot;00213539&quot;/&gt;&lt;wsp:rsid wsp:val=&quot;002142C3&quot;/&gt;&lt;wsp:rsid wsp:val=&quot;00215124&quot;/&gt;&lt;wsp:rsid wsp:val=&quot;002157EF&quot;/&gt;&lt;wsp:rsid wsp:val=&quot;002169EF&quot;/&gt;&lt;wsp:rsid wsp:val=&quot;00216EB7&quot;/&gt;&lt;wsp:rsid wsp:val=&quot;0021710B&quot;/&gt;&lt;wsp:rsid wsp:val=&quot;002176C9&quot;/&gt;&lt;wsp:rsid wsp:val=&quot;002210C8&quot;/&gt;&lt;wsp:rsid wsp:val=&quot;0022139A&quot;/&gt;&lt;wsp:rsid wsp:val=&quot;002213AA&quot;/&gt;&lt;wsp:rsid wsp:val=&quot;00221D01&quot;/&gt;&lt;wsp:rsid wsp:val=&quot;00223078&quot;/&gt;&lt;wsp:rsid wsp:val=&quot;002238D9&quot;/&gt;&lt;wsp:rsid wsp:val=&quot;002248FE&quot;/&gt;&lt;wsp:rsid wsp:val=&quot;00224952&quot;/&gt;&lt;wsp:rsid wsp:val=&quot;00225BF3&quot;/&gt;&lt;wsp:rsid wsp:val=&quot;00225EE6&quot;/&gt;&lt;wsp:rsid wsp:val=&quot;002269B8&quot;/&gt;&lt;wsp:rsid wsp:val=&quot;002269BD&quot;/&gt;&lt;wsp:rsid wsp:val=&quot;00230B9C&quot;/&gt;&lt;wsp:rsid wsp:val=&quot;00230FD0&quot;/&gt;&lt;wsp:rsid wsp:val=&quot;002312C8&quot;/&gt;&lt;wsp:rsid wsp:val=&quot;0023191F&quot;/&gt;&lt;wsp:rsid wsp:val=&quot;002324D5&quot;/&gt;&lt;wsp:rsid wsp:val=&quot;00232DA2&quot;/&gt;&lt;wsp:rsid wsp:val=&quot;002332D6&quot;/&gt;&lt;wsp:rsid wsp:val=&quot;00233438&quot;/&gt;&lt;wsp:rsid wsp:val=&quot;002337E1&quot;/&gt;&lt;wsp:rsid wsp:val=&quot;002404E0&quot;/&gt;&lt;wsp:rsid wsp:val=&quot;00240C7B&quot;/&gt;&lt;wsp:rsid wsp:val=&quot;00240F3C&quot;/&gt;&lt;wsp:rsid wsp:val=&quot;002410C8&quot;/&gt;&lt;wsp:rsid wsp:val=&quot;0024190A&quot;/&gt;&lt;wsp:rsid wsp:val=&quot;0024356A&quot;/&gt;&lt;wsp:rsid wsp:val=&quot;00244008&quot;/&gt;&lt;wsp:rsid wsp:val=&quot;002452A0&quot;/&gt;&lt;wsp:rsid wsp:val=&quot;00246B84&quot;/&gt;&lt;wsp:rsid wsp:val=&quot;0024742C&quot;/&gt;&lt;wsp:rsid wsp:val=&quot;00247B95&quot;/&gt;&lt;wsp:rsid wsp:val=&quot;0025086B&quot;/&gt;&lt;wsp:rsid wsp:val=&quot;00250FB5&quot;/&gt;&lt;wsp:rsid wsp:val=&quot;002512E8&quot;/&gt;&lt;wsp:rsid wsp:val=&quot;00252667&quot;/&gt;&lt;wsp:rsid wsp:val=&quot;00253820&quot;/&gt;&lt;wsp:rsid wsp:val=&quot;0025462D&quot;/&gt;&lt;wsp:rsid wsp:val=&quot;00255263&quot;/&gt;&lt;wsp:rsid wsp:val=&quot;0025532A&quot;/&gt;&lt;wsp:rsid wsp:val=&quot;00255AEF&quot;/&gt;&lt;wsp:rsid wsp:val=&quot;00255EE5&quot;/&gt;&lt;wsp:rsid wsp:val=&quot;00256E37&quot;/&gt;&lt;wsp:rsid wsp:val=&quot;00257081&quot;/&gt;&lt;wsp:rsid wsp:val=&quot;0025721C&quot;/&gt;&lt;wsp:rsid wsp:val=&quot;00257B13&quot;/&gt;&lt;wsp:rsid wsp:val=&quot;00257C64&quot;/&gt;&lt;wsp:rsid wsp:val=&quot;0026140D&quot;/&gt;&lt;wsp:rsid wsp:val=&quot;0026283F&quot;/&gt;&lt;wsp:rsid wsp:val=&quot;00262BC1&quot;/&gt;&lt;wsp:rsid wsp:val=&quot;0026338F&quot;/&gt;&lt;wsp:rsid wsp:val=&quot;00264B2B&quot;/&gt;&lt;wsp:rsid wsp:val=&quot;00265600&quot;/&gt;&lt;wsp:rsid wsp:val=&quot;00266C4E&quot;/&gt;&lt;wsp:rsid wsp:val=&quot;00266D99&quot;/&gt;&lt;wsp:rsid wsp:val=&quot;00267B89&quot;/&gt;&lt;wsp:rsid wsp:val=&quot;00270810&quot;/&gt;&lt;wsp:rsid wsp:val=&quot;00272A9F&quot;/&gt;&lt;wsp:rsid wsp:val=&quot;002740BF&quot;/&gt;&lt;wsp:rsid wsp:val=&quot;00280378&quot;/&gt;&lt;wsp:rsid wsp:val=&quot;00280568&quot;/&gt;&lt;wsp:rsid wsp:val=&quot;00280716&quot;/&gt;&lt;wsp:rsid wsp:val=&quot;00280874&quot;/&gt;&lt;wsp:rsid wsp:val=&quot;00280CB5&quot;/&gt;&lt;wsp:rsid wsp:val=&quot;00281349&quot;/&gt;&lt;wsp:rsid wsp:val=&quot;00282336&quot;/&gt;&lt;wsp:rsid wsp:val=&quot;00283AB9&quot;/&gt;&lt;wsp:rsid wsp:val=&quot;00284558&quot;/&gt;&lt;wsp:rsid wsp:val=&quot;002854A8&quot;/&gt;&lt;wsp:rsid wsp:val=&quot;00285E8E&quot;/&gt;&lt;wsp:rsid wsp:val=&quot;002867E4&quot;/&gt;&lt;wsp:rsid wsp:val=&quot;002906FF&quot;/&gt;&lt;wsp:rsid wsp:val=&quot;0029176E&quot;/&gt;&lt;wsp:rsid wsp:val=&quot;00291DEF&quot;/&gt;&lt;wsp:rsid wsp:val=&quot;002930F8&quot;/&gt;&lt;wsp:rsid wsp:val=&quot;00293F27&quot;/&gt;&lt;wsp:rsid wsp:val=&quot;002945C8&quot;/&gt;&lt;wsp:rsid wsp:val=&quot;002945F4&quot;/&gt;&lt;wsp:rsid wsp:val=&quot;00294C56&quot;/&gt;&lt;wsp:rsid wsp:val=&quot;0029534B&quot;/&gt;&lt;wsp:rsid wsp:val=&quot;002964DF&quot;/&gt;&lt;wsp:rsid wsp:val=&quot;002A1123&quot;/&gt;&lt;wsp:rsid wsp:val=&quot;002A134D&quot;/&gt;&lt;wsp:rsid wsp:val=&quot;002A13AF&quot;/&gt;&lt;wsp:rsid wsp:val=&quot;002A20B3&quot;/&gt;&lt;wsp:rsid wsp:val=&quot;002A2770&quot;/&gt;&lt;wsp:rsid wsp:val=&quot;002A389B&quot;/&gt;&lt;wsp:rsid wsp:val=&quot;002A3E6E&quot;/&gt;&lt;wsp:rsid wsp:val=&quot;002A474F&quot;/&gt;&lt;wsp:rsid wsp:val=&quot;002A57F4&quot;/&gt;&lt;wsp:rsid wsp:val=&quot;002A63F5&quot;/&gt;&lt;wsp:rsid wsp:val=&quot;002A6C76&quot;/&gt;&lt;wsp:rsid wsp:val=&quot;002A7CA7&quot;/&gt;&lt;wsp:rsid wsp:val=&quot;002A7FEA&quot;/&gt;&lt;wsp:rsid wsp:val=&quot;002B03AB&quot;/&gt;&lt;wsp:rsid wsp:val=&quot;002B05BC&quot;/&gt;&lt;wsp:rsid wsp:val=&quot;002B24D9&quot;/&gt;&lt;wsp:rsid wsp:val=&quot;002B2A4A&quot;/&gt;&lt;wsp:rsid wsp:val=&quot;002B33C6&quot;/&gt;&lt;wsp:rsid wsp:val=&quot;002B39EF&quot;/&gt;&lt;wsp:rsid wsp:val=&quot;002B3DD9&quot;/&gt;&lt;wsp:rsid wsp:val=&quot;002B606F&quot;/&gt;&lt;wsp:rsid wsp:val=&quot;002B6525&quot;/&gt;&lt;wsp:rsid wsp:val=&quot;002C12A9&quot;/&gt;&lt;wsp:rsid wsp:val=&quot;002C19FB&quot;/&gt;&lt;wsp:rsid wsp:val=&quot;002C3BC6&quot;/&gt;&lt;wsp:rsid wsp:val=&quot;002C3D78&quot;/&gt;&lt;wsp:rsid wsp:val=&quot;002C4767&quot;/&gt;&lt;wsp:rsid wsp:val=&quot;002C505B&quot;/&gt;&lt;wsp:rsid wsp:val=&quot;002C5420&quot;/&gt;&lt;wsp:rsid wsp:val=&quot;002C71AD&quot;/&gt;&lt;wsp:rsid wsp:val=&quot;002C7F5D&quot;/&gt;&lt;wsp:rsid wsp:val=&quot;002D0750&quot;/&gt;&lt;wsp:rsid wsp:val=&quot;002D193E&quot;/&gt;&lt;wsp:rsid wsp:val=&quot;002D36C2&quot;/&gt;&lt;wsp:rsid wsp:val=&quot;002D39BD&quot;/&gt;&lt;wsp:rsid wsp:val=&quot;002D40F4&quot;/&gt;&lt;wsp:rsid wsp:val=&quot;002D555B&quot;/&gt;&lt;wsp:rsid wsp:val=&quot;002D7C7B&quot;/&gt;&lt;wsp:rsid wsp:val=&quot;002E0535&quot;/&gt;&lt;wsp:rsid wsp:val=&quot;002E0A10&quot;/&gt;&lt;wsp:rsid wsp:val=&quot;002E273E&quot;/&gt;&lt;wsp:rsid wsp:val=&quot;002E30C6&quot;/&gt;&lt;wsp:rsid wsp:val=&quot;002E4525&quot;/&gt;&lt;wsp:rsid wsp:val=&quot;002E7607&quot;/&gt;&lt;wsp:rsid wsp:val=&quot;002E7AA0&quot;/&gt;&lt;wsp:rsid wsp:val=&quot;002F00F6&quot;/&gt;&lt;wsp:rsid wsp:val=&quot;002F3933&quot;/&gt;&lt;wsp:rsid wsp:val=&quot;002F773F&quot;/&gt;&lt;wsp:rsid wsp:val=&quot;002F77BB&quot;/&gt;&lt;wsp:rsid wsp:val=&quot;00300FFD&quot;/&gt;&lt;wsp:rsid wsp:val=&quot;003025C3&quot;/&gt;&lt;wsp:rsid wsp:val=&quot;00302D7C&quot;/&gt;&lt;wsp:rsid wsp:val=&quot;0030421F&quot;/&gt;&lt;wsp:rsid wsp:val=&quot;003069E2&quot;/&gt;&lt;wsp:rsid wsp:val=&quot;00306DEC&quot;/&gt;&lt;wsp:rsid wsp:val=&quot;00310260&quot;/&gt;&lt;wsp:rsid wsp:val=&quot;00311475&quot;/&gt;&lt;wsp:rsid wsp:val=&quot;00312741&quot;/&gt;&lt;wsp:rsid wsp:val=&quot;00312C6A&quot;/&gt;&lt;wsp:rsid wsp:val=&quot;00312D8A&quot;/&gt;&lt;wsp:rsid wsp:val=&quot;003164BE&quot;/&gt;&lt;wsp:rsid wsp:val=&quot;0031659D&quot;/&gt;&lt;wsp:rsid wsp:val=&quot;0031751A&quot;/&gt;&lt;wsp:rsid wsp:val=&quot;003177A1&quot;/&gt;&lt;wsp:rsid wsp:val=&quot;00317911&quot;/&gt;&lt;wsp:rsid wsp:val=&quot;0032113B&quot;/&gt;&lt;wsp:rsid wsp:val=&quot;0032224F&quot;/&gt;&lt;wsp:rsid wsp:val=&quot;00322AC5&quot;/&gt;&lt;wsp:rsid wsp:val=&quot;00322AD1&quot;/&gt;&lt;wsp:rsid wsp:val=&quot;00322DBB&quot;/&gt;&lt;wsp:rsid wsp:val=&quot;00325105&quot;/&gt;&lt;wsp:rsid wsp:val=&quot;003262A7&quot;/&gt;&lt;wsp:rsid wsp:val=&quot;0032653B&quot;/&gt;&lt;wsp:rsid wsp:val=&quot;00327231&quot;/&gt;&lt;wsp:rsid wsp:val=&quot;003307AF&quot;/&gt;&lt;wsp:rsid wsp:val=&quot;00330B5B&quot;/&gt;&lt;wsp:rsid wsp:val=&quot;003310A6&quot;/&gt;&lt;wsp:rsid wsp:val=&quot;00331467&quot;/&gt;&lt;wsp:rsid wsp:val=&quot;00332BD4&quot;/&gt;&lt;wsp:rsid wsp:val=&quot;00333213&quot;/&gt;&lt;wsp:rsid wsp:val=&quot;00333F8F&quot;/&gt;&lt;wsp:rsid wsp:val=&quot;00335BE5&quot;/&gt;&lt;wsp:rsid wsp:val=&quot;00336C46&quot;/&gt;&lt;wsp:rsid wsp:val=&quot;003404DB&quot;/&gt;&lt;wsp:rsid wsp:val=&quot;00341537&quot;/&gt;&lt;wsp:rsid wsp:val=&quot;003427BD&quot;/&gt;&lt;wsp:rsid wsp:val=&quot;003430BA&quot;/&gt;&lt;wsp:rsid wsp:val=&quot;00343141&quot;/&gt;&lt;wsp:rsid wsp:val=&quot;0034316D&quot;/&gt;&lt;wsp:rsid wsp:val=&quot;00344DBC&quot;/&gt;&lt;wsp:rsid wsp:val=&quot;0034556E&quot;/&gt;&lt;wsp:rsid wsp:val=&quot;00346EDD&quot;/&gt;&lt;wsp:rsid wsp:val=&quot;0034768B&quot;/&gt;&lt;wsp:rsid wsp:val=&quot;003502C6&quot;/&gt;&lt;wsp:rsid wsp:val=&quot;00350689&quot;/&gt;&lt;wsp:rsid wsp:val=&quot;00350DD6&quot;/&gt;&lt;wsp:rsid wsp:val=&quot;00353044&quot;/&gt;&lt;wsp:rsid wsp:val=&quot;003532ED&quot;/&gt;&lt;wsp:rsid wsp:val=&quot;00354562&quot;/&gt;&lt;wsp:rsid wsp:val=&quot;00355514&quot;/&gt;&lt;wsp:rsid wsp:val=&quot;00355973&quot;/&gt;&lt;wsp:rsid wsp:val=&quot;003568A6&quot;/&gt;&lt;wsp:rsid wsp:val=&quot;00356DD5&quot;/&gt;&lt;wsp:rsid wsp:val=&quot;00360AF2&quot;/&gt;&lt;wsp:rsid wsp:val=&quot;003614F2&quot;/&gt;&lt;wsp:rsid wsp:val=&quot;003616DA&quot;/&gt;&lt;wsp:rsid wsp:val=&quot;003620E9&quot;/&gt;&lt;wsp:rsid wsp:val=&quot;00362F77&quot;/&gt;&lt;wsp:rsid wsp:val=&quot;00363460&quot;/&gt;&lt;wsp:rsid wsp:val=&quot;0036403E&quot;/&gt;&lt;wsp:rsid wsp:val=&quot;00364A81&quot;/&gt;&lt;wsp:rsid wsp:val=&quot;003669CA&quot;/&gt;&lt;wsp:rsid wsp:val=&quot;003672D4&quot;/&gt;&lt;wsp:rsid wsp:val=&quot;00367D8C&quot;/&gt;&lt;wsp:rsid wsp:val=&quot;00374499&quot;/&gt;&lt;wsp:rsid wsp:val=&quot;0037588A&quot;/&gt;&lt;wsp:rsid wsp:val=&quot;0037710D&quot;/&gt;&lt;wsp:rsid wsp:val=&quot;00377461&quot;/&gt;&lt;wsp:rsid wsp:val=&quot;00377AB7&quot;/&gt;&lt;wsp:rsid wsp:val=&quot;003805B9&quot;/&gt;&lt;wsp:rsid wsp:val=&quot;00380934&quot;/&gt;&lt;wsp:rsid wsp:val=&quot;003832CD&quot;/&gt;&lt;wsp:rsid wsp:val=&quot;00383794&quot;/&gt;&lt;wsp:rsid wsp:val=&quot;00385A85&quot;/&gt;&lt;wsp:rsid wsp:val=&quot;00386450&quot;/&gt;&lt;wsp:rsid wsp:val=&quot;00386AB3&quot;/&gt;&lt;wsp:rsid wsp:val=&quot;00387DE8&quot;/&gt;&lt;wsp:rsid wsp:val=&quot;0039127F&quot;/&gt;&lt;wsp:rsid wsp:val=&quot;003916C6&quot;/&gt;&lt;wsp:rsid wsp:val=&quot;00392D2C&quot;/&gt;&lt;wsp:rsid wsp:val=&quot;003933BE&quot;/&gt;&lt;wsp:rsid wsp:val=&quot;003933F1&quot;/&gt;&lt;wsp:rsid wsp:val=&quot;00393720&quot;/&gt;&lt;wsp:rsid wsp:val=&quot;00394B2F&quot;/&gt;&lt;wsp:rsid wsp:val=&quot;00395E32&quot;/&gt;&lt;wsp:rsid wsp:val=&quot;003A0EBB&quot;/&gt;&lt;wsp:rsid wsp:val=&quot;003A136C&quot;/&gt;&lt;wsp:rsid wsp:val=&quot;003A2162&quot;/&gt;&lt;wsp:rsid wsp:val=&quot;003A2CF1&quot;/&gt;&lt;wsp:rsid wsp:val=&quot;003A39E2&quot;/&gt;&lt;wsp:rsid wsp:val=&quot;003A3A4E&quot;/&gt;&lt;wsp:rsid wsp:val=&quot;003A3B29&quot;/&gt;&lt;wsp:rsid wsp:val=&quot;003A3E3D&quot;/&gt;&lt;wsp:rsid wsp:val=&quot;003A5B20&quot;/&gt;&lt;wsp:rsid wsp:val=&quot;003A5E91&quot;/&gt;&lt;wsp:rsid wsp:val=&quot;003A6A85&quot;/&gt;&lt;wsp:rsid wsp:val=&quot;003B1060&quot;/&gt;&lt;wsp:rsid wsp:val=&quot;003B1236&quot;/&gt;&lt;wsp:rsid wsp:val=&quot;003B17C1&quot;/&gt;&lt;wsp:rsid wsp:val=&quot;003B1A26&quot;/&gt;&lt;wsp:rsid wsp:val=&quot;003B1C40&quot;/&gt;&lt;wsp:rsid wsp:val=&quot;003B1FE5&quot;/&gt;&lt;wsp:rsid wsp:val=&quot;003B2940&quot;/&gt;&lt;wsp:rsid wsp:val=&quot;003B2C11&quot;/&gt;&lt;wsp:rsid wsp:val=&quot;003B320C&quot;/&gt;&lt;wsp:rsid wsp:val=&quot;003B45FA&quot;/&gt;&lt;wsp:rsid wsp:val=&quot;003B4D2A&quot;/&gt;&lt;wsp:rsid wsp:val=&quot;003B5D40&quot;/&gt;&lt;wsp:rsid wsp:val=&quot;003B6026&quot;/&gt;&lt;wsp:rsid wsp:val=&quot;003B6280&quot;/&gt;&lt;wsp:rsid wsp:val=&quot;003B6AA2&quot;/&gt;&lt;wsp:rsid wsp:val=&quot;003B6B61&quot;/&gt;&lt;wsp:rsid wsp:val=&quot;003B6C50&quot;/&gt;&lt;wsp:rsid wsp:val=&quot;003B75CB&quot;/&gt;&lt;wsp:rsid wsp:val=&quot;003B7A4C&quot;/&gt;&lt;wsp:rsid wsp:val=&quot;003B7C53&quot;/&gt;&lt;wsp:rsid wsp:val=&quot;003C05E0&quot;/&gt;&lt;wsp:rsid wsp:val=&quot;003C077C&quot;/&gt;&lt;wsp:rsid wsp:val=&quot;003C0FA8&quot;/&gt;&lt;wsp:rsid wsp:val=&quot;003C2A2E&quot;/&gt;&lt;wsp:rsid wsp:val=&quot;003C48A4&quot;/&gt;&lt;wsp:rsid wsp:val=&quot;003C51FE&quot;/&gt;&lt;wsp:rsid wsp:val=&quot;003C6512&quot;/&gt;&lt;wsp:rsid wsp:val=&quot;003C6865&quot;/&gt;&lt;wsp:rsid wsp:val=&quot;003D2609&quot;/&gt;&lt;wsp:rsid wsp:val=&quot;003D2F18&quot;/&gt;&lt;wsp:rsid wsp:val=&quot;003D4913&quot;/&gt;&lt;wsp:rsid wsp:val=&quot;003D5295&quot;/&gt;&lt;wsp:rsid wsp:val=&quot;003D5C8D&quot;/&gt;&lt;wsp:rsid wsp:val=&quot;003D6558&quot;/&gt;&lt;wsp:rsid wsp:val=&quot;003D761D&quot;/&gt;&lt;wsp:rsid wsp:val=&quot;003D7AB9&quot;/&gt;&lt;wsp:rsid wsp:val=&quot;003E01A2&quot;/&gt;&lt;wsp:rsid wsp:val=&quot;003E0C70&quot;/&gt;&lt;wsp:rsid wsp:val=&quot;003E211B&quot;/&gt;&lt;wsp:rsid wsp:val=&quot;003E2386&quot;/&gt;&lt;wsp:rsid wsp:val=&quot;003E28BD&quot;/&gt;&lt;wsp:rsid wsp:val=&quot;003E2A26&quot;/&gt;&lt;wsp:rsid wsp:val=&quot;003E3952&quot;/&gt;&lt;wsp:rsid wsp:val=&quot;003E3D8A&quot;/&gt;&lt;wsp:rsid wsp:val=&quot;003E40A6&quot;/&gt;&lt;wsp:rsid wsp:val=&quot;003E5CFB&quot;/&gt;&lt;wsp:rsid wsp:val=&quot;003E677A&quot;/&gt;&lt;wsp:rsid wsp:val=&quot;003E68FF&quot;/&gt;&lt;wsp:rsid wsp:val=&quot;003F0D43&quot;/&gt;&lt;wsp:rsid wsp:val=&quot;003F0E4F&quot;/&gt;&lt;wsp:rsid wsp:val=&quot;003F12CB&quot;/&gt;&lt;wsp:rsid wsp:val=&quot;003F1DF1&quot;/&gt;&lt;wsp:rsid wsp:val=&quot;003F2F4D&quot;/&gt;&lt;wsp:rsid wsp:val=&quot;003F6369&quot;/&gt;&lt;wsp:rsid wsp:val=&quot;00400FBE&quot;/&gt;&lt;wsp:rsid wsp:val=&quot;0040254B&quot;/&gt;&lt;wsp:rsid wsp:val=&quot;0040342F&quot;/&gt;&lt;wsp:rsid wsp:val=&quot;004037C5&quot;/&gt;&lt;wsp:rsid wsp:val=&quot;0040413E&quot;/&gt;&lt;wsp:rsid wsp:val=&quot;00404B9E&quot;/&gt;&lt;wsp:rsid wsp:val=&quot;00404E25&quot;/&gt;&lt;wsp:rsid wsp:val=&quot;004054EA&quot;/&gt;&lt;wsp:rsid wsp:val=&quot;00406422&quot;/&gt;&lt;wsp:rsid wsp:val=&quot;00407236&quot;/&gt;&lt;wsp:rsid wsp:val=&quot;004112BC&quot;/&gt;&lt;wsp:rsid wsp:val=&quot;004129CC&quot;/&gt;&lt;wsp:rsid wsp:val=&quot;00412BAC&quot;/&gt;&lt;wsp:rsid wsp:val=&quot;0041315B&quot;/&gt;&lt;wsp:rsid wsp:val=&quot;004155C5&quot;/&gt;&lt;wsp:rsid wsp:val=&quot;00415EF3&quot;/&gt;&lt;wsp:rsid wsp:val=&quot;00417317&quot;/&gt;&lt;wsp:rsid wsp:val=&quot;00421179&quot;/&gt;&lt;wsp:rsid wsp:val=&quot;004223FA&quot;/&gt;&lt;wsp:rsid wsp:val=&quot;00423902&quot;/&gt;&lt;wsp:rsid wsp:val=&quot;00424125&quot;/&gt;&lt;wsp:rsid wsp:val=&quot;00424BFD&quot;/&gt;&lt;wsp:rsid wsp:val=&quot;00424DB8&quot;/&gt;&lt;wsp:rsid wsp:val=&quot;00425AA8&quot;/&gt;&lt;wsp:rsid wsp:val=&quot;004267CD&quot;/&gt;&lt;wsp:rsid wsp:val=&quot;00427298&quot;/&gt;&lt;wsp:rsid wsp:val=&quot;0043102E&quot;/&gt;&lt;wsp:rsid wsp:val=&quot;00431241&quot;/&gt;&lt;wsp:rsid wsp:val=&quot;00432672&quot;/&gt;&lt;wsp:rsid wsp:val=&quot;00432C6C&quot;/&gt;&lt;wsp:rsid wsp:val=&quot;004331EC&quot;/&gt;&lt;wsp:rsid wsp:val=&quot;004335A9&quot;/&gt;&lt;wsp:rsid wsp:val=&quot;00434515&quot;/&gt;&lt;wsp:rsid wsp:val=&quot;00434FEE&quot;/&gt;&lt;wsp:rsid wsp:val=&quot;00437010&quot;/&gt;&lt;wsp:rsid wsp:val=&quot;00437615&quot;/&gt;&lt;wsp:rsid wsp:val=&quot;00440926&quot;/&gt;&lt;wsp:rsid wsp:val=&quot;00440C5E&quot;/&gt;&lt;wsp:rsid wsp:val=&quot;0044153D&quot;/&gt;&lt;wsp:rsid wsp:val=&quot;00441AA0&quot;/&gt;&lt;wsp:rsid wsp:val=&quot;0044415D&quot;/&gt;&lt;wsp:rsid wsp:val=&quot;004442AD&quot;/&gt;&lt;wsp:rsid wsp:val=&quot;00444830&quot;/&gt;&lt;wsp:rsid wsp:val=&quot;00444F63&quot;/&gt;&lt;wsp:rsid wsp:val=&quot;00445B32&quot;/&gt;&lt;wsp:rsid wsp:val=&quot;00447812&quot;/&gt;&lt;wsp:rsid wsp:val=&quot;00447C54&quot;/&gt;&lt;wsp:rsid wsp:val=&quot;00447EE4&quot;/&gt;&lt;wsp:rsid wsp:val=&quot;00450680&quot;/&gt;&lt;wsp:rsid wsp:val=&quot;00450FE1&quot;/&gt;&lt;wsp:rsid wsp:val=&quot;0045156E&quot;/&gt;&lt;wsp:rsid wsp:val=&quot;004516F7&quot;/&gt;&lt;wsp:rsid wsp:val=&quot;00451E5B&quot;/&gt;&lt;wsp:rsid wsp:val=&quot;00452C8D&quot;/&gt;&lt;wsp:rsid wsp:val=&quot;0045323B&quot;/&gt;&lt;wsp:rsid wsp:val=&quot;004538F7&quot;/&gt;&lt;wsp:rsid wsp:val=&quot;00454DC0&quot;/&gt;&lt;wsp:rsid wsp:val=&quot;00456993&quot;/&gt;&lt;wsp:rsid wsp:val=&quot;00457491&quot;/&gt;&lt;wsp:rsid wsp:val=&quot;00457950&quot;/&gt;&lt;wsp:rsid wsp:val=&quot;00460545&quot;/&gt;&lt;wsp:rsid wsp:val=&quot;00461373&quot;/&gt;&lt;wsp:rsid wsp:val=&quot;00461625&quot;/&gt;&lt;wsp:rsid wsp:val=&quot;004628A2&quot;/&gt;&lt;wsp:rsid wsp:val=&quot;004636FD&quot;/&gt;&lt;wsp:rsid wsp:val=&quot;00463881&quot;/&gt;&lt;wsp:rsid wsp:val=&quot;00464305&quot;/&gt;&lt;wsp:rsid wsp:val=&quot;00467A56&quot;/&gt;&lt;wsp:rsid wsp:val=&quot;00470EA4&quot;/&gt;&lt;wsp:rsid wsp:val=&quot;004711D5&quot;/&gt;&lt;wsp:rsid wsp:val=&quot;004714D4&quot;/&gt;&lt;wsp:rsid wsp:val=&quot;004718E4&quot;/&gt;&lt;wsp:rsid wsp:val=&quot;00473B60&quot;/&gt;&lt;wsp:rsid wsp:val=&quot;00474B13&quot;/&gt;&lt;wsp:rsid wsp:val=&quot;00476094&quot;/&gt;&lt;wsp:rsid wsp:val=&quot;004763C2&quot;/&gt;&lt;wsp:rsid wsp:val=&quot;004802FA&quot;/&gt;&lt;wsp:rsid wsp:val=&quot;00480F83&quot;/&gt;&lt;wsp:rsid wsp:val=&quot;004828BB&quot;/&gt;&lt;wsp:rsid wsp:val=&quot;00483A08&quot;/&gt;&lt;wsp:rsid wsp:val=&quot;00483AAE&quot;/&gt;&lt;wsp:rsid wsp:val=&quot;004845D0&quot;/&gt;&lt;wsp:rsid wsp:val=&quot;00485503&quot;/&gt;&lt;wsp:rsid wsp:val=&quot;004857D6&quot;/&gt;&lt;wsp:rsid wsp:val=&quot;00485978&quot;/&gt;&lt;wsp:rsid wsp:val=&quot;00485CF4&quot;/&gt;&lt;wsp:rsid wsp:val=&quot;0048677E&quot;/&gt;&lt;wsp:rsid wsp:val=&quot;0048706F&quot;/&gt;&lt;wsp:rsid wsp:val=&quot;00487521&quot;/&gt;&lt;wsp:rsid wsp:val=&quot;004877E8&quot;/&gt;&lt;wsp:rsid wsp:val=&quot;004901CC&quot;/&gt;&lt;wsp:rsid wsp:val=&quot;00490366&quot;/&gt;&lt;wsp:rsid wsp:val=&quot;00490B0D&quot;/&gt;&lt;wsp:rsid wsp:val=&quot;00491492&quot;/&gt;&lt;wsp:rsid wsp:val=&quot;00492857&quot;/&gt;&lt;wsp:rsid wsp:val=&quot;004930A9&quot;/&gt;&lt;wsp:rsid wsp:val=&quot;0049388A&quot;/&gt;&lt;wsp:rsid wsp:val=&quot;0049399C&quot;/&gt;&lt;wsp:rsid wsp:val=&quot;00493B5B&quot;/&gt;&lt;wsp:rsid wsp:val=&quot;00493DC7&quot;/&gt;&lt;wsp:rsid wsp:val=&quot;00494B23&quot;/&gt;&lt;wsp:rsid wsp:val=&quot;00497316&quot;/&gt;&lt;wsp:rsid wsp:val=&quot;004A00CD&quot;/&gt;&lt;wsp:rsid wsp:val=&quot;004A2136&quot;/&gt;&lt;wsp:rsid wsp:val=&quot;004A29B1&quot;/&gt;&lt;wsp:rsid wsp:val=&quot;004A29E4&quot;/&gt;&lt;wsp:rsid wsp:val=&quot;004A43A7&quot;/&gt;&lt;wsp:rsid wsp:val=&quot;004A45BB&quot;/&gt;&lt;wsp:rsid wsp:val=&quot;004A5E6A&quot;/&gt;&lt;wsp:rsid wsp:val=&quot;004A70F8&quot;/&gt;&lt;wsp:rsid wsp:val=&quot;004A7799&quot;/&gt;&lt;wsp:rsid wsp:val=&quot;004B0CCB&quot;/&gt;&lt;wsp:rsid wsp:val=&quot;004B0E2E&quot;/&gt;&lt;wsp:rsid wsp:val=&quot;004B153A&quot;/&gt;&lt;wsp:rsid wsp:val=&quot;004B3A70&quot;/&gt;&lt;wsp:rsid wsp:val=&quot;004B4068&quot;/&gt;&lt;wsp:rsid wsp:val=&quot;004B4D39&quot;/&gt;&lt;wsp:rsid wsp:val=&quot;004B5598&quot;/&gt;&lt;wsp:rsid wsp:val=&quot;004B5985&quot;/&gt;&lt;wsp:rsid wsp:val=&quot;004B5A67&quot;/&gt;&lt;wsp:rsid wsp:val=&quot;004B5D6C&quot;/&gt;&lt;wsp:rsid wsp:val=&quot;004B5F24&quot;/&gt;&lt;wsp:rsid wsp:val=&quot;004B5FF7&quot;/&gt;&lt;wsp:rsid wsp:val=&quot;004B6277&quot;/&gt;&lt;wsp:rsid wsp:val=&quot;004B6500&quot;/&gt;&lt;wsp:rsid wsp:val=&quot;004B70BE&quot;/&gt;&lt;wsp:rsid wsp:val=&quot;004C0047&quot;/&gt;&lt;wsp:rsid wsp:val=&quot;004C206C&quot;/&gt;&lt;wsp:rsid wsp:val=&quot;004C38B2&quot;/&gt;&lt;wsp:rsid wsp:val=&quot;004C488B&quot;/&gt;&lt;wsp:rsid wsp:val=&quot;004C5025&quot;/&gt;&lt;wsp:rsid wsp:val=&quot;004C524D&quot;/&gt;&lt;wsp:rsid wsp:val=&quot;004C62BF&quot;/&gt;&lt;wsp:rsid wsp:val=&quot;004C7A09&quot;/&gt;&lt;wsp:rsid wsp:val=&quot;004D0479&quot;/&gt;&lt;wsp:rsid wsp:val=&quot;004D04F4&quot;/&gt;&lt;wsp:rsid wsp:val=&quot;004D1354&quot;/&gt;&lt;wsp:rsid wsp:val=&quot;004D1553&quot;/&gt;&lt;wsp:rsid wsp:val=&quot;004D16C8&quot;/&gt;&lt;wsp:rsid wsp:val=&quot;004D2B6F&quot;/&gt;&lt;wsp:rsid wsp:val=&quot;004D2E50&quot;/&gt;&lt;wsp:rsid wsp:val=&quot;004D34BF&quot;/&gt;&lt;wsp:rsid wsp:val=&quot;004D41E4&quot;/&gt;&lt;wsp:rsid wsp:val=&quot;004D5144&quot;/&gt;&lt;wsp:rsid wsp:val=&quot;004D56CE&quot;/&gt;&lt;wsp:rsid wsp:val=&quot;004D695D&quot;/&gt;&lt;wsp:rsid wsp:val=&quot;004D75AB&quot;/&gt;&lt;wsp:rsid wsp:val=&quot;004D7B17&quot;/&gt;&lt;wsp:rsid wsp:val=&quot;004D7FEF&quot;/&gt;&lt;wsp:rsid wsp:val=&quot;004E0EE8&quot;/&gt;&lt;wsp:rsid wsp:val=&quot;004E398D&quot;/&gt;&lt;wsp:rsid wsp:val=&quot;004E78D6&quot;/&gt;&lt;wsp:rsid wsp:val=&quot;004E7FD3&quot;/&gt;&lt;wsp:rsid wsp:val=&quot;004F02B1&quot;/&gt;&lt;wsp:rsid wsp:val=&quot;004F085C&quot;/&gt;&lt;wsp:rsid wsp:val=&quot;004F1F3A&quot;/&gt;&lt;wsp:rsid wsp:val=&quot;004F22F7&quot;/&gt;&lt;wsp:rsid wsp:val=&quot;004F2325&quot;/&gt;&lt;wsp:rsid wsp:val=&quot;004F2BC7&quot;/&gt;&lt;wsp:rsid wsp:val=&quot;004F2E55&quot;/&gt;&lt;wsp:rsid wsp:val=&quot;004F2E8F&quot;/&gt;&lt;wsp:rsid wsp:val=&quot;004F3536&quot;/&gt;&lt;wsp:rsid wsp:val=&quot;004F3617&quot;/&gt;&lt;wsp:rsid wsp:val=&quot;004F391B&quot;/&gt;&lt;wsp:rsid wsp:val=&quot;004F5399&quot;/&gt;&lt;wsp:rsid wsp:val=&quot;004F548F&quot;/&gt;&lt;wsp:rsid wsp:val=&quot;004F6878&quot;/&gt;&lt;wsp:rsid wsp:val=&quot;004F6DCA&quot;/&gt;&lt;wsp:rsid wsp:val=&quot;004F7482&quot;/&gt;&lt;wsp:rsid wsp:val=&quot;0050323E&quot;/&gt;&lt;wsp:rsid wsp:val=&quot;005049EC&quot;/&gt;&lt;wsp:rsid wsp:val=&quot;00504A0B&quot;/&gt;&lt;wsp:rsid wsp:val=&quot;00504FC7&quot;/&gt;&lt;wsp:rsid wsp:val=&quot;00504FC8&quot;/&gt;&lt;wsp:rsid wsp:val=&quot;005053FA&quot;/&gt;&lt;wsp:rsid wsp:val=&quot;005057D0&quot;/&gt;&lt;wsp:rsid wsp:val=&quot;00505895&quot;/&gt;&lt;wsp:rsid wsp:val=&quot;00505FD4&quot;/&gt;&lt;wsp:rsid wsp:val=&quot;00507286&quot;/&gt;&lt;wsp:rsid wsp:val=&quot;0051143C&quot;/&gt;&lt;wsp:rsid wsp:val=&quot;00512027&quot;/&gt;&lt;wsp:rsid wsp:val=&quot;0051295E&quot;/&gt;&lt;wsp:rsid wsp:val=&quot;00513062&quot;/&gt;&lt;wsp:rsid wsp:val=&quot;00513580&quot;/&gt;&lt;wsp:rsid wsp:val=&quot;005215A5&quot;/&gt;&lt;wsp:rsid wsp:val=&quot;005215C2&quot;/&gt;&lt;wsp:rsid wsp:val=&quot;00521772&quot;/&gt;&lt;wsp:rsid wsp:val=&quot;00521B8B&quot;/&gt;&lt;wsp:rsid wsp:val=&quot;00522F82&quot;/&gt;&lt;wsp:rsid wsp:val=&quot;00523753&quot;/&gt;&lt;wsp:rsid wsp:val=&quot;00526BC2&quot;/&gt;&lt;wsp:rsid wsp:val=&quot;00526E37&quot;/&gt;&lt;wsp:rsid wsp:val=&quot;00530CCC&quot;/&gt;&lt;wsp:rsid wsp:val=&quot;00530F9A&quot;/&gt;&lt;wsp:rsid wsp:val=&quot;00532596&quot;/&gt;&lt;wsp:rsid wsp:val=&quot;005334C5&quot;/&gt;&lt;wsp:rsid wsp:val=&quot;00534680&quot;/&gt;&lt;wsp:rsid wsp:val=&quot;00537562&quot;/&gt;&lt;wsp:rsid wsp:val=&quot;005379D0&quot;/&gt;&lt;wsp:rsid wsp:val=&quot;00540B15&quot;/&gt;&lt;wsp:rsid wsp:val=&quot;005411B7&quot;/&gt;&lt;wsp:rsid wsp:val=&quot;00541424&quot;/&gt;&lt;wsp:rsid wsp:val=&quot;00541641&quot;/&gt;&lt;wsp:rsid wsp:val=&quot;005432A4&quot;/&gt;&lt;wsp:rsid wsp:val=&quot;00543C95&quot;/&gt;&lt;wsp:rsid wsp:val=&quot;00544099&quot;/&gt;&lt;wsp:rsid wsp:val=&quot;00544992&quot;/&gt;&lt;wsp:rsid wsp:val=&quot;005462D8&quot;/&gt;&lt;wsp:rsid wsp:val=&quot;00547DE5&quot;/&gt;&lt;wsp:rsid wsp:val=&quot;00551B03&quot;/&gt;&lt;wsp:rsid wsp:val=&quot;00551C3C&quot;/&gt;&lt;wsp:rsid wsp:val=&quot;0055274A&quot;/&gt;&lt;wsp:rsid wsp:val=&quot;00552938&quot;/&gt;&lt;wsp:rsid wsp:val=&quot;00552A30&quot;/&gt;&lt;wsp:rsid wsp:val=&quot;00552B63&quot;/&gt;&lt;wsp:rsid wsp:val=&quot;00553DAA&quot;/&gt;&lt;wsp:rsid wsp:val=&quot;00554163&quot;/&gt;&lt;wsp:rsid wsp:val=&quot;005556E7&quot;/&gt;&lt;wsp:rsid wsp:val=&quot;00556EDB&quot;/&gt;&lt;wsp:rsid wsp:val=&quot;00556FD2&quot;/&gt;&lt;wsp:rsid wsp:val=&quot;005579B4&quot;/&gt;&lt;wsp:rsid wsp:val=&quot;00560519&quot;/&gt;&lt;wsp:rsid wsp:val=&quot;005612EC&quot;/&gt;&lt;wsp:rsid wsp:val=&quot;00561928&quot;/&gt;&lt;wsp:rsid wsp:val=&quot;00561AD7&quot;/&gt;&lt;wsp:rsid wsp:val=&quot;00561FB8&quot;/&gt;&lt;wsp:rsid wsp:val=&quot;00562343&quot;/&gt;&lt;wsp:rsid wsp:val=&quot;00562D74&quot;/&gt;&lt;wsp:rsid wsp:val=&quot;0056667E&quot;/&gt;&lt;wsp:rsid wsp:val=&quot;00566FD9&quot;/&gt;&lt;wsp:rsid wsp:val=&quot;00567286&quot;/&gt;&lt;wsp:rsid wsp:val=&quot;00567661&quot;/&gt;&lt;wsp:rsid wsp:val=&quot;005703BF&quot;/&gt;&lt;wsp:rsid wsp:val=&quot;0057066E&quot;/&gt;&lt;wsp:rsid wsp:val=&quot;00570D66&quot;/&gt;&lt;wsp:rsid wsp:val=&quot;005710C3&quot;/&gt;&lt;wsp:rsid wsp:val=&quot;00571B96&quot;/&gt;&lt;wsp:rsid wsp:val=&quot;005723AD&quot;/&gt;&lt;wsp:rsid wsp:val=&quot;005726E7&quot;/&gt;&lt;wsp:rsid wsp:val=&quot;00572BE8&quot;/&gt;&lt;wsp:rsid wsp:val=&quot;00573479&quot;/&gt;&lt;wsp:rsid wsp:val=&quot;0057396A&quot;/&gt;&lt;wsp:rsid wsp:val=&quot;0057476F&quot;/&gt;&lt;wsp:rsid wsp:val=&quot;00575005&quot;/&gt;&lt;wsp:rsid wsp:val=&quot;00575A5F&quot;/&gt;&lt;wsp:rsid wsp:val=&quot;00575C17&quot;/&gt;&lt;wsp:rsid wsp:val=&quot;005774EF&quot;/&gt;&lt;wsp:rsid wsp:val=&quot;00577ACC&quot;/&gt;&lt;wsp:rsid wsp:val=&quot;00577F77&quot;/&gt;&lt;wsp:rsid wsp:val=&quot;00582BA6&quot;/&gt;&lt;wsp:rsid wsp:val=&quot;0058384C&quot;/&gt;&lt;wsp:rsid wsp:val=&quot;00587202&quot;/&gt;&lt;wsp:rsid wsp:val=&quot;00591117&quot;/&gt;&lt;wsp:rsid wsp:val=&quot;005912E9&quot;/&gt;&lt;wsp:rsid wsp:val=&quot;005944CE&quot;/&gt;&lt;wsp:rsid wsp:val=&quot;00594DE5&quot;/&gt;&lt;wsp:rsid wsp:val=&quot;005950A4&quot;/&gt;&lt;wsp:rsid wsp:val=&quot;00595295&quot;/&gt;&lt;wsp:rsid wsp:val=&quot;0059759C&quot;/&gt;&lt;wsp:rsid wsp:val=&quot;005A0633&quot;/&gt;&lt;wsp:rsid wsp:val=&quot;005A1E91&quot;/&gt;&lt;wsp:rsid wsp:val=&quot;005A2728&quot;/&gt;&lt;wsp:rsid wsp:val=&quot;005A283F&quot;/&gt;&lt;wsp:rsid wsp:val=&quot;005A4FB0&quot;/&gt;&lt;wsp:rsid wsp:val=&quot;005A5ED0&quot;/&gt;&lt;wsp:rsid wsp:val=&quot;005A5F87&quot;/&gt;&lt;wsp:rsid wsp:val=&quot;005A617F&quot;/&gt;&lt;wsp:rsid wsp:val=&quot;005A6C30&quot;/&gt;&lt;wsp:rsid wsp:val=&quot;005A6E40&quot;/&gt;&lt;wsp:rsid wsp:val=&quot;005A7500&quot;/&gt;&lt;wsp:rsid wsp:val=&quot;005B1C5F&quot;/&gt;&lt;wsp:rsid wsp:val=&quot;005B1D7D&quot;/&gt;&lt;wsp:rsid wsp:val=&quot;005B1E79&quot;/&gt;&lt;wsp:rsid wsp:val=&quot;005B27D3&quot;/&gt;&lt;wsp:rsid wsp:val=&quot;005B3449&quot;/&gt;&lt;wsp:rsid wsp:val=&quot;005B3B2F&quot;/&gt;&lt;wsp:rsid wsp:val=&quot;005B4453&quot;/&gt;&lt;wsp:rsid wsp:val=&quot;005B58D4&quot;/&gt;&lt;wsp:rsid wsp:val=&quot;005B5B7A&quot;/&gt;&lt;wsp:rsid wsp:val=&quot;005B6641&quot;/&gt;&lt;wsp:rsid wsp:val=&quot;005B6E59&quot;/&gt;&lt;wsp:rsid wsp:val=&quot;005B7AED&quot;/&gt;&lt;wsp:rsid wsp:val=&quot;005B7D2C&quot;/&gt;&lt;wsp:rsid wsp:val=&quot;005C1B87&quot;/&gt;&lt;wsp:rsid wsp:val=&quot;005C2C74&quot;/&gt;&lt;wsp:rsid wsp:val=&quot;005C2F87&quot;/&gt;&lt;wsp:rsid wsp:val=&quot;005C4200&quot;/&gt;&lt;wsp:rsid wsp:val=&quot;005C4F85&quot;/&gt;&lt;wsp:rsid wsp:val=&quot;005C521B&quot;/&gt;&lt;wsp:rsid wsp:val=&quot;005C5B84&quot;/&gt;&lt;wsp:rsid wsp:val=&quot;005C7098&quot;/&gt;&lt;wsp:rsid wsp:val=&quot;005C7107&quot;/&gt;&lt;wsp:rsid wsp:val=&quot;005C7233&quot;/&gt;&lt;wsp:rsid wsp:val=&quot;005D0657&quot;/&gt;&lt;wsp:rsid wsp:val=&quot;005D0A88&quot;/&gt;&lt;wsp:rsid wsp:val=&quot;005D0FA2&quot;/&gt;&lt;wsp:rsid wsp:val=&quot;005D0FED&quot;/&gt;&lt;wsp:rsid wsp:val=&quot;005D13A0&quot;/&gt;&lt;wsp:rsid wsp:val=&quot;005D13D6&quot;/&gt;&lt;wsp:rsid wsp:val=&quot;005D19CD&quot;/&gt;&lt;wsp:rsid wsp:val=&quot;005D4AF2&quot;/&gt;&lt;wsp:rsid wsp:val=&quot;005D4C34&quot;/&gt;&lt;wsp:rsid wsp:val=&quot;005D4F64&quot;/&gt;&lt;wsp:rsid wsp:val=&quot;005D5F3B&quot;/&gt;&lt;wsp:rsid wsp:val=&quot;005D686B&quot;/&gt;&lt;wsp:rsid wsp:val=&quot;005D6AB1&quot;/&gt;&lt;wsp:rsid wsp:val=&quot;005D747A&quot;/&gt;&lt;wsp:rsid wsp:val=&quot;005D7AAA&quot;/&gt;&lt;wsp:rsid wsp:val=&quot;005E0800&quot;/&gt;&lt;wsp:rsid wsp:val=&quot;005E0876&quot;/&gt;&lt;wsp:rsid wsp:val=&quot;005E0D22&quot;/&gt;&lt;wsp:rsid wsp:val=&quot;005E1DEF&quot;/&gt;&lt;wsp:rsid wsp:val=&quot;005E1F78&quot;/&gt;&lt;wsp:rsid wsp:val=&quot;005E22C7&quot;/&gt;&lt;wsp:rsid wsp:val=&quot;005E66F1&quot;/&gt;&lt;wsp:rsid wsp:val=&quot;005F093A&quot;/&gt;&lt;wsp:rsid wsp:val=&quot;005F13BF&quot;/&gt;&lt;wsp:rsid wsp:val=&quot;005F13E1&quot;/&gt;&lt;wsp:rsid wsp:val=&quot;005F1619&quot;/&gt;&lt;wsp:rsid wsp:val=&quot;005F1AD8&quot;/&gt;&lt;wsp:rsid wsp:val=&quot;005F23AA&quot;/&gt;&lt;wsp:rsid wsp:val=&quot;005F4A73&quot;/&gt;&lt;wsp:rsid wsp:val=&quot;005F5567&quot;/&gt;&lt;wsp:rsid wsp:val=&quot;005F58C7&quot;/&gt;&lt;wsp:rsid wsp:val=&quot;005F5ABA&quot;/&gt;&lt;wsp:rsid wsp:val=&quot;005F607E&quot;/&gt;&lt;wsp:rsid wsp:val=&quot;005F7536&quot;/&gt;&lt;wsp:rsid wsp:val=&quot;00601E34&quot;/&gt;&lt;wsp:rsid wsp:val=&quot;006031D2&quot;/&gt;&lt;wsp:rsid wsp:val=&quot;0060357C&quot;/&gt;&lt;wsp:rsid wsp:val=&quot;00605301&quot;/&gt;&lt;wsp:rsid wsp:val=&quot;00605B08&quot;/&gt;&lt;wsp:rsid wsp:val=&quot;0061063F&quot;/&gt;&lt;wsp:rsid wsp:val=&quot;0061083A&quot;/&gt;&lt;wsp:rsid wsp:val=&quot;00611413&quot;/&gt;&lt;wsp:rsid wsp:val=&quot;00611A78&quot;/&gt;&lt;wsp:rsid wsp:val=&quot;00611B30&quot;/&gt;&lt;wsp:rsid wsp:val=&quot;0061225B&quot;/&gt;&lt;wsp:rsid wsp:val=&quot;00613027&quot;/&gt;&lt;wsp:rsid wsp:val=&quot;00613426&quot;/&gt;&lt;wsp:rsid wsp:val=&quot;0061433F&quot;/&gt;&lt;wsp:rsid wsp:val=&quot;00614583&quot;/&gt;&lt;wsp:rsid wsp:val=&quot;00614934&quot;/&gt;&lt;wsp:rsid wsp:val=&quot;00614C51&quot;/&gt;&lt;wsp:rsid wsp:val=&quot;00615207&quot;/&gt;&lt;wsp:rsid wsp:val=&quot;00616631&quot;/&gt;&lt;wsp:rsid wsp:val=&quot;00617127&quot;/&gt;&lt;wsp:rsid wsp:val=&quot;006205FA&quot;/&gt;&lt;wsp:rsid wsp:val=&quot;00620F6E&quot;/&gt;&lt;wsp:rsid wsp:val=&quot;006221A0&quot;/&gt;&lt;wsp:rsid wsp:val=&quot;00622A94&quot;/&gt;&lt;wsp:rsid wsp:val=&quot;00622D40&quot;/&gt;&lt;wsp:rsid wsp:val=&quot;00622F4B&quot;/&gt;&lt;wsp:rsid wsp:val=&quot;00624CA5&quot;/&gt;&lt;wsp:rsid wsp:val=&quot;00624CE4&quot;/&gt;&lt;wsp:rsid wsp:val=&quot;0062539A&quot;/&gt;&lt;wsp:rsid wsp:val=&quot;006259CD&quot;/&gt;&lt;wsp:rsid wsp:val=&quot;00627403&quot;/&gt;&lt;wsp:rsid wsp:val=&quot;006277D3&quot;/&gt;&lt;wsp:rsid wsp:val=&quot;00631546&quot;/&gt;&lt;wsp:rsid wsp:val=&quot;00631834&quot;/&gt;&lt;wsp:rsid wsp:val=&quot;0063372A&quot;/&gt;&lt;wsp:rsid wsp:val=&quot;006358EC&quot;/&gt;&lt;wsp:rsid wsp:val=&quot;006408D8&quot;/&gt;&lt;wsp:rsid wsp:val=&quot;00640EBA&quot;/&gt;&lt;wsp:rsid wsp:val=&quot;006412D2&quot;/&gt;&lt;wsp:rsid wsp:val=&quot;00642241&quot;/&gt;&lt;wsp:rsid wsp:val=&quot;006429F6&quot;/&gt;&lt;wsp:rsid wsp:val=&quot;0064403D&quot;/&gt;&lt;wsp:rsid wsp:val=&quot;006477D7&quot;/&gt;&lt;wsp:rsid wsp:val=&quot;00647A97&quot;/&gt;&lt;wsp:rsid wsp:val=&quot;00650C78&quot;/&gt;&lt;wsp:rsid wsp:val=&quot;00652572&quot;/&gt;&lt;wsp:rsid wsp:val=&quot;006539A8&quot;/&gt;&lt;wsp:rsid wsp:val=&quot;00656628&quot;/&gt;&lt;wsp:rsid wsp:val=&quot;006567F9&quot;/&gt;&lt;wsp:rsid wsp:val=&quot;00656CE0&quot;/&gt;&lt;wsp:rsid wsp:val=&quot;00657175&quot;/&gt;&lt;wsp:rsid wsp:val=&quot;00657B7C&quot;/&gt;&lt;wsp:rsid wsp:val=&quot;0066139F&quot;/&gt;&lt;wsp:rsid wsp:val=&quot;006616B1&quot;/&gt;&lt;wsp:rsid wsp:val=&quot;00661E37&quot;/&gt;&lt;wsp:rsid wsp:val=&quot;00662F49&quot;/&gt;&lt;wsp:rsid wsp:val=&quot;00663647&quot;/&gt;&lt;wsp:rsid wsp:val=&quot;00663B46&quot;/&gt;&lt;wsp:rsid wsp:val=&quot;00663DE7&quot;/&gt;&lt;wsp:rsid wsp:val=&quot;00664EF8&quot;/&gt;&lt;wsp:rsid wsp:val=&quot;006656A1&quot;/&gt;&lt;wsp:rsid wsp:val=&quot;00665902&quot;/&gt;&lt;wsp:rsid wsp:val=&quot;00665F40&quot;/&gt;&lt;wsp:rsid wsp:val=&quot;006667C4&quot;/&gt;&lt;wsp:rsid wsp:val=&quot;00667CD7&quot;/&gt;&lt;wsp:rsid wsp:val=&quot;00670B04&quot;/&gt;&lt;wsp:rsid wsp:val=&quot;0067112C&quot;/&gt;&lt;wsp:rsid wsp:val=&quot;00671746&quot;/&gt;&lt;wsp:rsid wsp:val=&quot;0067387B&quot;/&gt;&lt;wsp:rsid wsp:val=&quot;00673AD0&quot;/&gt;&lt;wsp:rsid wsp:val=&quot;00674E2B&quot;/&gt;&lt;wsp:rsid wsp:val=&quot;00676035&quot;/&gt;&lt;wsp:rsid wsp:val=&quot;00676B6E&quot;/&gt;&lt;wsp:rsid wsp:val=&quot;00677182&quot;/&gt;&lt;wsp:rsid wsp:val=&quot;00677652&quot;/&gt;&lt;wsp:rsid wsp:val=&quot;0067788B&quot;/&gt;&lt;wsp:rsid wsp:val=&quot;006778E9&quot;/&gt;&lt;wsp:rsid wsp:val=&quot;00680ABE&quot;/&gt;&lt;wsp:rsid wsp:val=&quot;00682BC7&quot;/&gt;&lt;wsp:rsid wsp:val=&quot;0068340A&quot;/&gt;&lt;wsp:rsid wsp:val=&quot;00683870&quot;/&gt;&lt;wsp:rsid wsp:val=&quot;006838E7&quot;/&gt;&lt;wsp:rsid wsp:val=&quot;00683AEA&quot;/&gt;&lt;wsp:rsid wsp:val=&quot;00683BF5&quot;/&gt;&lt;wsp:rsid wsp:val=&quot;006867FF&quot;/&gt;&lt;wsp:rsid wsp:val=&quot;00686F26&quot;/&gt;&lt;wsp:rsid wsp:val=&quot;006877F8&quot;/&gt;&lt;wsp:rsid wsp:val=&quot;00687FD3&quot;/&gt;&lt;wsp:rsid wsp:val=&quot;006911B7&quot;/&gt;&lt;wsp:rsid wsp:val=&quot;00692BB8&quot;/&gt;&lt;wsp:rsid wsp:val=&quot;00693EB4&quot;/&gt;&lt;wsp:rsid wsp:val=&quot;006953B7&quot;/&gt;&lt;wsp:rsid wsp:val=&quot;00696185&quot;/&gt;&lt;wsp:rsid wsp:val=&quot;00696765&quot;/&gt;&lt;wsp:rsid wsp:val=&quot;00696F03&quot;/&gt;&lt;wsp:rsid wsp:val=&quot;006A1AC5&quot;/&gt;&lt;wsp:rsid wsp:val=&quot;006A22E0&quot;/&gt;&lt;wsp:rsid wsp:val=&quot;006A23E2&quot;/&gt;&lt;wsp:rsid wsp:val=&quot;006A4060&quot;/&gt;&lt;wsp:rsid wsp:val=&quot;006A5E36&quot;/&gt;&lt;wsp:rsid wsp:val=&quot;006A5F73&quot;/&gt;&lt;wsp:rsid wsp:val=&quot;006A6272&quot;/&gt;&lt;wsp:rsid wsp:val=&quot;006A687C&quot;/&gt;&lt;wsp:rsid wsp:val=&quot;006A6CF6&quot;/&gt;&lt;wsp:rsid wsp:val=&quot;006A7A5B&quot;/&gt;&lt;wsp:rsid wsp:val=&quot;006B042C&quot;/&gt;&lt;wsp:rsid wsp:val=&quot;006B34B3&quot;/&gt;&lt;wsp:rsid wsp:val=&quot;006B3F76&quot;/&gt;&lt;wsp:rsid wsp:val=&quot;006B42C8&quot;/&gt;&lt;wsp:rsid wsp:val=&quot;006B4E45&quot;/&gt;&lt;wsp:rsid wsp:val=&quot;006B61EA&quot;/&gt;&lt;wsp:rsid wsp:val=&quot;006B6562&quot;/&gt;&lt;wsp:rsid wsp:val=&quot;006B75CD&quot;/&gt;&lt;wsp:rsid wsp:val=&quot;006B7A87&quot;/&gt;&lt;wsp:rsid wsp:val=&quot;006C0047&quot;/&gt;&lt;wsp:rsid wsp:val=&quot;006C2CCC&quot;/&gt;&lt;wsp:rsid wsp:val=&quot;006C36AC&quot;/&gt;&lt;wsp:rsid wsp:val=&quot;006C4A28&quot;/&gt;&lt;wsp:rsid wsp:val=&quot;006C4B1C&quot;/&gt;&lt;wsp:rsid wsp:val=&quot;006C5D5E&quot;/&gt;&lt;wsp:rsid wsp:val=&quot;006C6E76&quot;/&gt;&lt;wsp:rsid wsp:val=&quot;006C70B0&quot;/&gt;&lt;wsp:rsid wsp:val=&quot;006C7F67&quot;/&gt;&lt;wsp:rsid wsp:val=&quot;006D0D36&quot;/&gt;&lt;wsp:rsid wsp:val=&quot;006D12C9&quot;/&gt;&lt;wsp:rsid wsp:val=&quot;006D206C&quot;/&gt;&lt;wsp:rsid wsp:val=&quot;006D3267&quot;/&gt;&lt;wsp:rsid wsp:val=&quot;006D3625&quot;/&gt;&lt;wsp:rsid wsp:val=&quot;006D3FCB&quot;/&gt;&lt;wsp:rsid wsp:val=&quot;006D57B2&quot;/&gt;&lt;wsp:rsid wsp:val=&quot;006D60F1&quot;/&gt;&lt;wsp:rsid wsp:val=&quot;006D7A69&quot;/&gt;&lt;wsp:rsid wsp:val=&quot;006E036F&quot;/&gt;&lt;wsp:rsid wsp:val=&quot;006E0755&quot;/&gt;&lt;wsp:rsid wsp:val=&quot;006E26E0&quot;/&gt;&lt;wsp:rsid wsp:val=&quot;006E2C2E&quot;/&gt;&lt;wsp:rsid wsp:val=&quot;006E33E4&quot;/&gt;&lt;wsp:rsid wsp:val=&quot;006E3CD0&quot;/&gt;&lt;wsp:rsid wsp:val=&quot;006E533F&quot;/&gt;&lt;wsp:rsid wsp:val=&quot;006E67FC&quot;/&gt;&lt;wsp:rsid wsp:val=&quot;006E783A&quot;/&gt;&lt;wsp:rsid wsp:val=&quot;006E7A22&quot;/&gt;&lt;wsp:rsid wsp:val=&quot;006F0EA4&quot;/&gt;&lt;wsp:rsid wsp:val=&quot;006F216B&quot;/&gt;&lt;wsp:rsid wsp:val=&quot;006F37DD&quot;/&gt;&lt;wsp:rsid wsp:val=&quot;006F4706&quot;/&gt;&lt;wsp:rsid wsp:val=&quot;006F5301&quot;/&gt;&lt;wsp:rsid wsp:val=&quot;006F6CFA&quot;/&gt;&lt;wsp:rsid wsp:val=&quot;006F7198&quot;/&gt;&lt;wsp:rsid wsp:val=&quot;0070035C&quot;/&gt;&lt;wsp:rsid wsp:val=&quot;007006D7&quot;/&gt;&lt;wsp:rsid wsp:val=&quot;0070080B&quot;/&gt;&lt;wsp:rsid wsp:val=&quot;00700A3C&quot;/&gt;&lt;wsp:rsid wsp:val=&quot;00702199&quot;/&gt;&lt;wsp:rsid wsp:val=&quot;007024F3&quot;/&gt;&lt;wsp:rsid wsp:val=&quot;00702584&quot;/&gt;&lt;wsp:rsid wsp:val=&quot;007026B8&quot;/&gt;&lt;wsp:rsid wsp:val=&quot;00704A90&quot;/&gt;&lt;wsp:rsid wsp:val=&quot;0070500D&quot;/&gt;&lt;wsp:rsid wsp:val=&quot;007055BA&quot;/&gt;&lt;wsp:rsid wsp:val=&quot;0070601E&quot;/&gt;&lt;wsp:rsid wsp:val=&quot;0070605E&quot;/&gt;&lt;wsp:rsid wsp:val=&quot;00706809&quot;/&gt;&lt;wsp:rsid wsp:val=&quot;00706AE2&quot;/&gt;&lt;wsp:rsid wsp:val=&quot;007108AA&quot;/&gt;&lt;wsp:rsid wsp:val=&quot;00710C18&quot;/&gt;&lt;wsp:rsid wsp:val=&quot;00710F11&quot;/&gt;&lt;wsp:rsid wsp:val=&quot;0071181C&quot;/&gt;&lt;wsp:rsid wsp:val=&quot;00711F90&quot;/&gt;&lt;wsp:rsid wsp:val=&quot;00712556&quot;/&gt;&lt;wsp:rsid wsp:val=&quot;007132BE&quot;/&gt;&lt;wsp:rsid wsp:val=&quot;00713576&quot;/&gt;&lt;wsp:rsid wsp:val=&quot;00713B8B&quot;/&gt;&lt;wsp:rsid wsp:val=&quot;00713E3B&quot;/&gt;&lt;wsp:rsid wsp:val=&quot;00714CC1&quot;/&gt;&lt;wsp:rsid wsp:val=&quot;00715802&quot;/&gt;&lt;wsp:rsid wsp:val=&quot;007158CA&quot;/&gt;&lt;wsp:rsid wsp:val=&quot;00715AB2&quot;/&gt;&lt;wsp:rsid wsp:val=&quot;007162C4&quot;/&gt;&lt;wsp:rsid wsp:val=&quot;0071759C&quot;/&gt;&lt;wsp:rsid wsp:val=&quot;00717DB5&quot;/&gt;&lt;wsp:rsid wsp:val=&quot;00717FD8&quot;/&gt;&lt;wsp:rsid wsp:val=&quot;00722147&quot;/&gt;&lt;wsp:rsid wsp:val=&quot;00722533&quot;/&gt;&lt;wsp:rsid wsp:val=&quot;00723650&quot;/&gt;&lt;wsp:rsid wsp:val=&quot;00723955&quot;/&gt;&lt;wsp:rsid wsp:val=&quot;00725735&quot;/&gt;&lt;wsp:rsid wsp:val=&quot;0073176C&quot;/&gt;&lt;wsp:rsid wsp:val=&quot;00734545&quot;/&gt;&lt;wsp:rsid wsp:val=&quot;00735D20&quot;/&gt;&lt;wsp:rsid wsp:val=&quot;00737A13&quot;/&gt;&lt;wsp:rsid wsp:val=&quot;00741EE9&quot;/&gt;&lt;wsp:rsid wsp:val=&quot;0074205F&quot;/&gt;&lt;wsp:rsid wsp:val=&quot;00742253&quot;/&gt;&lt;wsp:rsid wsp:val=&quot;00742D6F&quot;/&gt;&lt;wsp:rsid wsp:val=&quot;007444CA&quot;/&gt;&lt;wsp:rsid wsp:val=&quot;00745401&quot;/&gt;&lt;wsp:rsid wsp:val=&quot;007455CF&quot;/&gt;&lt;wsp:rsid wsp:val=&quot;007466B5&quot;/&gt;&lt;wsp:rsid wsp:val=&quot;00746F50&quot;/&gt;&lt;wsp:rsid wsp:val=&quot;0074740A&quot;/&gt;&lt;wsp:rsid wsp:val=&quot;00751938&quot;/&gt;&lt;wsp:rsid wsp:val=&quot;00751C9B&quot;/&gt;&lt;wsp:rsid wsp:val=&quot;00752303&quot;/&gt;&lt;wsp:rsid wsp:val=&quot;0075244E&quot;/&gt;&lt;wsp:rsid wsp:val=&quot;0075264D&quot;/&gt;&lt;wsp:rsid wsp:val=&quot;00752A4D&quot;/&gt;&lt;wsp:rsid wsp:val=&quot;00752C87&quot;/&gt;&lt;wsp:rsid wsp:val=&quot;0075302A&quot;/&gt;&lt;wsp:rsid wsp:val=&quot;00753210&quot;/&gt;&lt;wsp:rsid wsp:val=&quot;007532E1&quot;/&gt;&lt;wsp:rsid wsp:val=&quot;0075447B&quot;/&gt;&lt;wsp:rsid wsp:val=&quot;007547D4&quot;/&gt;&lt;wsp:rsid wsp:val=&quot;00754867&quot;/&gt;&lt;wsp:rsid wsp:val=&quot;0075536D&quot;/&gt;&lt;wsp:rsid wsp:val=&quot;0075606A&quot;/&gt;&lt;wsp:rsid wsp:val=&quot;00757357&quot;/&gt;&lt;wsp:rsid wsp:val=&quot;00757393&quot;/&gt;&lt;wsp:rsid wsp:val=&quot;00760853&quot;/&gt;&lt;wsp:rsid wsp:val=&quot;00760EFC&quot;/&gt;&lt;wsp:rsid wsp:val=&quot;007612F1&quot;/&gt;&lt;wsp:rsid wsp:val=&quot;007621BB&quot;/&gt;&lt;wsp:rsid wsp:val=&quot;00762291&quot;/&gt;&lt;wsp:rsid wsp:val=&quot;00762582&quot;/&gt;&lt;wsp:rsid wsp:val=&quot;0076262C&quot;/&gt;&lt;wsp:rsid wsp:val=&quot;0076265E&quot;/&gt;&lt;wsp:rsid wsp:val=&quot;00762BE8&quot;/&gt;&lt;wsp:rsid wsp:val=&quot;007633BD&quot;/&gt;&lt;wsp:rsid wsp:val=&quot;007636E0&quot;/&gt;&lt;wsp:rsid wsp:val=&quot;00763DD5&quot;/&gt;&lt;wsp:rsid wsp:val=&quot;00764B66&quot;/&gt;&lt;wsp:rsid wsp:val=&quot;007650C2&quot;/&gt;&lt;wsp:rsid wsp:val=&quot;00765DF4&quot;/&gt;&lt;wsp:rsid wsp:val=&quot;00765DFA&quot;/&gt;&lt;wsp:rsid wsp:val=&quot;00765E5A&quot;/&gt;&lt;wsp:rsid wsp:val=&quot;0076646D&quot;/&gt;&lt;wsp:rsid wsp:val=&quot;0076680C&quot;/&gt;&lt;wsp:rsid wsp:val=&quot;0076780F&quot;/&gt;&lt;wsp:rsid wsp:val=&quot;00767FFB&quot;/&gt;&lt;wsp:rsid wsp:val=&quot;0077023E&quot;/&gt;&lt;wsp:rsid wsp:val=&quot;00770624&quot;/&gt;&lt;wsp:rsid wsp:val=&quot;00771E28&quot;/&gt;&lt;wsp:rsid wsp:val=&quot;00772DC3&quot;/&gt;&lt;wsp:rsid wsp:val=&quot;00773386&quot;/&gt;&lt;wsp:rsid wsp:val=&quot;00775549&quot;/&gt;&lt;wsp:rsid wsp:val=&quot;007757F7&quot;/&gt;&lt;wsp:rsid wsp:val=&quot;00776F0F&quot;/&gt;&lt;wsp:rsid wsp:val=&quot;007777CF&quot;/&gt;&lt;wsp:rsid wsp:val=&quot;00777C7D&quot;/&gt;&lt;wsp:rsid wsp:val=&quot;00777FCE&quot;/&gt;&lt;wsp:rsid wsp:val=&quot;0078005B&quot;/&gt;&lt;wsp:rsid wsp:val=&quot;007802DE&quot;/&gt;&lt;wsp:rsid wsp:val=&quot;00781155&quot;/&gt;&lt;wsp:rsid wsp:val=&quot;00784604&quot;/&gt;&lt;wsp:rsid wsp:val=&quot;00787259&quot;/&gt;&lt;wsp:rsid wsp:val=&quot;007874F4&quot;/&gt;&lt;wsp:rsid wsp:val=&quot;00787D21&quot;/&gt;&lt;wsp:rsid wsp:val=&quot;00791A13&quot;/&gt;&lt;wsp:rsid wsp:val=&quot;0079230D&quot;/&gt;&lt;wsp:rsid wsp:val=&quot;00793673&quot;/&gt;&lt;wsp:rsid wsp:val=&quot;007936FA&quot;/&gt;&lt;wsp:rsid wsp:val=&quot;0079384E&quot;/&gt;&lt;wsp:rsid wsp:val=&quot;007950DE&quot;/&gt;&lt;wsp:rsid wsp:val=&quot;00795E08&quot;/&gt;&lt;wsp:rsid wsp:val=&quot;007960FD&quot;/&gt;&lt;wsp:rsid wsp:val=&quot;0079622C&quot;/&gt;&lt;wsp:rsid wsp:val=&quot;007971F3&quot;/&gt;&lt;wsp:rsid wsp:val=&quot;00797753&quot;/&gt;&lt;wsp:rsid wsp:val=&quot;007A0681&quot;/&gt;&lt;wsp:rsid wsp:val=&quot;007A0C4F&quot;/&gt;&lt;wsp:rsid wsp:val=&quot;007A186E&quot;/&gt;&lt;wsp:rsid wsp:val=&quot;007A23B4&quot;/&gt;&lt;wsp:rsid wsp:val=&quot;007A2603&quot;/&gt;&lt;wsp:rsid wsp:val=&quot;007A32F6&quot;/&gt;&lt;wsp:rsid wsp:val=&quot;007A3F11&quot;/&gt;&lt;wsp:rsid wsp:val=&quot;007A3FF2&quot;/&gt;&lt;wsp:rsid wsp:val=&quot;007A4EA1&quot;/&gt;&lt;wsp:rsid wsp:val=&quot;007A5A21&quot;/&gt;&lt;wsp:rsid wsp:val=&quot;007A6140&quot;/&gt;&lt;wsp:rsid wsp:val=&quot;007A623F&quot;/&gt;&lt;wsp:rsid wsp:val=&quot;007A72E7&quot;/&gt;&lt;wsp:rsid wsp:val=&quot;007B007F&quot;/&gt;&lt;wsp:rsid wsp:val=&quot;007B05ED&quot;/&gt;&lt;wsp:rsid wsp:val=&quot;007B1D02&quot;/&gt;&lt;wsp:rsid wsp:val=&quot;007B1FCB&quot;/&gt;&lt;wsp:rsid wsp:val=&quot;007B43B6&quot;/&gt;&lt;wsp:rsid wsp:val=&quot;007B52DD&quot;/&gt;&lt;wsp:rsid wsp:val=&quot;007B5490&quot;/&gt;&lt;wsp:rsid wsp:val=&quot;007B6A93&quot;/&gt;&lt;wsp:rsid wsp:val=&quot;007B7736&quot;/&gt;&lt;wsp:rsid wsp:val=&quot;007C08A7&quot;/&gt;&lt;wsp:rsid wsp:val=&quot;007C0C30&quot;/&gt;&lt;wsp:rsid wsp:val=&quot;007C17BA&quot;/&gt;&lt;wsp:rsid wsp:val=&quot;007C1F84&quot;/&gt;&lt;wsp:rsid wsp:val=&quot;007C2473&quot;/&gt;&lt;wsp:rsid wsp:val=&quot;007C2AA0&quot;/&gt;&lt;wsp:rsid wsp:val=&quot;007C4787&quot;/&gt;&lt;wsp:rsid wsp:val=&quot;007C525D&quot;/&gt;&lt;wsp:rsid wsp:val=&quot;007C57B3&quot;/&gt;&lt;wsp:rsid wsp:val=&quot;007C5D0D&quot;/&gt;&lt;wsp:rsid wsp:val=&quot;007C61C7&quot;/&gt;&lt;wsp:rsid wsp:val=&quot;007C6F02&quot;/&gt;&lt;wsp:rsid wsp:val=&quot;007C71F0&quot;/&gt;&lt;wsp:rsid wsp:val=&quot;007C7B97&quot;/&gt;&lt;wsp:rsid wsp:val=&quot;007D3546&quot;/&gt;&lt;wsp:rsid wsp:val=&quot;007D5198&quot;/&gt;&lt;wsp:rsid wsp:val=&quot;007D7576&quot;/&gt;&lt;wsp:rsid wsp:val=&quot;007E0256&quot;/&gt;&lt;wsp:rsid wsp:val=&quot;007E10F7&quot;/&gt;&lt;wsp:rsid wsp:val=&quot;007E23E1&quot;/&gt;&lt;wsp:rsid wsp:val=&quot;007E2776&quot;/&gt;&lt;wsp:rsid wsp:val=&quot;007E29D3&quot;/&gt;&lt;wsp:rsid wsp:val=&quot;007E397C&quot;/&gt;&lt;wsp:rsid wsp:val=&quot;007E45D1&quot;/&gt;&lt;wsp:rsid wsp:val=&quot;007E4B19&quot;/&gt;&lt;wsp:rsid wsp:val=&quot;007E4C75&quot;/&gt;&lt;wsp:rsid wsp:val=&quot;007E5A96&quot;/&gt;&lt;wsp:rsid wsp:val=&quot;007E7DF7&quot;/&gt;&lt;wsp:rsid wsp:val=&quot;007F06B1&quot;/&gt;&lt;wsp:rsid wsp:val=&quot;007F0753&quot;/&gt;&lt;wsp:rsid wsp:val=&quot;007F1548&quot;/&gt;&lt;wsp:rsid wsp:val=&quot;007F1614&quot;/&gt;&lt;wsp:rsid wsp:val=&quot;007F17D0&quot;/&gt;&lt;wsp:rsid wsp:val=&quot;007F1E05&quot;/&gt;&lt;wsp:rsid wsp:val=&quot;007F4E5D&quot;/&gt;&lt;wsp:rsid wsp:val=&quot;007F4F1B&quot;/&gt;&lt;wsp:rsid wsp:val=&quot;007F52F9&quot;/&gt;&lt;wsp:rsid wsp:val=&quot;007F56CE&quot;/&gt;&lt;wsp:rsid wsp:val=&quot;007F5990&quot;/&gt;&lt;wsp:rsid wsp:val=&quot;007F68E4&quot;/&gt;&lt;wsp:rsid wsp:val=&quot;00800696&quot;/&gt;&lt;wsp:rsid wsp:val=&quot;008020DA&quot;/&gt;&lt;wsp:rsid wsp:val=&quot;00803A35&quot;/&gt;&lt;wsp:rsid wsp:val=&quot;00804BF9&quot;/&gt;&lt;wsp:rsid wsp:val=&quot;00807EAF&quot;/&gt;&lt;wsp:rsid wsp:val=&quot;008105BC&quot;/&gt;&lt;wsp:rsid wsp:val=&quot;00811266&quot;/&gt;&lt;wsp:rsid wsp:val=&quot;00811733&quot;/&gt;&lt;wsp:rsid wsp:val=&quot;0081615F&quot;/&gt;&lt;wsp:rsid wsp:val=&quot;008168D9&quot;/&gt;&lt;wsp:rsid wsp:val=&quot;00816E46&quot;/&gt;&lt;wsp:rsid wsp:val=&quot;0081753E&quot;/&gt;&lt;wsp:rsid wsp:val=&quot;0082019F&quot;/&gt;&lt;wsp:rsid wsp:val=&quot;0082042A&quot;/&gt;&lt;wsp:rsid wsp:val=&quot;00820B6F&quot;/&gt;&lt;wsp:rsid wsp:val=&quot;00820C08&quot;/&gt;&lt;wsp:rsid wsp:val=&quot;00822BF4&quot;/&gt;&lt;wsp:rsid wsp:val=&quot;008230A5&quot;/&gt;&lt;wsp:rsid wsp:val=&quot;00823AFC&quot;/&gt;&lt;wsp:rsid wsp:val=&quot;00824A94&quot;/&gt;&lt;wsp:rsid wsp:val=&quot;008258AC&quot;/&gt;&lt;wsp:rsid wsp:val=&quot;00826224&quot;/&gt;&lt;wsp:rsid wsp:val=&quot;00826595&quot;/&gt;&lt;wsp:rsid wsp:val=&quot;008276C4&quot;/&gt;&lt;wsp:rsid wsp:val=&quot;0082788F&quot;/&gt;&lt;wsp:rsid wsp:val=&quot;00830811&quot;/&gt;&lt;wsp:rsid wsp:val=&quot;00830B20&quot;/&gt;&lt;wsp:rsid wsp:val=&quot;00831E82&quot;/&gt;&lt;wsp:rsid wsp:val=&quot;0083468F&quot;/&gt;&lt;wsp:rsid wsp:val=&quot;00834744&quot;/&gt;&lt;wsp:rsid wsp:val=&quot;00834E84&quot;/&gt;&lt;wsp:rsid wsp:val=&quot;00836086&quot;/&gt;&lt;wsp:rsid wsp:val=&quot;0083653E&quot;/&gt;&lt;wsp:rsid wsp:val=&quot;0083655A&quot;/&gt;&lt;wsp:rsid wsp:val=&quot;008369D2&quot;/&gt;&lt;wsp:rsid wsp:val=&quot;00836F1B&quot;/&gt;&lt;wsp:rsid wsp:val=&quot;00837B6B&quot;/&gt;&lt;wsp:rsid wsp:val=&quot;0084082F&quot;/&gt;&lt;wsp:rsid wsp:val=&quot;008417FB&quot;/&gt;&lt;wsp:rsid wsp:val=&quot;00841B67&quot;/&gt;&lt;wsp:rsid wsp:val=&quot;00841D33&quot;/&gt;&lt;wsp:rsid wsp:val=&quot;00842002&quot;/&gt;&lt;wsp:rsid wsp:val=&quot;0084228B&quot;/&gt;&lt;wsp:rsid wsp:val=&quot;00842DC7&quot;/&gt;&lt;wsp:rsid wsp:val=&quot;00843E7D&quot;/&gt;&lt;wsp:rsid wsp:val=&quot;00845D26&quot;/&gt;&lt;wsp:rsid wsp:val=&quot;00846BB9&quot;/&gt;&lt;wsp:rsid wsp:val=&quot;00846C4E&quot;/&gt;&lt;wsp:rsid wsp:val=&quot;00847FFC&quot;/&gt;&lt;wsp:rsid wsp:val=&quot;00850CAF&quot;/&gt;&lt;wsp:rsid wsp:val=&quot;00851EA6&quot;/&gt;&lt;wsp:rsid wsp:val=&quot;00852C4F&quot;/&gt;&lt;wsp:rsid wsp:val=&quot;00853D34&quot;/&gt;&lt;wsp:rsid wsp:val=&quot;0085493D&quot;/&gt;&lt;wsp:rsid wsp:val=&quot;008550D0&quot;/&gt;&lt;wsp:rsid wsp:val=&quot;00855380&quot;/&gt;&lt;wsp:rsid wsp:val=&quot;008558EE&quot;/&gt;&lt;wsp:rsid wsp:val=&quot;0085642C&quot;/&gt;&lt;wsp:rsid wsp:val=&quot;00857F71&quot;/&gt;&lt;wsp:rsid wsp:val=&quot;00857F84&quot;/&gt;&lt;wsp:rsid wsp:val=&quot;00861680&quot;/&gt;&lt;wsp:rsid wsp:val=&quot;00861990&quot;/&gt;&lt;wsp:rsid wsp:val=&quot;0086547F&quot;/&gt;&lt;wsp:rsid wsp:val=&quot;00870111&quot;/&gt;&lt;wsp:rsid wsp:val=&quot;008718AE&quot;/&gt;&lt;wsp:rsid wsp:val=&quot;0087316F&quot;/&gt;&lt;wsp:rsid wsp:val=&quot;0087349E&quot;/&gt;&lt;wsp:rsid wsp:val=&quot;0087447B&quot;/&gt;&lt;wsp:rsid wsp:val=&quot;008744EE&quot;/&gt;&lt;wsp:rsid wsp:val=&quot;00874EEE&quot;/&gt;&lt;wsp:rsid wsp:val=&quot;008755F3&quot;/&gt;&lt;wsp:rsid wsp:val=&quot;00876780&quot;/&gt;&lt;wsp:rsid wsp:val=&quot;00876E35&quot;/&gt;&lt;wsp:rsid wsp:val=&quot;008801C8&quot;/&gt;&lt;wsp:rsid wsp:val=&quot;008804EF&quot;/&gt;&lt;wsp:rsid wsp:val=&quot;0088156E&quot;/&gt;&lt;wsp:rsid wsp:val=&quot;00881B13&quot;/&gt;&lt;wsp:rsid wsp:val=&quot;008838F5&quot;/&gt;&lt;wsp:rsid wsp:val=&quot;008840DB&quot;/&gt;&lt;wsp:rsid wsp:val=&quot;00885602&quot;/&gt;&lt;wsp:rsid wsp:val=&quot;00886004&quot;/&gt;&lt;wsp:rsid wsp:val=&quot;008860FE&quot;/&gt;&lt;wsp:rsid wsp:val=&quot;0088724A&quot;/&gt;&lt;wsp:rsid wsp:val=&quot;00887BE7&quot;/&gt;&lt;wsp:rsid wsp:val=&quot;00890115&quot;/&gt;&lt;wsp:rsid wsp:val=&quot;008910A0&quot;/&gt;&lt;wsp:rsid wsp:val=&quot;008925CD&quot;/&gt;&lt;wsp:rsid wsp:val=&quot;00894679&quot;/&gt;&lt;wsp:rsid wsp:val=&quot;0089505E&quot;/&gt;&lt;wsp:rsid wsp:val=&quot;008959AB&quot;/&gt;&lt;wsp:rsid wsp:val=&quot;00895D58&quot;/&gt;&lt;wsp:rsid wsp:val=&quot;00897351&quot;/&gt;&lt;wsp:rsid wsp:val=&quot;00897691&quot;/&gt;&lt;wsp:rsid wsp:val=&quot;00897D05&quot;/&gt;&lt;wsp:rsid wsp:val=&quot;008A21BC&quot;/&gt;&lt;wsp:rsid wsp:val=&quot;008A22F6&quot;/&gt;&lt;wsp:rsid wsp:val=&quot;008A2454&quot;/&gt;&lt;wsp:rsid wsp:val=&quot;008A2DE0&quot;/&gt;&lt;wsp:rsid wsp:val=&quot;008A3D18&quot;/&gt;&lt;wsp:rsid wsp:val=&quot;008B0475&quot;/&gt;&lt;wsp:rsid wsp:val=&quot;008B06F9&quot;/&gt;&lt;wsp:rsid wsp:val=&quot;008B10BB&quot;/&gt;&lt;wsp:rsid wsp:val=&quot;008B1E79&quot;/&gt;&lt;wsp:rsid wsp:val=&quot;008B2125&quot;/&gt;&lt;wsp:rsid wsp:val=&quot;008B24BE&quot;/&gt;&lt;wsp:rsid wsp:val=&quot;008B332A&quot;/&gt;&lt;wsp:rsid wsp:val=&quot;008B453E&quot;/&gt;&lt;wsp:rsid wsp:val=&quot;008B4569&quot;/&gt;&lt;wsp:rsid wsp:val=&quot;008B5CC1&quot;/&gt;&lt;wsp:rsid wsp:val=&quot;008B651A&quot;/&gt;&lt;wsp:rsid wsp:val=&quot;008B6888&quot;/&gt;&lt;wsp:rsid wsp:val=&quot;008B6900&quot;/&gt;&lt;wsp:rsid wsp:val=&quot;008B6AD9&quot;/&gt;&lt;wsp:rsid wsp:val=&quot;008B6FE6&quot;/&gt;&lt;wsp:rsid wsp:val=&quot;008B7895&quot;/&gt;&lt;wsp:rsid wsp:val=&quot;008B7BDF&quot;/&gt;&lt;wsp:rsid wsp:val=&quot;008B7F43&quot;/&gt;&lt;wsp:rsid wsp:val=&quot;008C0568&quot;/&gt;&lt;wsp:rsid wsp:val=&quot;008C0762&quot;/&gt;&lt;wsp:rsid wsp:val=&quot;008C2175&quot;/&gt;&lt;wsp:rsid wsp:val=&quot;008C226D&quot;/&gt;&lt;wsp:rsid wsp:val=&quot;008C2F95&quot;/&gt;&lt;wsp:rsid wsp:val=&quot;008C3D30&quot;/&gt;&lt;wsp:rsid wsp:val=&quot;008C4243&quot;/&gt;&lt;wsp:rsid wsp:val=&quot;008C51D5&quot;/&gt;&lt;wsp:rsid wsp:val=&quot;008C656B&quot;/&gt;&lt;wsp:rsid wsp:val=&quot;008C6E4E&quot;/&gt;&lt;wsp:rsid wsp:val=&quot;008C783E&quot;/&gt;&lt;wsp:rsid wsp:val=&quot;008D0309&quot;/&gt;&lt;wsp:rsid wsp:val=&quot;008D3FD5&quot;/&gt;&lt;wsp:rsid wsp:val=&quot;008D4EA1&quot;/&gt;&lt;wsp:rsid wsp:val=&quot;008D50A7&quot;/&gt;&lt;wsp:rsid wsp:val=&quot;008D55E6&quot;/&gt;&lt;wsp:rsid wsp:val=&quot;008D5639&quot;/&gt;&lt;wsp:rsid wsp:val=&quot;008D6A03&quot;/&gt;&lt;wsp:rsid wsp:val=&quot;008D6E6E&quot;/&gt;&lt;wsp:rsid wsp:val=&quot;008D71DD&quot;/&gt;&lt;wsp:rsid wsp:val=&quot;008D7534&quot;/&gt;&lt;wsp:rsid wsp:val=&quot;008E049C&quot;/&gt;&lt;wsp:rsid wsp:val=&quot;008E2DBC&quot;/&gt;&lt;wsp:rsid wsp:val=&quot;008E3540&quot;/&gt;&lt;wsp:rsid wsp:val=&quot;008E3A67&quot;/&gt;&lt;wsp:rsid wsp:val=&quot;008E6802&quot;/&gt;&lt;wsp:rsid wsp:val=&quot;008E7958&quot;/&gt;&lt;wsp:rsid wsp:val=&quot;008F08D0&quot;/&gt;&lt;wsp:rsid wsp:val=&quot;008F0C18&quot;/&gt;&lt;wsp:rsid wsp:val=&quot;008F234C&quot;/&gt;&lt;wsp:rsid wsp:val=&quot;008F2362&quot;/&gt;&lt;wsp:rsid wsp:val=&quot;008F237F&quot;/&gt;&lt;wsp:rsid wsp:val=&quot;008F30B1&quot;/&gt;&lt;wsp:rsid wsp:val=&quot;008F378D&quot;/&gt;&lt;wsp:rsid wsp:val=&quot;008F3ADC&quot;/&gt;&lt;wsp:rsid wsp:val=&quot;008F3B48&quot;/&gt;&lt;wsp:rsid wsp:val=&quot;008F3CD4&quot;/&gt;&lt;wsp:rsid wsp:val=&quot;008F4668&quot;/&gt;&lt;wsp:rsid wsp:val=&quot;008F52E3&quot;/&gt;&lt;wsp:rsid wsp:val=&quot;008F55CF&quot;/&gt;&lt;wsp:rsid wsp:val=&quot;008F5C2D&quot;/&gt;&lt;wsp:rsid wsp:val=&quot;008F617C&quot;/&gt;&lt;wsp:rsid wsp:val=&quot;008F6506&quot;/&gt;&lt;wsp:rsid wsp:val=&quot;008F758C&quot;/&gt;&lt;wsp:rsid wsp:val=&quot;0090141A&quot;/&gt;&lt;wsp:rsid wsp:val=&quot;009026DF&quot;/&gt;&lt;wsp:rsid wsp:val=&quot;00902DB2&quot;/&gt;&lt;wsp:rsid wsp:val=&quot;009032DC&quot;/&gt;&lt;wsp:rsid wsp:val=&quot;00903873&quot;/&gt;&lt;wsp:rsid wsp:val=&quot;00903903&quot;/&gt;&lt;wsp:rsid wsp:val=&quot;00903997&quot;/&gt;&lt;wsp:rsid wsp:val=&quot;00904A71&quot;/&gt;&lt;wsp:rsid wsp:val=&quot;009050A7&quot;/&gt;&lt;wsp:rsid wsp:val=&quot;0090642B&quot;/&gt;&lt;wsp:rsid wsp:val=&quot;00906D00&quot;/&gt;&lt;wsp:rsid wsp:val=&quot;00906EDD&quot;/&gt;&lt;wsp:rsid wsp:val=&quot;0091008E&quot;/&gt;&lt;wsp:rsid wsp:val=&quot;00910281&quot;/&gt;&lt;wsp:rsid wsp:val=&quot;00910541&quot;/&gt;&lt;wsp:rsid wsp:val=&quot;00912268&quot;/&gt;&lt;wsp:rsid wsp:val=&quot;009126BF&quot;/&gt;&lt;wsp:rsid wsp:val=&quot;0091353E&quot;/&gt;&lt;wsp:rsid wsp:val=&quot;00914F65&quot;/&gt;&lt;wsp:rsid wsp:val=&quot;0091520C&quot;/&gt;&lt;wsp:rsid wsp:val=&quot;0091538C&quot;/&gt;&lt;wsp:rsid wsp:val=&quot;009158DD&quot;/&gt;&lt;wsp:rsid wsp:val=&quot;0091693F&quot;/&gt;&lt;wsp:rsid wsp:val=&quot;00917473&quot;/&gt;&lt;wsp:rsid wsp:val=&quot;0091787B&quot;/&gt;&lt;wsp:rsid wsp:val=&quot;0092091E&quot;/&gt;&lt;wsp:rsid wsp:val=&quot;009210C4&quot;/&gt;&lt;wsp:rsid wsp:val=&quot;00921FDE&quot;/&gt;&lt;wsp:rsid wsp:val=&quot;0092238F&quot;/&gt;&lt;wsp:rsid wsp:val=&quot;00922B57&quot;/&gt;&lt;wsp:rsid wsp:val=&quot;00922C61&quot;/&gt;&lt;wsp:rsid wsp:val=&quot;00923004&quot;/&gt;&lt;wsp:rsid wsp:val=&quot;00925050&quot;/&gt;&lt;wsp:rsid wsp:val=&quot;00925864&quot;/&gt;&lt;wsp:rsid wsp:val=&quot;00925D46&quot;/&gt;&lt;wsp:rsid wsp:val=&quot;0092628D&quot;/&gt;&lt;wsp:rsid wsp:val=&quot;00926F33&quot;/&gt;&lt;wsp:rsid wsp:val=&quot;00927039&quot;/&gt;&lt;wsp:rsid wsp:val=&quot;009272C6&quot;/&gt;&lt;wsp:rsid wsp:val=&quot;00930A45&quot;/&gt;&lt;wsp:rsid wsp:val=&quot;009320D4&quot;/&gt;&lt;wsp:rsid wsp:val=&quot;009321EE&quot;/&gt;&lt;wsp:rsid wsp:val=&quot;00932CEB&quot;/&gt;&lt;wsp:rsid wsp:val=&quot;00932D32&quot;/&gt;&lt;wsp:rsid wsp:val=&quot;0093723E&quot;/&gt;&lt;wsp:rsid wsp:val=&quot;009375DF&quot;/&gt;&lt;wsp:rsid wsp:val=&quot;00937A43&quot;/&gt;&lt;wsp:rsid wsp:val=&quot;00937D24&quot;/&gt;&lt;wsp:rsid wsp:val=&quot;00940EC7&quot;/&gt;&lt;wsp:rsid wsp:val=&quot;00944F3D&quot;/&gt;&lt;wsp:rsid wsp:val=&quot;0094615A&quot;/&gt;&lt;wsp:rsid wsp:val=&quot;00946906&quot;/&gt;&lt;wsp:rsid wsp:val=&quot;00947E40&quot;/&gt;&lt;wsp:rsid wsp:val=&quot;009508AB&quot;/&gt;&lt;wsp:rsid wsp:val=&quot;009513B6&quot;/&gt;&lt;wsp:rsid wsp:val=&quot;00951B39&quot;/&gt;&lt;wsp:rsid wsp:val=&quot;009535A8&quot;/&gt;&lt;wsp:rsid wsp:val=&quot;0095446B&quot;/&gt;&lt;wsp:rsid wsp:val=&quot;0095560E&quot;/&gt;&lt;wsp:rsid wsp:val=&quot;009567BA&quot;/&gt;&lt;wsp:rsid wsp:val=&quot;009575EF&quot;/&gt;&lt;wsp:rsid wsp:val=&quot;009579D8&quot;/&gt;&lt;wsp:rsid wsp:val=&quot;00960B50&quot;/&gt;&lt;wsp:rsid wsp:val=&quot;00960D08&quot;/&gt;&lt;wsp:rsid wsp:val=&quot;00960F93&quot;/&gt;&lt;wsp:rsid wsp:val=&quot;009619C0&quot;/&gt;&lt;wsp:rsid wsp:val=&quot;00962410&quot;/&gt;&lt;wsp:rsid wsp:val=&quot;0096269A&quot;/&gt;&lt;wsp:rsid wsp:val=&quot;0096271A&quot;/&gt;&lt;wsp:rsid wsp:val=&quot;00963969&quot;/&gt;&lt;wsp:rsid wsp:val=&quot;00963A3F&quot;/&gt;&lt;wsp:rsid wsp:val=&quot;009657FB&quot;/&gt;&lt;wsp:rsid wsp:val=&quot;009660BE&quot;/&gt;&lt;wsp:rsid wsp:val=&quot;009671C4&quot;/&gt;&lt;wsp:rsid wsp:val=&quot;00967380&quot;/&gt;&lt;wsp:rsid wsp:val=&quot;0096775E&quot;/&gt;&lt;wsp:rsid wsp:val=&quot;009678EA&quot;/&gt;&lt;wsp:rsid wsp:val=&quot;00970C85&quot;/&gt;&lt;wsp:rsid wsp:val=&quot;00971A70&quot;/&gt;&lt;wsp:rsid wsp:val=&quot;00974426&quot;/&gt;&lt;wsp:rsid wsp:val=&quot;0097453E&quot;/&gt;&lt;wsp:rsid wsp:val=&quot;00976A32&quot;/&gt;&lt;wsp:rsid wsp:val=&quot;00977829&quot;/&gt;&lt;wsp:rsid wsp:val=&quot;00977B0D&quot;/&gt;&lt;wsp:rsid wsp:val=&quot;00977B95&quot;/&gt;&lt;wsp:rsid wsp:val=&quot;009815FB&quot;/&gt;&lt;wsp:rsid wsp:val=&quot;0098242F&quot;/&gt;&lt;wsp:rsid wsp:val=&quot;00982BC4&quot;/&gt;&lt;wsp:rsid wsp:val=&quot;00983BA3&quot;/&gt;&lt;wsp:rsid wsp:val=&quot;00984107&quot;/&gt;&lt;wsp:rsid wsp:val=&quot;00984582&quot;/&gt;&lt;wsp:rsid wsp:val=&quot;00984617&quot;/&gt;&lt;wsp:rsid wsp:val=&quot;0098490B&quot;/&gt;&lt;wsp:rsid wsp:val=&quot;00984ADE&quot;/&gt;&lt;wsp:rsid wsp:val=&quot;0098647F&quot;/&gt;&lt;wsp:rsid wsp:val=&quot;0098719F&quot;/&gt;&lt;wsp:rsid wsp:val=&quot;00990F25&quot;/&gt;&lt;wsp:rsid wsp:val=&quot;009914EC&quot;/&gt;&lt;wsp:rsid wsp:val=&quot;0099166C&quot;/&gt;&lt;wsp:rsid wsp:val=&quot;00992E37&quot;/&gt;&lt;wsp:rsid wsp:val=&quot;00995AD6&quot;/&gt;&lt;wsp:rsid wsp:val=&quot;00995F2F&quot;/&gt;&lt;wsp:rsid wsp:val=&quot;009964A0&quot;/&gt;&lt;wsp:rsid wsp:val=&quot;00996754&quot;/&gt;&lt;wsp:rsid wsp:val=&quot;00996817&quot;/&gt;&lt;wsp:rsid wsp:val=&quot;009970C8&quot;/&gt;&lt;wsp:rsid wsp:val=&quot;009977CE&quot;/&gt;&lt;wsp:rsid wsp:val=&quot;009A0D99&quot;/&gt;&lt;wsp:rsid wsp:val=&quot;009A10D2&quot;/&gt;&lt;wsp:rsid wsp:val=&quot;009A1EAE&quot;/&gt;&lt;wsp:rsid wsp:val=&quot;009A3963&quot;/&gt;&lt;wsp:rsid wsp:val=&quot;009A3D1E&quot;/&gt;&lt;wsp:rsid wsp:val=&quot;009A5410&quot;/&gt;&lt;wsp:rsid wsp:val=&quot;009A5929&quot;/&gt;&lt;wsp:rsid wsp:val=&quot;009A5A4A&quot;/&gt;&lt;wsp:rsid wsp:val=&quot;009A6941&quot;/&gt;&lt;wsp:rsid wsp:val=&quot;009A7020&quot;/&gt;&lt;wsp:rsid wsp:val=&quot;009A7024&quot;/&gt;&lt;wsp:rsid wsp:val=&quot;009A706F&quot;/&gt;&lt;wsp:rsid wsp:val=&quot;009B042D&quot;/&gt;&lt;wsp:rsid wsp:val=&quot;009B057C&quot;/&gt;&lt;wsp:rsid wsp:val=&quot;009B0729&quot;/&gt;&lt;wsp:rsid wsp:val=&quot;009B114D&quot;/&gt;&lt;wsp:rsid wsp:val=&quot;009B1469&quot;/&gt;&lt;wsp:rsid wsp:val=&quot;009B2331&quot;/&gt;&lt;wsp:rsid wsp:val=&quot;009B3572&quot;/&gt;&lt;wsp:rsid wsp:val=&quot;009B6238&quot;/&gt;&lt;wsp:rsid wsp:val=&quot;009B6FE3&quot;/&gt;&lt;wsp:rsid wsp:val=&quot;009C1665&quot;/&gt;&lt;wsp:rsid wsp:val=&quot;009C1AEC&quot;/&gt;&lt;wsp:rsid wsp:val=&quot;009C37FE&quot;/&gt;&lt;wsp:rsid wsp:val=&quot;009C3D2D&quot;/&gt;&lt;wsp:rsid wsp:val=&quot;009C3F3F&quot;/&gt;&lt;wsp:rsid wsp:val=&quot;009C4E67&quot;/&gt;&lt;wsp:rsid wsp:val=&quot;009C5703&quot;/&gt;&lt;wsp:rsid wsp:val=&quot;009C6862&quot;/&gt;&lt;wsp:rsid wsp:val=&quot;009C78B7&quot;/&gt;&lt;wsp:rsid wsp:val=&quot;009C7BC2&quot;/&gt;&lt;wsp:rsid wsp:val=&quot;009D0D04&quot;/&gt;&lt;wsp:rsid wsp:val=&quot;009D2F6D&quot;/&gt;&lt;wsp:rsid wsp:val=&quot;009D319F&quot;/&gt;&lt;wsp:rsid wsp:val=&quot;009D3398&quot;/&gt;&lt;wsp:rsid wsp:val=&quot;009D33FC&quot;/&gt;&lt;wsp:rsid wsp:val=&quot;009D59B8&quot;/&gt;&lt;wsp:rsid wsp:val=&quot;009D6429&quot;/&gt;&lt;wsp:rsid wsp:val=&quot;009D7FD4&quot;/&gt;&lt;wsp:rsid wsp:val=&quot;009E1C76&quot;/&gt;&lt;wsp:rsid wsp:val=&quot;009E31AC&quot;/&gt;&lt;wsp:rsid wsp:val=&quot;009E3C40&quot;/&gt;&lt;wsp:rsid wsp:val=&quot;009E3F0A&quot;/&gt;&lt;wsp:rsid wsp:val=&quot;009E5115&quot;/&gt;&lt;wsp:rsid wsp:val=&quot;009E5676&quot;/&gt;&lt;wsp:rsid wsp:val=&quot;009E70CF&quot;/&gt;&lt;wsp:rsid wsp:val=&quot;009F1766&quot;/&gt;&lt;wsp:rsid wsp:val=&quot;009F1A46&quot;/&gt;&lt;wsp:rsid wsp:val=&quot;009F1BDB&quot;/&gt;&lt;wsp:rsid wsp:val=&quot;009F1F8A&quot;/&gt;&lt;wsp:rsid wsp:val=&quot;009F2ED3&quot;/&gt;&lt;wsp:rsid wsp:val=&quot;009F3DC4&quot;/&gt;&lt;wsp:rsid wsp:val=&quot;009F4981&quot;/&gt;&lt;wsp:rsid wsp:val=&quot;009F4B90&quot;/&gt;&lt;wsp:rsid wsp:val=&quot;009F4CA1&quot;/&gt;&lt;wsp:rsid wsp:val=&quot;009F5912&quot;/&gt;&lt;wsp:rsid wsp:val=&quot;009F5F34&quot;/&gt;&lt;wsp:rsid wsp:val=&quot;009F60FF&quot;/&gt;&lt;wsp:rsid wsp:val=&quot;009F7457&quot;/&gt;&lt;wsp:rsid wsp:val=&quot;009F7F3E&quot;/&gt;&lt;wsp:rsid wsp:val=&quot;00A01689&quot;/&gt;&lt;wsp:rsid wsp:val=&quot;00A01F05&quot;/&gt;&lt;wsp:rsid wsp:val=&quot;00A04FAA&quot;/&gt;&lt;wsp:rsid wsp:val=&quot;00A057F5&quot;/&gt;&lt;wsp:rsid wsp:val=&quot;00A0628C&quot;/&gt;&lt;wsp:rsid wsp:val=&quot;00A06B89&quot;/&gt;&lt;wsp:rsid wsp:val=&quot;00A071E3&quot;/&gt;&lt;wsp:rsid wsp:val=&quot;00A077CA&quot;/&gt;&lt;wsp:rsid wsp:val=&quot;00A10D03&quot;/&gt;&lt;wsp:rsid wsp:val=&quot;00A13402&quot;/&gt;&lt;wsp:rsid wsp:val=&quot;00A13F2D&quot;/&gt;&lt;wsp:rsid wsp:val=&quot;00A144E2&quot;/&gt;&lt;wsp:rsid wsp:val=&quot;00A14D8A&quot;/&gt;&lt;wsp:rsid wsp:val=&quot;00A15AF6&quot;/&gt;&lt;wsp:rsid wsp:val=&quot;00A16D3D&quot;/&gt;&lt;wsp:rsid wsp:val=&quot;00A17DE1&quot;/&gt;&lt;wsp:rsid wsp:val=&quot;00A2089D&quot;/&gt;&lt;wsp:rsid wsp:val=&quot;00A22009&quot;/&gt;&lt;wsp:rsid wsp:val=&quot;00A23726&quot;/&gt;&lt;wsp:rsid wsp:val=&quot;00A24BCC&quot;/&gt;&lt;wsp:rsid wsp:val=&quot;00A2666C&quot;/&gt;&lt;wsp:rsid wsp:val=&quot;00A26723&quot;/&gt;&lt;wsp:rsid wsp:val=&quot;00A271A2&quot;/&gt;&lt;wsp:rsid wsp:val=&quot;00A30682&quot;/&gt;&lt;wsp:rsid wsp:val=&quot;00A31CCD&quot;/&gt;&lt;wsp:rsid wsp:val=&quot;00A33AC1&quot;/&gt;&lt;wsp:rsid wsp:val=&quot;00A352D1&quot;/&gt;&lt;wsp:rsid wsp:val=&quot;00A3578E&quot;/&gt;&lt;wsp:rsid wsp:val=&quot;00A37B98&quot;/&gt;&lt;wsp:rsid wsp:val=&quot;00A415B7&quot;/&gt;&lt;wsp:rsid wsp:val=&quot;00A419B3&quot;/&gt;&lt;wsp:rsid wsp:val=&quot;00A42725&quot;/&gt;&lt;wsp:rsid wsp:val=&quot;00A42EB6&quot;/&gt;&lt;wsp:rsid wsp:val=&quot;00A431F3&quot;/&gt;&lt;wsp:rsid wsp:val=&quot;00A43603&quot;/&gt;&lt;wsp:rsid wsp:val=&quot;00A47670&quot;/&gt;&lt;wsp:rsid wsp:val=&quot;00A47FF9&quot;/&gt;&lt;wsp:rsid wsp:val=&quot;00A50265&quot;/&gt;&lt;wsp:rsid wsp:val=&quot;00A5219F&quot;/&gt;&lt;wsp:rsid wsp:val=&quot;00A52CAC&quot;/&gt;&lt;wsp:rsid wsp:val=&quot;00A5320B&quot;/&gt;&lt;wsp:rsid wsp:val=&quot;00A53FE8&quot;/&gt;&lt;wsp:rsid wsp:val=&quot;00A540F3&quot;/&gt;&lt;wsp:rsid wsp:val=&quot;00A565BC&quot;/&gt;&lt;wsp:rsid wsp:val=&quot;00A57052&quot;/&gt;&lt;wsp:rsid wsp:val=&quot;00A57D85&quot;/&gt;&lt;wsp:rsid wsp:val=&quot;00A60360&quot;/&gt;&lt;wsp:rsid wsp:val=&quot;00A60E62&quot;/&gt;&lt;wsp:rsid wsp:val=&quot;00A62EBF&quot;/&gt;&lt;wsp:rsid wsp:val=&quot;00A6347B&quot;/&gt;&lt;wsp:rsid wsp:val=&quot;00A640CF&quot;/&gt;&lt;wsp:rsid wsp:val=&quot;00A6413C&quot;/&gt;&lt;wsp:rsid wsp:val=&quot;00A64D8D&quot;/&gt;&lt;wsp:rsid wsp:val=&quot;00A6767E&quot;/&gt;&lt;wsp:rsid wsp:val=&quot;00A679C3&quot;/&gt;&lt;wsp:rsid wsp:val=&quot;00A7085C&quot;/&gt;&lt;wsp:rsid wsp:val=&quot;00A716FE&quot;/&gt;&lt;wsp:rsid wsp:val=&quot;00A726A7&quot;/&gt;&lt;wsp:rsid wsp:val=&quot;00A74AB8&quot;/&gt;&lt;wsp:rsid wsp:val=&quot;00A75D38&quot;/&gt;&lt;wsp:rsid wsp:val=&quot;00A76FAC&quot;/&gt;&lt;wsp:rsid wsp:val=&quot;00A776CC&quot;/&gt;&lt;wsp:rsid wsp:val=&quot;00A806FE&quot;/&gt;&lt;wsp:rsid wsp:val=&quot;00A80794&quot;/&gt;&lt;wsp:rsid wsp:val=&quot;00A80C5B&quot;/&gt;&lt;wsp:rsid wsp:val=&quot;00A830E0&quot;/&gt;&lt;wsp:rsid wsp:val=&quot;00A83348&quot;/&gt;&lt;wsp:rsid wsp:val=&quot;00A833A1&quot;/&gt;&lt;wsp:rsid wsp:val=&quot;00A83EA0&quot;/&gt;&lt;wsp:rsid wsp:val=&quot;00A83F30&quot;/&gt;&lt;wsp:rsid wsp:val=&quot;00A84648&quot;/&gt;&lt;wsp:rsid wsp:val=&quot;00A84A0D&quot;/&gt;&lt;wsp:rsid wsp:val=&quot;00A84F93&quot;/&gt;&lt;wsp:rsid wsp:val=&quot;00A85078&quot;/&gt;&lt;wsp:rsid wsp:val=&quot;00A85DFA&quot;/&gt;&lt;wsp:rsid wsp:val=&quot;00A865A1&quot;/&gt;&lt;wsp:rsid wsp:val=&quot;00A87C43&quot;/&gt;&lt;wsp:rsid wsp:val=&quot;00A87FF0&quot;/&gt;&lt;wsp:rsid wsp:val=&quot;00A901E9&quot;/&gt;&lt;wsp:rsid wsp:val=&quot;00A90211&quot;/&gt;&lt;wsp:rsid wsp:val=&quot;00A918B7&quot;/&gt;&lt;wsp:rsid wsp:val=&quot;00A957FA&quot;/&gt;&lt;wsp:rsid wsp:val=&quot;00A96873&quot;/&gt;&lt;wsp:rsid wsp:val=&quot;00A96DD2&quot;/&gt;&lt;wsp:rsid wsp:val=&quot;00A96E45&quot;/&gt;&lt;wsp:rsid wsp:val=&quot;00A96F37&quot;/&gt;&lt;wsp:rsid wsp:val=&quot;00A96FCC&quot;/&gt;&lt;wsp:rsid wsp:val=&quot;00A970FF&quot;/&gt;&lt;wsp:rsid wsp:val=&quot;00A97FB7&quot;/&gt;&lt;wsp:rsid wsp:val=&quot;00AA0957&quot;/&gt;&lt;wsp:rsid wsp:val=&quot;00AA0C39&quot;/&gt;&lt;wsp:rsid wsp:val=&quot;00AA0E66&quot;/&gt;&lt;wsp:rsid wsp:val=&quot;00AA1287&quot;/&gt;&lt;wsp:rsid wsp:val=&quot;00AA3EA4&quot;/&gt;&lt;wsp:rsid wsp:val=&quot;00AA4543&quot;/&gt;&lt;wsp:rsid wsp:val=&quot;00AA4B88&quot;/&gt;&lt;wsp:rsid wsp:val=&quot;00AA51A2&quot;/&gt;&lt;wsp:rsid wsp:val=&quot;00AA523C&quot;/&gt;&lt;wsp:rsid wsp:val=&quot;00AA5F59&quot;/&gt;&lt;wsp:rsid wsp:val=&quot;00AB06D1&quot;/&gt;&lt;wsp:rsid wsp:val=&quot;00AB0B24&quot;/&gt;&lt;wsp:rsid wsp:val=&quot;00AB0C60&quot;/&gt;&lt;wsp:rsid wsp:val=&quot;00AB1EDC&quot;/&gt;&lt;wsp:rsid wsp:val=&quot;00AB1F63&quot;/&gt;&lt;wsp:rsid wsp:val=&quot;00AB1FCB&quot;/&gt;&lt;wsp:rsid wsp:val=&quot;00AB267E&quot;/&gt;&lt;wsp:rsid wsp:val=&quot;00AB3CFD&quot;/&gt;&lt;wsp:rsid wsp:val=&quot;00AB41C1&quot;/&gt;&lt;wsp:rsid wsp:val=&quot;00AB51EC&quot;/&gt;&lt;wsp:rsid wsp:val=&quot;00AB5CA9&quot;/&gt;&lt;wsp:rsid wsp:val=&quot;00AB6596&quot;/&gt;&lt;wsp:rsid wsp:val=&quot;00AB6C8F&quot;/&gt;&lt;wsp:rsid wsp:val=&quot;00AC16B8&quot;/&gt;&lt;wsp:rsid wsp:val=&quot;00AC22AC&quot;/&gt;&lt;wsp:rsid wsp:val=&quot;00AC2535&quot;/&gt;&lt;wsp:rsid wsp:val=&quot;00AC3196&quot;/&gt;&lt;wsp:rsid wsp:val=&quot;00AC3E20&quot;/&gt;&lt;wsp:rsid wsp:val=&quot;00AC4D2F&quot;/&gt;&lt;wsp:rsid wsp:val=&quot;00AC5AF7&quot;/&gt;&lt;wsp:rsid wsp:val=&quot;00AC5CCB&quot;/&gt;&lt;wsp:rsid wsp:val=&quot;00AC6A2B&quot;/&gt;&lt;wsp:rsid wsp:val=&quot;00AC6C65&quot;/&gt;&lt;wsp:rsid wsp:val=&quot;00AC6F25&quot;/&gt;&lt;wsp:rsid wsp:val=&quot;00AC7BC9&quot;/&gt;&lt;wsp:rsid wsp:val=&quot;00AD064B&quot;/&gt;&lt;wsp:rsid wsp:val=&quot;00AD07DB&quot;/&gt;&lt;wsp:rsid wsp:val=&quot;00AD127C&quot;/&gt;&lt;wsp:rsid wsp:val=&quot;00AD2BAE&quot;/&gt;&lt;wsp:rsid wsp:val=&quot;00AD314B&quot;/&gt;&lt;wsp:rsid wsp:val=&quot;00AD3C30&quot;/&gt;&lt;wsp:rsid wsp:val=&quot;00AD4018&quot;/&gt;&lt;wsp:rsid wsp:val=&quot;00AD4979&quot;/&gt;&lt;wsp:rsid wsp:val=&quot;00AD5EB9&quot;/&gt;&lt;wsp:rsid wsp:val=&quot;00AD68AA&quot;/&gt;&lt;wsp:rsid wsp:val=&quot;00AD7A29&quot;/&gt;&lt;wsp:rsid wsp:val=&quot;00AE1EC8&quot;/&gt;&lt;wsp:rsid wsp:val=&quot;00AE1F2D&quot;/&gt;&lt;wsp:rsid wsp:val=&quot;00AE3531&quot;/&gt;&lt;wsp:rsid wsp:val=&quot;00AE3D08&quot;/&gt;&lt;wsp:rsid wsp:val=&quot;00AE591E&quot;/&gt;&lt;wsp:rsid wsp:val=&quot;00AE6820&quot;/&gt;&lt;wsp:rsid wsp:val=&quot;00AE6A46&quot;/&gt;&lt;wsp:rsid wsp:val=&quot;00AF04FC&quot;/&gt;&lt;wsp:rsid wsp:val=&quot;00AF11BF&quot;/&gt;&lt;wsp:rsid wsp:val=&quot;00AF17C2&quot;/&gt;&lt;wsp:rsid wsp:val=&quot;00AF239A&quot;/&gt;&lt;wsp:rsid wsp:val=&quot;00AF3802&quot;/&gt;&lt;wsp:rsid wsp:val=&quot;00AF4B7C&quot;/&gt;&lt;wsp:rsid wsp:val=&quot;00AF4F82&quot;/&gt;&lt;wsp:rsid wsp:val=&quot;00AF5B2C&quot;/&gt;&lt;wsp:rsid wsp:val=&quot;00AF5C75&quot;/&gt;&lt;wsp:rsid wsp:val=&quot;00AF7FAA&quot;/&gt;&lt;wsp:rsid wsp:val=&quot;00B04136&quot;/&gt;&lt;wsp:rsid wsp:val=&quot;00B05E61&quot;/&gt;&lt;wsp:rsid wsp:val=&quot;00B07243&quot;/&gt;&lt;wsp:rsid wsp:val=&quot;00B07F48&quot;/&gt;&lt;wsp:rsid wsp:val=&quot;00B07FD2&quot;/&gt;&lt;wsp:rsid wsp:val=&quot;00B105A2&quot;/&gt;&lt;wsp:rsid wsp:val=&quot;00B11C8F&quot;/&gt;&lt;wsp:rsid wsp:val=&quot;00B11F50&quot;/&gt;&lt;wsp:rsid wsp:val=&quot;00B12768&quot;/&gt;&lt;wsp:rsid wsp:val=&quot;00B1559F&quot;/&gt;&lt;wsp:rsid wsp:val=&quot;00B15FFB&quot;/&gt;&lt;wsp:rsid wsp:val=&quot;00B1755D&quot;/&gt;&lt;wsp:rsid wsp:val=&quot;00B17675&quot;/&gt;&lt;wsp:rsid wsp:val=&quot;00B1768C&quot;/&gt;&lt;wsp:rsid wsp:val=&quot;00B17A15&quot;/&gt;&lt;wsp:rsid wsp:val=&quot;00B17DDA&quot;/&gt;&lt;wsp:rsid wsp:val=&quot;00B218EB&quot;/&gt;&lt;wsp:rsid wsp:val=&quot;00B21C1B&quot;/&gt;&lt;wsp:rsid wsp:val=&quot;00B21D79&quot;/&gt;&lt;wsp:rsid wsp:val=&quot;00B243CF&quot;/&gt;&lt;wsp:rsid wsp:val=&quot;00B244DF&quot;/&gt;&lt;wsp:rsid wsp:val=&quot;00B24D40&quot;/&gt;&lt;wsp:rsid wsp:val=&quot;00B2546D&quot;/&gt;&lt;wsp:rsid wsp:val=&quot;00B25B89&quot;/&gt;&lt;wsp:rsid wsp:val=&quot;00B25BF5&quot;/&gt;&lt;wsp:rsid wsp:val=&quot;00B27E16&quot;/&gt;&lt;wsp:rsid wsp:val=&quot;00B31738&quot;/&gt;&lt;wsp:rsid wsp:val=&quot;00B31AF7&quot;/&gt;&lt;wsp:rsid wsp:val=&quot;00B328E8&quot;/&gt;&lt;wsp:rsid wsp:val=&quot;00B332FA&quot;/&gt;&lt;wsp:rsid wsp:val=&quot;00B348BC&quot;/&gt;&lt;wsp:rsid wsp:val=&quot;00B351AA&quot;/&gt;&lt;wsp:rsid wsp:val=&quot;00B35482&quot;/&gt;&lt;wsp:rsid wsp:val=&quot;00B35B1E&quot;/&gt;&lt;wsp:rsid wsp:val=&quot;00B36864&quot;/&gt;&lt;wsp:rsid wsp:val=&quot;00B36B9B&quot;/&gt;&lt;wsp:rsid wsp:val=&quot;00B36E4F&quot;/&gt;&lt;wsp:rsid wsp:val=&quot;00B378E5&quot;/&gt;&lt;wsp:rsid wsp:val=&quot;00B37B32&quot;/&gt;&lt;wsp:rsid wsp:val=&quot;00B4097B&quot;/&gt;&lt;wsp:rsid wsp:val=&quot;00B40AD1&quot;/&gt;&lt;wsp:rsid wsp:val=&quot;00B4208C&quot;/&gt;&lt;wsp:rsid wsp:val=&quot;00B42FA5&quot;/&gt;&lt;wsp:rsid wsp:val=&quot;00B439B2&quot;/&gt;&lt;wsp:rsid wsp:val=&quot;00B43E85&quot;/&gt;&lt;wsp:rsid wsp:val=&quot;00B459B6&quot;/&gt;&lt;wsp:rsid wsp:val=&quot;00B45B2F&quot;/&gt;&lt;wsp:rsid wsp:val=&quot;00B4651D&quot;/&gt;&lt;wsp:rsid wsp:val=&quot;00B46DA6&quot;/&gt;&lt;wsp:rsid wsp:val=&quot;00B47750&quot;/&gt;&lt;wsp:rsid wsp:val=&quot;00B526D5&quot;/&gt;&lt;wsp:rsid wsp:val=&quot;00B53549&quot;/&gt;&lt;wsp:rsid wsp:val=&quot;00B53629&quot;/&gt;&lt;wsp:rsid wsp:val=&quot;00B54469&quot;/&gt;&lt;wsp:rsid wsp:val=&quot;00B549DB&quot;/&gt;&lt;wsp:rsid wsp:val=&quot;00B54C0F&quot;/&gt;&lt;wsp:rsid wsp:val=&quot;00B55419&quot;/&gt;&lt;wsp:rsid wsp:val=&quot;00B55F5F&quot;/&gt;&lt;wsp:rsid wsp:val=&quot;00B57B0D&quot;/&gt;&lt;wsp:rsid wsp:val=&quot;00B60141&quot;/&gt;&lt;wsp:rsid wsp:val=&quot;00B612FF&quot;/&gt;&lt;wsp:rsid wsp:val=&quot;00B626FF&quot;/&gt;&lt;wsp:rsid wsp:val=&quot;00B62829&quot;/&gt;&lt;wsp:rsid wsp:val=&quot;00B63519&quot;/&gt;&lt;wsp:rsid wsp:val=&quot;00B63AD6&quot;/&gt;&lt;wsp:rsid wsp:val=&quot;00B64938&quot;/&gt;&lt;wsp:rsid wsp:val=&quot;00B657C6&quot;/&gt;&lt;wsp:rsid wsp:val=&quot;00B6597C&quot;/&gt;&lt;wsp:rsid wsp:val=&quot;00B66858&quot;/&gt;&lt;wsp:rsid wsp:val=&quot;00B67134&quot;/&gt;&lt;wsp:rsid wsp:val=&quot;00B6747D&quot;/&gt;&lt;wsp:rsid wsp:val=&quot;00B67A90&quot;/&gt;&lt;wsp:rsid wsp:val=&quot;00B67E99&quot;/&gt;&lt;wsp:rsid wsp:val=&quot;00B704D6&quot;/&gt;&lt;wsp:rsid wsp:val=&quot;00B71C2A&quot;/&gt;&lt;wsp:rsid wsp:val=&quot;00B71E2C&quot;/&gt;&lt;wsp:rsid wsp:val=&quot;00B72733&quot;/&gt;&lt;wsp:rsid wsp:val=&quot;00B731B3&quot;/&gt;&lt;wsp:rsid wsp:val=&quot;00B759E9&quot;/&gt;&lt;wsp:rsid wsp:val=&quot;00B75E1D&quot;/&gt;&lt;wsp:rsid wsp:val=&quot;00B7693C&quot;/&gt;&lt;wsp:rsid wsp:val=&quot;00B7723C&quot;/&gt;&lt;wsp:rsid wsp:val=&quot;00B779C3&quot;/&gt;&lt;wsp:rsid wsp:val=&quot;00B8017F&quot;/&gt;&lt;wsp:rsid wsp:val=&quot;00B8229A&quot;/&gt;&lt;wsp:rsid wsp:val=&quot;00B828BD&quot;/&gt;&lt;wsp:rsid wsp:val=&quot;00B83BA3&quot;/&gt;&lt;wsp:rsid wsp:val=&quot;00B842C6&quot;/&gt;&lt;wsp:rsid wsp:val=&quot;00B85095&quot;/&gt;&lt;wsp:rsid wsp:val=&quot;00B852B0&quot;/&gt;&lt;wsp:rsid wsp:val=&quot;00B9092C&quot;/&gt;&lt;wsp:rsid wsp:val=&quot;00B90EFC&quot;/&gt;&lt;wsp:rsid wsp:val=&quot;00B91852&quot;/&gt;&lt;wsp:rsid wsp:val=&quot;00B91B19&quot;/&gt;&lt;wsp:rsid wsp:val=&quot;00B92AED&quot;/&gt;&lt;wsp:rsid wsp:val=&quot;00B92C3D&quot;/&gt;&lt;wsp:rsid wsp:val=&quot;00B93DAD&quot;/&gt;&lt;wsp:rsid wsp:val=&quot;00B9493F&quot;/&gt;&lt;wsp:rsid wsp:val=&quot;00B95465&quot;/&gt;&lt;wsp:rsid wsp:val=&quot;00B96DD6&quot;/&gt;&lt;wsp:rsid wsp:val=&quot;00B97B76&quot;/&gt;&lt;wsp:rsid wsp:val=&quot;00B97CD2&quot;/&gt;&lt;wsp:rsid wsp:val=&quot;00B97CD4&quot;/&gt;&lt;wsp:rsid wsp:val=&quot;00BA09D4&quot;/&gt;&lt;wsp:rsid wsp:val=&quot;00BA0B16&quot;/&gt;&lt;wsp:rsid wsp:val=&quot;00BA1371&quot;/&gt;&lt;wsp:rsid wsp:val=&quot;00BA2171&quot;/&gt;&lt;wsp:rsid wsp:val=&quot;00BA280B&quot;/&gt;&lt;wsp:rsid wsp:val=&quot;00BA2DD1&quot;/&gt;&lt;wsp:rsid wsp:val=&quot;00BA4186&quot;/&gt;&lt;wsp:rsid wsp:val=&quot;00BA4BFE&quot;/&gt;&lt;wsp:rsid wsp:val=&quot;00BA6E78&quot;/&gt;&lt;wsp:rsid wsp:val=&quot;00BB051E&quot;/&gt;&lt;wsp:rsid wsp:val=&quot;00BB149D&quot;/&gt;&lt;wsp:rsid wsp:val=&quot;00BB1872&quot;/&gt;&lt;wsp:rsid wsp:val=&quot;00BB189D&quot;/&gt;&lt;wsp:rsid wsp:val=&quot;00BB2084&quot;/&gt;&lt;wsp:rsid wsp:val=&quot;00BB3A13&quot;/&gt;&lt;wsp:rsid wsp:val=&quot;00BB4020&quot;/&gt;&lt;wsp:rsid wsp:val=&quot;00BB425A&quot;/&gt;&lt;wsp:rsid wsp:val=&quot;00BB5469&quot;/&gt;&lt;wsp:rsid wsp:val=&quot;00BB591F&quot;/&gt;&lt;wsp:rsid wsp:val=&quot;00BB5C38&quot;/&gt;&lt;wsp:rsid wsp:val=&quot;00BB6D65&quot;/&gt;&lt;wsp:rsid wsp:val=&quot;00BC0916&quot;/&gt;&lt;wsp:rsid wsp:val=&quot;00BC0F21&quot;/&gt;&lt;wsp:rsid wsp:val=&quot;00BC177D&quot;/&gt;&lt;wsp:rsid wsp:val=&quot;00BC1E06&quot;/&gt;&lt;wsp:rsid wsp:val=&quot;00BC2501&quot;/&gt;&lt;wsp:rsid wsp:val=&quot;00BC3AA7&quot;/&gt;&lt;wsp:rsid wsp:val=&quot;00BC4470&quot;/&gt;&lt;wsp:rsid wsp:val=&quot;00BC4E35&quot;/&gt;&lt;wsp:rsid wsp:val=&quot;00BC5AC9&quot;/&gt;&lt;wsp:rsid wsp:val=&quot;00BC632C&quot;/&gt;&lt;wsp:rsid wsp:val=&quot;00BC67EB&quot;/&gt;&lt;wsp:rsid wsp:val=&quot;00BC685C&quot;/&gt;&lt;wsp:rsid wsp:val=&quot;00BD0404&quot;/&gt;&lt;wsp:rsid wsp:val=&quot;00BD0C63&quot;/&gt;&lt;wsp:rsid wsp:val=&quot;00BD177C&quot;/&gt;&lt;wsp:rsid wsp:val=&quot;00BD279B&quot;/&gt;&lt;wsp:rsid wsp:val=&quot;00BD4EFE&quot;/&gt;&lt;wsp:rsid wsp:val=&quot;00BD5A79&quot;/&gt;&lt;wsp:rsid wsp:val=&quot;00BD7044&quot;/&gt;&lt;wsp:rsid wsp:val=&quot;00BE049A&quot;/&gt;&lt;wsp:rsid wsp:val=&quot;00BE0A51&quot;/&gt;&lt;wsp:rsid wsp:val=&quot;00BE0F84&quot;/&gt;&lt;wsp:rsid wsp:val=&quot;00BE1204&quot;/&gt;&lt;wsp:rsid wsp:val=&quot;00BE1530&quot;/&gt;&lt;wsp:rsid wsp:val=&quot;00BE17C9&quot;/&gt;&lt;wsp:rsid wsp:val=&quot;00BE1EE4&quot;/&gt;&lt;wsp:rsid wsp:val=&quot;00BE25CF&quot;/&gt;&lt;wsp:rsid wsp:val=&quot;00BE295D&quot;/&gt;&lt;wsp:rsid wsp:val=&quot;00BE3BEB&quot;/&gt;&lt;wsp:rsid wsp:val=&quot;00BE54E0&quot;/&gt;&lt;wsp:rsid wsp:val=&quot;00BE5AB5&quot;/&gt;&lt;wsp:rsid wsp:val=&quot;00BE60EB&quot;/&gt;&lt;wsp:rsid wsp:val=&quot;00BE68A1&quot;/&gt;&lt;wsp:rsid wsp:val=&quot;00BE6A5F&quot;/&gt;&lt;wsp:rsid wsp:val=&quot;00BE7279&quot;/&gt;&lt;wsp:rsid wsp:val=&quot;00BE7A5E&quot;/&gt;&lt;wsp:rsid wsp:val=&quot;00BE7B7C&quot;/&gt;&lt;wsp:rsid wsp:val=&quot;00BF2B06&quot;/&gt;&lt;wsp:rsid wsp:val=&quot;00BF2CAD&quot;/&gt;&lt;wsp:rsid wsp:val=&quot;00BF46C3&quot;/&gt;&lt;wsp:rsid wsp:val=&quot;00BF4CBB&quot;/&gt;&lt;wsp:rsid wsp:val=&quot;00BF4D0F&quot;/&gt;&lt;wsp:rsid wsp:val=&quot;00BF743B&quot;/&gt;&lt;wsp:rsid wsp:val=&quot;00BF765F&quot;/&gt;&lt;wsp:rsid wsp:val=&quot;00BF7E20&quot;/&gt;&lt;wsp:rsid wsp:val=&quot;00C00F75&quot;/&gt;&lt;wsp:rsid wsp:val=&quot;00C01CC0&quot;/&gt;&lt;wsp:rsid wsp:val=&quot;00C01EA5&quot;/&gt;&lt;wsp:rsid wsp:val=&quot;00C03564&quot;/&gt;&lt;wsp:rsid wsp:val=&quot;00C03E77&quot;/&gt;&lt;wsp:rsid wsp:val=&quot;00C04756&quot;/&gt;&lt;wsp:rsid wsp:val=&quot;00C04837&quot;/&gt;&lt;wsp:rsid wsp:val=&quot;00C04E94&quot;/&gt;&lt;wsp:rsid wsp:val=&quot;00C059C3&quot;/&gt;&lt;wsp:rsid wsp:val=&quot;00C063DF&quot;/&gt;&lt;wsp:rsid wsp:val=&quot;00C06A57&quot;/&gt;&lt;wsp:rsid wsp:val=&quot;00C0701A&quot;/&gt;&lt;wsp:rsid wsp:val=&quot;00C073F5&quot;/&gt;&lt;wsp:rsid wsp:val=&quot;00C11B5F&quot;/&gt;&lt;wsp:rsid wsp:val=&quot;00C12BA3&quot;/&gt;&lt;wsp:rsid wsp:val=&quot;00C14330&quot;/&gt;&lt;wsp:rsid wsp:val=&quot;00C14A92&quot;/&gt;&lt;wsp:rsid wsp:val=&quot;00C158E2&quot;/&gt;&lt;wsp:rsid wsp:val=&quot;00C17924&quot;/&gt;&lt;wsp:rsid wsp:val=&quot;00C229B0&quot;/&gt;&lt;wsp:rsid wsp:val=&quot;00C23496&quot;/&gt;&lt;wsp:rsid wsp:val=&quot;00C235BC&quot;/&gt;&lt;wsp:rsid wsp:val=&quot;00C23F84&quot;/&gt;&lt;wsp:rsid wsp:val=&quot;00C2443B&quot;/&gt;&lt;wsp:rsid wsp:val=&quot;00C24BFF&quot;/&gt;&lt;wsp:rsid wsp:val=&quot;00C2501B&quot;/&gt;&lt;wsp:rsid wsp:val=&quot;00C26012&quot;/&gt;&lt;wsp:rsid wsp:val=&quot;00C263BF&quot;/&gt;&lt;wsp:rsid wsp:val=&quot;00C26CB7&quot;/&gt;&lt;wsp:rsid wsp:val=&quot;00C3026E&quot;/&gt;&lt;wsp:rsid wsp:val=&quot;00C30B61&quot;/&gt;&lt;wsp:rsid wsp:val=&quot;00C3104D&quot;/&gt;&lt;wsp:rsid wsp:val=&quot;00C328AE&quot;/&gt;&lt;wsp:rsid wsp:val=&quot;00C32E51&quot;/&gt;&lt;wsp:rsid wsp:val=&quot;00C33178&quot;/&gt;&lt;wsp:rsid wsp:val=&quot;00C33904&quot;/&gt;&lt;wsp:rsid wsp:val=&quot;00C3428D&quot;/&gt;&lt;wsp:rsid wsp:val=&quot;00C346E4&quot;/&gt;&lt;wsp:rsid wsp:val=&quot;00C3750E&quot;/&gt;&lt;wsp:rsid wsp:val=&quot;00C40833&quot;/&gt;&lt;wsp:rsid wsp:val=&quot;00C40961&quot;/&gt;&lt;wsp:rsid wsp:val=&quot;00C40A74&quot;/&gt;&lt;wsp:rsid wsp:val=&quot;00C41589&quot;/&gt;&lt;wsp:rsid wsp:val=&quot;00C4158C&quot;/&gt;&lt;wsp:rsid wsp:val=&quot;00C4463E&quot;/&gt;&lt;wsp:rsid wsp:val=&quot;00C44A2D&quot;/&gt;&lt;wsp:rsid wsp:val=&quot;00C45B26&quot;/&gt;&lt;wsp:rsid wsp:val=&quot;00C462D8&quot;/&gt;&lt;wsp:rsid wsp:val=&quot;00C47469&quot;/&gt;&lt;wsp:rsid wsp:val=&quot;00C4785A&quot;/&gt;&lt;wsp:rsid wsp:val=&quot;00C47CA9&quot;/&gt;&lt;wsp:rsid wsp:val=&quot;00C5162F&quot;/&gt;&lt;wsp:rsid wsp:val=&quot;00C517E6&quot;/&gt;&lt;wsp:rsid wsp:val=&quot;00C5257B&quot;/&gt;&lt;wsp:rsid wsp:val=&quot;00C52637&quot;/&gt;&lt;wsp:rsid wsp:val=&quot;00C54687&quot;/&gt;&lt;wsp:rsid wsp:val=&quot;00C54DD2&quot;/&gt;&lt;wsp:rsid wsp:val=&quot;00C557DE&quot;/&gt;&lt;wsp:rsid wsp:val=&quot;00C564C1&quot;/&gt;&lt;wsp:rsid wsp:val=&quot;00C56D8F&quot;/&gt;&lt;wsp:rsid wsp:val=&quot;00C614DA&quot;/&gt;&lt;wsp:rsid wsp:val=&quot;00C6170D&quot;/&gt;&lt;wsp:rsid wsp:val=&quot;00C61962&quot;/&gt;&lt;wsp:rsid wsp:val=&quot;00C61F12&quot;/&gt;&lt;wsp:rsid wsp:val=&quot;00C6271F&quot;/&gt;&lt;wsp:rsid wsp:val=&quot;00C63AF3&quot;/&gt;&lt;wsp:rsid wsp:val=&quot;00C63EAE&quot;/&gt;&lt;wsp:rsid wsp:val=&quot;00C65205&quot;/&gt;&lt;wsp:rsid wsp:val=&quot;00C656C3&quot;/&gt;&lt;wsp:rsid wsp:val=&quot;00C657F6&quot;/&gt;&lt;wsp:rsid wsp:val=&quot;00C66291&quot;/&gt;&lt;wsp:rsid wsp:val=&quot;00C66D39&quot;/&gt;&lt;wsp:rsid wsp:val=&quot;00C671F0&quot;/&gt;&lt;wsp:rsid wsp:val=&quot;00C67531&quot;/&gt;&lt;wsp:rsid wsp:val=&quot;00C67794&quot;/&gt;&lt;wsp:rsid wsp:val=&quot;00C71DB4&quot;/&gt;&lt;wsp:rsid wsp:val=&quot;00C73039&quot;/&gt;&lt;wsp:rsid wsp:val=&quot;00C73909&quot;/&gt;&lt;wsp:rsid wsp:val=&quot;00C747A2&quot;/&gt;&lt;wsp:rsid wsp:val=&quot;00C747FF&quot;/&gt;&lt;wsp:rsid wsp:val=&quot;00C74BB2&quot;/&gt;&lt;wsp:rsid wsp:val=&quot;00C750AF&quot;/&gt;&lt;wsp:rsid wsp:val=&quot;00C76223&quot;/&gt;&lt;wsp:rsid wsp:val=&quot;00C76C9A&quot;/&gt;&lt;wsp:rsid wsp:val=&quot;00C773D6&quot;/&gt;&lt;wsp:rsid wsp:val=&quot;00C8046E&quot;/&gt;&lt;wsp:rsid wsp:val=&quot;00C80FB2&quot;/&gt;&lt;wsp:rsid wsp:val=&quot;00C81785&quot;/&gt;&lt;wsp:rsid wsp:val=&quot;00C8254A&quot;/&gt;&lt;wsp:rsid wsp:val=&quot;00C825F7&quot;/&gt;&lt;wsp:rsid wsp:val=&quot;00C8268A&quot;/&gt;&lt;wsp:rsid wsp:val=&quot;00C828B2&quot;/&gt;&lt;wsp:rsid wsp:val=&quot;00C84B17&quot;/&gt;&lt;wsp:rsid wsp:val=&quot;00C85732&quot;/&gt;&lt;wsp:rsid wsp:val=&quot;00C8648C&quot;/&gt;&lt;wsp:rsid wsp:val=&quot;00C86C06&quot;/&gt;&lt;wsp:rsid wsp:val=&quot;00C906B0&quot;/&gt;&lt;wsp:rsid wsp:val=&quot;00C90A31&quot;/&gt;&lt;wsp:rsid wsp:val=&quot;00C90CA2&quot;/&gt;&lt;wsp:rsid wsp:val=&quot;00C9128A&quot;/&gt;&lt;wsp:rsid wsp:val=&quot;00C91FC4&quot;/&gt;&lt;wsp:rsid wsp:val=&quot;00C93166&quot;/&gt;&lt;wsp:rsid wsp:val=&quot;00C933CE&quot;/&gt;&lt;wsp:rsid wsp:val=&quot;00C9367E&quot;/&gt;&lt;wsp:rsid wsp:val=&quot;00C93A15&quot;/&gt;&lt;wsp:rsid wsp:val=&quot;00C94199&quot;/&gt;&lt;wsp:rsid wsp:val=&quot;00C9471A&quot;/&gt;&lt;wsp:rsid wsp:val=&quot;00C9595C&quot;/&gt;&lt;wsp:rsid wsp:val=&quot;00C97BA1&quot;/&gt;&lt;wsp:rsid wsp:val=&quot;00CA096D&quot;/&gt;&lt;wsp:rsid wsp:val=&quot;00CA1542&quot;/&gt;&lt;wsp:rsid wsp:val=&quot;00CA1F81&quot;/&gt;&lt;wsp:rsid wsp:val=&quot;00CA3D6E&quot;/&gt;&lt;wsp:rsid wsp:val=&quot;00CA3EB1&quot;/&gt;&lt;wsp:rsid wsp:val=&quot;00CA463A&quot;/&gt;&lt;wsp:rsid wsp:val=&quot;00CA5586&quot;/&gt;&lt;wsp:rsid wsp:val=&quot;00CA6090&quot;/&gt;&lt;wsp:rsid wsp:val=&quot;00CA6363&quot;/&gt;&lt;wsp:rsid wsp:val=&quot;00CA67E4&quot;/&gt;&lt;wsp:rsid wsp:val=&quot;00CA6E37&quot;/&gt;&lt;wsp:rsid wsp:val=&quot;00CB0089&quot;/&gt;&lt;wsp:rsid wsp:val=&quot;00CB086C&quot;/&gt;&lt;wsp:rsid wsp:val=&quot;00CB093B&quot;/&gt;&lt;wsp:rsid wsp:val=&quot;00CB1F7F&quot;/&gt;&lt;wsp:rsid wsp:val=&quot;00CB3BFE&quot;/&gt;&lt;wsp:rsid wsp:val=&quot;00CB3CC7&quot;/&gt;&lt;wsp:rsid wsp:val=&quot;00CB418A&quot;/&gt;&lt;wsp:rsid wsp:val=&quot;00CB420D&quot;/&gt;&lt;wsp:rsid wsp:val=&quot;00CB50AA&quot;/&gt;&lt;wsp:rsid wsp:val=&quot;00CB5903&quot;/&gt;&lt;wsp:rsid wsp:val=&quot;00CB7C58&quot;/&gt;&lt;wsp:rsid wsp:val=&quot;00CC1496&quot;/&gt;&lt;wsp:rsid wsp:val=&quot;00CC218D&quot;/&gt;&lt;wsp:rsid wsp:val=&quot;00CC2B3B&quot;/&gt;&lt;wsp:rsid wsp:val=&quot;00CC2C45&quot;/&gt;&lt;wsp:rsid wsp:val=&quot;00CC3091&quot;/&gt;&lt;wsp:rsid wsp:val=&quot;00CC3AA8&quot;/&gt;&lt;wsp:rsid wsp:val=&quot;00CC3BE9&quot;/&gt;&lt;wsp:rsid wsp:val=&quot;00CC45A6&quot;/&gt;&lt;wsp:rsid wsp:val=&quot;00CC4896&quot;/&gt;&lt;wsp:rsid wsp:val=&quot;00CC4F05&quot;/&gt;&lt;wsp:rsid wsp:val=&quot;00CC52E5&quot;/&gt;&lt;wsp:rsid wsp:val=&quot;00CC5BFA&quot;/&gt;&lt;wsp:rsid wsp:val=&quot;00CC60E4&quot;/&gt;&lt;wsp:rsid wsp:val=&quot;00CC78A5&quot;/&gt;&lt;wsp:rsid wsp:val=&quot;00CD105A&quot;/&gt;&lt;wsp:rsid wsp:val=&quot;00CD1667&quot;/&gt;&lt;wsp:rsid wsp:val=&quot;00CD2F48&quot;/&gt;&lt;wsp:rsid wsp:val=&quot;00CD382E&quot;/&gt;&lt;wsp:rsid wsp:val=&quot;00CD3BCF&quot;/&gt;&lt;wsp:rsid wsp:val=&quot;00CD4212&quot;/&gt;&lt;wsp:rsid wsp:val=&quot;00CD5D4E&quot;/&gt;&lt;wsp:rsid wsp:val=&quot;00CD6603&quot;/&gt;&lt;wsp:rsid wsp:val=&quot;00CD7122&quot;/&gt;&lt;wsp:rsid wsp:val=&quot;00CD78D8&quot;/&gt;&lt;wsp:rsid wsp:val=&quot;00CE0B36&quot;/&gt;&lt;wsp:rsid wsp:val=&quot;00CE0ED5&quot;/&gt;&lt;wsp:rsid wsp:val=&quot;00CE334F&quot;/&gt;&lt;wsp:rsid wsp:val=&quot;00CE3AD6&quot;/&gt;&lt;wsp:rsid wsp:val=&quot;00CE5B5A&quot;/&gt;&lt;wsp:rsid wsp:val=&quot;00CF094E&quot;/&gt;&lt;wsp:rsid wsp:val=&quot;00CF1223&quot;/&gt;&lt;wsp:rsid wsp:val=&quot;00CF18FF&quot;/&gt;&lt;wsp:rsid wsp:val=&quot;00CF19F4&quot;/&gt;&lt;wsp:rsid wsp:val=&quot;00CF1BB7&quot;/&gt;&lt;wsp:rsid wsp:val=&quot;00CF2D56&quot;/&gt;&lt;wsp:rsid wsp:val=&quot;00CF4A05&quot;/&gt;&lt;wsp:rsid wsp:val=&quot;00CF509D&quot;/&gt;&lt;wsp:rsid wsp:val=&quot;00CF56C7&quot;/&gt;&lt;wsp:rsid wsp:val=&quot;00CF65F6&quot;/&gt;&lt;wsp:rsid wsp:val=&quot;00D00015&quot;/&gt;&lt;wsp:rsid wsp:val=&quot;00D02314&quot;/&gt;&lt;wsp:rsid wsp:val=&quot;00D02B0F&quot;/&gt;&lt;wsp:rsid wsp:val=&quot;00D02D43&quot;/&gt;&lt;wsp:rsid wsp:val=&quot;00D02F2D&quot;/&gt;&lt;wsp:rsid wsp:val=&quot;00D03B7F&quot;/&gt;&lt;wsp:rsid wsp:val=&quot;00D06C75&quot;/&gt;&lt;wsp:rsid wsp:val=&quot;00D1030C&quot;/&gt;&lt;wsp:rsid wsp:val=&quot;00D10EE2&quot;/&gt;&lt;wsp:rsid wsp:val=&quot;00D142D6&quot;/&gt;&lt;wsp:rsid wsp:val=&quot;00D15242&quot;/&gt;&lt;wsp:rsid wsp:val=&quot;00D15CDA&quot;/&gt;&lt;wsp:rsid wsp:val=&quot;00D15E66&quot;/&gt;&lt;wsp:rsid wsp:val=&quot;00D1656E&quot;/&gt;&lt;wsp:rsid wsp:val=&quot;00D17EDC&quot;/&gt;&lt;wsp:rsid wsp:val=&quot;00D22037&quot;/&gt;&lt;wsp:rsid wsp:val=&quot;00D2244F&quot;/&gt;&lt;wsp:rsid wsp:val=&quot;00D22D58&quot;/&gt;&lt;wsp:rsid wsp:val=&quot;00D24CF1&quot;/&gt;&lt;wsp:rsid wsp:val=&quot;00D25204&quot;/&gt;&lt;wsp:rsid wsp:val=&quot;00D2559F&quot;/&gt;&lt;wsp:rsid wsp:val=&quot;00D26A84&quot;/&gt;&lt;wsp:rsid wsp:val=&quot;00D27998&quot;/&gt;&lt;wsp:rsid wsp:val=&quot;00D30C99&quot;/&gt;&lt;wsp:rsid wsp:val=&quot;00D3180B&quot;/&gt;&lt;wsp:rsid wsp:val=&quot;00D31D8D&quot;/&gt;&lt;wsp:rsid wsp:val=&quot;00D33E8F&quot;/&gt;&lt;wsp:rsid wsp:val=&quot;00D357CE&quot;/&gt;&lt;wsp:rsid wsp:val=&quot;00D367C4&quot;/&gt;&lt;wsp:rsid wsp:val=&quot;00D4122C&quot;/&gt;&lt;wsp:rsid wsp:val=&quot;00D419BE&quot;/&gt;&lt;wsp:rsid wsp:val=&quot;00D41CA0&quot;/&gt;&lt;wsp:rsid wsp:val=&quot;00D4308B&quot;/&gt;&lt;wsp:rsid wsp:val=&quot;00D4388A&quot;/&gt;&lt;wsp:rsid wsp:val=&quot;00D438DA&quot;/&gt;&lt;wsp:rsid wsp:val=&quot;00D44C82&quot;/&gt;&lt;wsp:rsid wsp:val=&quot;00D44DC7&quot;/&gt;&lt;wsp:rsid wsp:val=&quot;00D45F84&quot;/&gt;&lt;wsp:rsid wsp:val=&quot;00D4690F&quot;/&gt;&lt;wsp:rsid wsp:val=&quot;00D4697F&quot;/&gt;&lt;wsp:rsid wsp:val=&quot;00D469D3&quot;/&gt;&lt;wsp:rsid wsp:val=&quot;00D46E1D&quot;/&gt;&lt;wsp:rsid wsp:val=&quot;00D4729D&quot;/&gt;&lt;wsp:rsid wsp:val=&quot;00D47693&quot;/&gt;&lt;wsp:rsid wsp:val=&quot;00D47C6B&quot;/&gt;&lt;wsp:rsid wsp:val=&quot;00D503AB&quot;/&gt;&lt;wsp:rsid wsp:val=&quot;00D50AD4&quot;/&gt;&lt;wsp:rsid wsp:val=&quot;00D50E32&quot;/&gt;&lt;wsp:rsid wsp:val=&quot;00D50F29&quot;/&gt;&lt;wsp:rsid wsp:val=&quot;00D50F84&quot;/&gt;&lt;wsp:rsid wsp:val=&quot;00D51AB1&quot;/&gt;&lt;wsp:rsid wsp:val=&quot;00D526F8&quot;/&gt;&lt;wsp:rsid wsp:val=&quot;00D52981&quot;/&gt;&lt;wsp:rsid wsp:val=&quot;00D533EE&quot;/&gt;&lt;wsp:rsid wsp:val=&quot;00D54F57&quot;/&gt;&lt;wsp:rsid wsp:val=&quot;00D55DA3&quot;/&gt;&lt;wsp:rsid wsp:val=&quot;00D56312&quot;/&gt;&lt;wsp:rsid wsp:val=&quot;00D5665B&quot;/&gt;&lt;wsp:rsid wsp:val=&quot;00D56822&quot;/&gt;&lt;wsp:rsid wsp:val=&quot;00D57EBF&quot;/&gt;&lt;wsp:rsid wsp:val=&quot;00D60325&quot;/&gt;&lt;wsp:rsid wsp:val=&quot;00D6212D&quot;/&gt;&lt;wsp:rsid wsp:val=&quot;00D634C6&quot;/&gt;&lt;wsp:rsid wsp:val=&quot;00D637C6&quot;/&gt;&lt;wsp:rsid wsp:val=&quot;00D65357&quot;/&gt;&lt;wsp:rsid wsp:val=&quot;00D66125&quot;/&gt;&lt;wsp:rsid wsp:val=&quot;00D6645C&quot;/&gt;&lt;wsp:rsid wsp:val=&quot;00D67290&quot;/&gt;&lt;wsp:rsid wsp:val=&quot;00D71819&quot;/&gt;&lt;wsp:rsid wsp:val=&quot;00D71C61&quot;/&gt;&lt;wsp:rsid wsp:val=&quot;00D74030&quot;/&gt;&lt;wsp:rsid wsp:val=&quot;00D74A17&quot;/&gt;&lt;wsp:rsid wsp:val=&quot;00D76AFB&quot;/&gt;&lt;wsp:rsid wsp:val=&quot;00D76BEB&quot;/&gt;&lt;wsp:rsid wsp:val=&quot;00D76BEF&quot;/&gt;&lt;wsp:rsid wsp:val=&quot;00D77DAB&quot;/&gt;&lt;wsp:rsid wsp:val=&quot;00D8071E&quot;/&gt;&lt;wsp:rsid wsp:val=&quot;00D81278&quot;/&gt;&lt;wsp:rsid wsp:val=&quot;00D813EE&quot;/&gt;&lt;wsp:rsid wsp:val=&quot;00D81D65&quot;/&gt;&lt;wsp:rsid wsp:val=&quot;00D82ABD&quot;/&gt;&lt;wsp:rsid wsp:val=&quot;00D844D7&quot;/&gt;&lt;wsp:rsid wsp:val=&quot;00D86DB8&quot;/&gt;&lt;wsp:rsid wsp:val=&quot;00D87120&quot;/&gt;&lt;wsp:rsid wsp:val=&quot;00D87305&quot;/&gt;&lt;wsp:rsid wsp:val=&quot;00D87504&quot;/&gt;&lt;wsp:rsid wsp:val=&quot;00D87EA1&quot;/&gt;&lt;wsp:rsid wsp:val=&quot;00D915C3&quot;/&gt;&lt;wsp:rsid wsp:val=&quot;00D91FC7&quot;/&gt;&lt;wsp:rsid wsp:val=&quot;00D920AD&quot;/&gt;&lt;wsp:rsid wsp:val=&quot;00D9460A&quot;/&gt;&lt;wsp:rsid wsp:val=&quot;00D94BC8&quot;/&gt;&lt;wsp:rsid wsp:val=&quot;00D95014&quot;/&gt;&lt;wsp:rsid wsp:val=&quot;00D9541F&quot;/&gt;&lt;wsp:rsid wsp:val=&quot;00D959A0&quot;/&gt;&lt;wsp:rsid wsp:val=&quot;00D95B36&quot;/&gt;&lt;wsp:rsid wsp:val=&quot;00D95CB1&quot;/&gt;&lt;wsp:rsid wsp:val=&quot;00DA10DD&quot;/&gt;&lt;wsp:rsid wsp:val=&quot;00DA1F35&quot;/&gt;&lt;wsp:rsid wsp:val=&quot;00DA45B3&quot;/&gt;&lt;wsp:rsid wsp:val=&quot;00DA4F2A&quot;/&gt;&lt;wsp:rsid wsp:val=&quot;00DA52FF&quot;/&gt;&lt;wsp:rsid wsp:val=&quot;00DA6113&quot;/&gt;&lt;wsp:rsid wsp:val=&quot;00DA6330&quot;/&gt;&lt;wsp:rsid wsp:val=&quot;00DA72EB&quot;/&gt;&lt;wsp:rsid wsp:val=&quot;00DA73AA&quot;/&gt;&lt;wsp:rsid wsp:val=&quot;00DA7607&quot;/&gt;&lt;wsp:rsid wsp:val=&quot;00DB064D&quot;/&gt;&lt;wsp:rsid wsp:val=&quot;00DB1C8A&quot;/&gt;&lt;wsp:rsid wsp:val=&quot;00DB2177&quot;/&gt;&lt;wsp:rsid wsp:val=&quot;00DB224C&quot;/&gt;&lt;wsp:rsid wsp:val=&quot;00DB2F50&quot;/&gt;&lt;wsp:rsid wsp:val=&quot;00DB30E9&quot;/&gt;&lt;wsp:rsid wsp:val=&quot;00DB3858&quot;/&gt;&lt;wsp:rsid wsp:val=&quot;00DB424E&quot;/&gt;&lt;wsp:rsid wsp:val=&quot;00DB45CD&quot;/&gt;&lt;wsp:rsid wsp:val=&quot;00DB50F8&quot;/&gt;&lt;wsp:rsid wsp:val=&quot;00DB5291&quot;/&gt;&lt;wsp:rsid wsp:val=&quot;00DB563D&quot;/&gt;&lt;wsp:rsid wsp:val=&quot;00DB661E&quot;/&gt;&lt;wsp:rsid wsp:val=&quot;00DB69FF&quot;/&gt;&lt;wsp:rsid wsp:val=&quot;00DB6D54&quot;/&gt;&lt;wsp:rsid wsp:val=&quot;00DB74CC&quot;/&gt;&lt;wsp:rsid wsp:val=&quot;00DC06A2&quot;/&gt;&lt;wsp:rsid wsp:val=&quot;00DC2614&quot;/&gt;&lt;wsp:rsid wsp:val=&quot;00DC3963&quot;/&gt;&lt;wsp:rsid wsp:val=&quot;00DC455B&quot;/&gt;&lt;wsp:rsid wsp:val=&quot;00DC45A9&quot;/&gt;&lt;wsp:rsid wsp:val=&quot;00DC5B7C&quot;/&gt;&lt;wsp:rsid wsp:val=&quot;00DC649A&quot;/&gt;&lt;wsp:rsid wsp:val=&quot;00DC6F05&quot;/&gt;&lt;wsp:rsid wsp:val=&quot;00DC7D88&quot;/&gt;&lt;wsp:rsid wsp:val=&quot;00DD11F9&quot;/&gt;&lt;wsp:rsid wsp:val=&quot;00DD1C61&quot;/&gt;&lt;wsp:rsid wsp:val=&quot;00DD3297&quot;/&gt;&lt;wsp:rsid wsp:val=&quot;00DD4956&quot;/&gt;&lt;wsp:rsid wsp:val=&quot;00DD6D1E&quot;/&gt;&lt;wsp:rsid wsp:val=&quot;00DD7517&quot;/&gt;&lt;wsp:rsid wsp:val=&quot;00DD765C&quot;/&gt;&lt;wsp:rsid wsp:val=&quot;00DD7D03&quot;/&gt;&lt;wsp:rsid wsp:val=&quot;00DE088A&quot;/&gt;&lt;wsp:rsid wsp:val=&quot;00DE0AAE&quot;/&gt;&lt;wsp:rsid wsp:val=&quot;00DE454D&quot;/&gt;&lt;wsp:rsid wsp:val=&quot;00DE4683&quot;/&gt;&lt;wsp:rsid wsp:val=&quot;00DE4A9B&quot;/&gt;&lt;wsp:rsid wsp:val=&quot;00DE53C2&quot;/&gt;&lt;wsp:rsid wsp:val=&quot;00DE55CD&quot;/&gt;&lt;wsp:rsid wsp:val=&quot;00DE579D&quot;/&gt;&lt;wsp:rsid wsp:val=&quot;00DE7F28&quot;/&gt;&lt;wsp:rsid wsp:val=&quot;00DF0E55&quot;/&gt;&lt;wsp:rsid wsp:val=&quot;00DF1175&quot;/&gt;&lt;wsp:rsid wsp:val=&quot;00DF1BC1&quot;/&gt;&lt;wsp:rsid wsp:val=&quot;00DF2B20&quot;/&gt;&lt;wsp:rsid wsp:val=&quot;00DF2B49&quot;/&gt;&lt;wsp:rsid wsp:val=&quot;00DF2D64&quot;/&gt;&lt;wsp:rsid wsp:val=&quot;00DF39B3&quot;/&gt;&lt;wsp:rsid wsp:val=&quot;00DF5DFC&quot;/&gt;&lt;wsp:rsid wsp:val=&quot;00DF63BB&quot;/&gt;&lt;wsp:rsid wsp:val=&quot;00DF778B&quot;/&gt;&lt;wsp:rsid wsp:val=&quot;00DF7CE7&quot;/&gt;&lt;wsp:rsid wsp:val=&quot;00E00B33&quot;/&gt;&lt;wsp:rsid wsp:val=&quot;00E0174B&quot;/&gt;&lt;wsp:rsid wsp:val=&quot;00E01968&quot;/&gt;&lt;wsp:rsid wsp:val=&quot;00E01D64&quot;/&gt;&lt;wsp:rsid wsp:val=&quot;00E033A7&quot;/&gt;&lt;wsp:rsid wsp:val=&quot;00E03A9F&quot;/&gt;&lt;wsp:rsid wsp:val=&quot;00E0418A&quot;/&gt;&lt;wsp:rsid wsp:val=&quot;00E04490&quot;/&gt;&lt;wsp:rsid wsp:val=&quot;00E04687&quot;/&gt;&lt;wsp:rsid wsp:val=&quot;00E057E8&quot;/&gt;&lt;wsp:rsid wsp:val=&quot;00E05860&quot;/&gt;&lt;wsp:rsid wsp:val=&quot;00E058D2&quot;/&gt;&lt;wsp:rsid wsp:val=&quot;00E05DC0&quot;/&gt;&lt;wsp:rsid wsp:val=&quot;00E1062D&quot;/&gt;&lt;wsp:rsid wsp:val=&quot;00E1064C&quot;/&gt;&lt;wsp:rsid wsp:val=&quot;00E108C5&quot;/&gt;&lt;wsp:rsid wsp:val=&quot;00E10DFF&quot;/&gt;&lt;wsp:rsid wsp:val=&quot;00E11B94&quot;/&gt;&lt;wsp:rsid wsp:val=&quot;00E11EB0&quot;/&gt;&lt;wsp:rsid wsp:val=&quot;00E1291D&quot;/&gt;&lt;wsp:rsid wsp:val=&quot;00E15867&quot;/&gt;&lt;wsp:rsid wsp:val=&quot;00E15CA2&quot;/&gt;&lt;wsp:rsid wsp:val=&quot;00E16330&quot;/&gt;&lt;wsp:rsid wsp:val=&quot;00E16A74&quot;/&gt;&lt;wsp:rsid wsp:val=&quot;00E16CCC&quot;/&gt;&lt;wsp:rsid wsp:val=&quot;00E20232&quot;/&gt;&lt;wsp:rsid wsp:val=&quot;00E20424&quot;/&gt;&lt;wsp:rsid wsp:val=&quot;00E2123F&quot;/&gt;&lt;wsp:rsid wsp:val=&quot;00E2393E&quot;/&gt;&lt;wsp:rsid wsp:val=&quot;00E24286&quot;/&gt;&lt;wsp:rsid wsp:val=&quot;00E24C3B&quot;/&gt;&lt;wsp:rsid wsp:val=&quot;00E252C8&quot;/&gt;&lt;wsp:rsid wsp:val=&quot;00E255F9&quot;/&gt;&lt;wsp:rsid wsp:val=&quot;00E25C03&quot;/&gt;&lt;wsp:rsid wsp:val=&quot;00E270EE&quot;/&gt;&lt;wsp:rsid wsp:val=&quot;00E2739F&quot;/&gt;&lt;wsp:rsid wsp:val=&quot;00E30196&quot;/&gt;&lt;wsp:rsid wsp:val=&quot;00E30917&quot;/&gt;&lt;wsp:rsid wsp:val=&quot;00E3096C&quot;/&gt;&lt;wsp:rsid wsp:val=&quot;00E30A2B&quot;/&gt;&lt;wsp:rsid wsp:val=&quot;00E3134C&quot;/&gt;&lt;wsp:rsid wsp:val=&quot;00E322D7&quot;/&gt;&lt;wsp:rsid wsp:val=&quot;00E32406&quot;/&gt;&lt;wsp:rsid wsp:val=&quot;00E32D60&quot;/&gt;&lt;wsp:rsid wsp:val=&quot;00E32F05&quot;/&gt;&lt;wsp:rsid wsp:val=&quot;00E349F5&quot;/&gt;&lt;wsp:rsid wsp:val=&quot;00E34DAF&quot;/&gt;&lt;wsp:rsid wsp:val=&quot;00E350E2&quot;/&gt;&lt;wsp:rsid wsp:val=&quot;00E3649A&quot;/&gt;&lt;wsp:rsid wsp:val=&quot;00E364B5&quot;/&gt;&lt;wsp:rsid wsp:val=&quot;00E36A92&quot;/&gt;&lt;wsp:rsid wsp:val=&quot;00E40767&quot;/&gt;&lt;wsp:rsid wsp:val=&quot;00E40D38&quot;/&gt;&lt;wsp:rsid wsp:val=&quot;00E416A1&quot;/&gt;&lt;wsp:rsid wsp:val=&quot;00E44C2D&quot;/&gt;&lt;wsp:rsid wsp:val=&quot;00E452DB&quot;/&gt;&lt;wsp:rsid wsp:val=&quot;00E46C76&quot;/&gt;&lt;wsp:rsid wsp:val=&quot;00E4741B&quot;/&gt;&lt;wsp:rsid wsp:val=&quot;00E50DAD&quot;/&gt;&lt;wsp:rsid wsp:val=&quot;00E51C51&quot;/&gt;&lt;wsp:rsid wsp:val=&quot;00E52439&quot;/&gt;&lt;wsp:rsid wsp:val=&quot;00E53588&quot;/&gt;&lt;wsp:rsid wsp:val=&quot;00E53E53&quot;/&gt;&lt;wsp:rsid wsp:val=&quot;00E53FE3&quot;/&gt;&lt;wsp:rsid wsp:val=&quot;00E5491C&quot;/&gt;&lt;wsp:rsid wsp:val=&quot;00E5521C&quot;/&gt;&lt;wsp:rsid wsp:val=&quot;00E55651&quot;/&gt;&lt;wsp:rsid wsp:val=&quot;00E559AC&quot;/&gt;&lt;wsp:rsid wsp:val=&quot;00E55EE4&quot;/&gt;&lt;wsp:rsid wsp:val=&quot;00E568BB&quot;/&gt;&lt;wsp:rsid wsp:val=&quot;00E56B84&quot;/&gt;&lt;wsp:rsid wsp:val=&quot;00E6033A&quot;/&gt;&lt;wsp:rsid wsp:val=&quot;00E60AF1&quot;/&gt;&lt;wsp:rsid wsp:val=&quot;00E60C4E&quot;/&gt;&lt;wsp:rsid wsp:val=&quot;00E61BFA&quot;/&gt;&lt;wsp:rsid wsp:val=&quot;00E61EBB&quot;/&gt;&lt;wsp:rsid wsp:val=&quot;00E62401&quot;/&gt;&lt;wsp:rsid wsp:val=&quot;00E62CAA&quot;/&gt;&lt;wsp:rsid wsp:val=&quot;00E62E0E&quot;/&gt;&lt;wsp:rsid wsp:val=&quot;00E63A77&quot;/&gt;&lt;wsp:rsid wsp:val=&quot;00E64486&quot;/&gt;&lt;wsp:rsid wsp:val=&quot;00E65DA2&quot;/&gt;&lt;wsp:rsid wsp:val=&quot;00E661BE&quot;/&gt;&lt;wsp:rsid wsp:val=&quot;00E679B6&quot;/&gt;&lt;wsp:rsid wsp:val=&quot;00E7195B&quot;/&gt;&lt;wsp:rsid wsp:val=&quot;00E71A53&quot;/&gt;&lt;wsp:rsid wsp:val=&quot;00E72427&quot;/&gt;&lt;wsp:rsid wsp:val=&quot;00E724B5&quot;/&gt;&lt;wsp:rsid wsp:val=&quot;00E7295D&quot;/&gt;&lt;wsp:rsid wsp:val=&quot;00E72E86&quot;/&gt;&lt;wsp:rsid wsp:val=&quot;00E738D9&quot;/&gt;&lt;wsp:rsid wsp:val=&quot;00E73923&quot;/&gt;&lt;wsp:rsid wsp:val=&quot;00E73C64&quot;/&gt;&lt;wsp:rsid wsp:val=&quot;00E74594&quot;/&gt;&lt;wsp:rsid wsp:val=&quot;00E76B79&quot;/&gt;&lt;wsp:rsid wsp:val=&quot;00E76CF1&quot;/&gt;&lt;wsp:rsid wsp:val=&quot;00E76D8B&quot;/&gt;&lt;wsp:rsid wsp:val=&quot;00E80145&quot;/&gt;&lt;wsp:rsid wsp:val=&quot;00E820AD&quot;/&gt;&lt;wsp:rsid wsp:val=&quot;00E824A4&quot;/&gt;&lt;wsp:rsid wsp:val=&quot;00E82575&quot;/&gt;&lt;wsp:rsid wsp:val=&quot;00E82678&quot;/&gt;&lt;wsp:rsid wsp:val=&quot;00E829F3&quot;/&gt;&lt;wsp:rsid wsp:val=&quot;00E83AA7&quot;/&gt;&lt;wsp:rsid wsp:val=&quot;00E849DD&quot;/&gt;&lt;wsp:rsid wsp:val=&quot;00E865C5&quot;/&gt;&lt;wsp:rsid wsp:val=&quot;00E867DA&quot;/&gt;&lt;wsp:rsid wsp:val=&quot;00E86B0C&quot;/&gt;&lt;wsp:rsid wsp:val=&quot;00E878E2&quot;/&gt;&lt;wsp:rsid wsp:val=&quot;00E90400&quot;/&gt;&lt;wsp:rsid wsp:val=&quot;00E930E2&quot;/&gt;&lt;wsp:rsid wsp:val=&quot;00E939DB&quot;/&gt;&lt;wsp:rsid wsp:val=&quot;00E94651&quot;/&gt;&lt;wsp:rsid wsp:val=&quot;00E94FEB&quot;/&gt;&lt;wsp:rsid wsp:val=&quot;00E95906&quot;/&gt;&lt;wsp:rsid wsp:val=&quot;00E95A28&quot;/&gt;&lt;wsp:rsid wsp:val=&quot;00E96A1D&quot;/&gt;&lt;wsp:rsid wsp:val=&quot;00E96A55&quot;/&gt;&lt;wsp:rsid wsp:val=&quot;00E96BA5&quot;/&gt;&lt;wsp:rsid wsp:val=&quot;00E96D05&quot;/&gt;&lt;wsp:rsid wsp:val=&quot;00E97F9D&quot;/&gt;&lt;wsp:rsid wsp:val=&quot;00EA101D&quot;/&gt;&lt;wsp:rsid wsp:val=&quot;00EA35AE&quot;/&gt;&lt;wsp:rsid wsp:val=&quot;00EA3983&quot;/&gt;&lt;wsp:rsid wsp:val=&quot;00EA53A9&quot;/&gt;&lt;wsp:rsid wsp:val=&quot;00EA5B58&quot;/&gt;&lt;wsp:rsid wsp:val=&quot;00EA62ED&quot;/&gt;&lt;wsp:rsid wsp:val=&quot;00EA7316&quot;/&gt;&lt;wsp:rsid wsp:val=&quot;00EA7F87&quot;/&gt;&lt;wsp:rsid wsp:val=&quot;00EB0C65&quot;/&gt;&lt;wsp:rsid wsp:val=&quot;00EB2786&quot;/&gt;&lt;wsp:rsid wsp:val=&quot;00EB2DED&quot;/&gt;&lt;wsp:rsid wsp:val=&quot;00EB4037&quot;/&gt;&lt;wsp:rsid wsp:val=&quot;00EB50BF&quot;/&gt;&lt;wsp:rsid wsp:val=&quot;00EB6A7D&quot;/&gt;&lt;wsp:rsid wsp:val=&quot;00EB740B&quot;/&gt;&lt;wsp:rsid wsp:val=&quot;00EB7669&quot;/&gt;&lt;wsp:rsid wsp:val=&quot;00EC045E&quot;/&gt;&lt;wsp:rsid wsp:val=&quot;00EC1EA3&quot;/&gt;&lt;wsp:rsid wsp:val=&quot;00EC2C78&quot;/&gt;&lt;wsp:rsid wsp:val=&quot;00EC3496&quot;/&gt;&lt;wsp:rsid wsp:val=&quot;00EC3530&quot;/&gt;&lt;wsp:rsid wsp:val=&quot;00EC3633&quot;/&gt;&lt;wsp:rsid wsp:val=&quot;00EC39A6&quot;/&gt;&lt;wsp:rsid wsp:val=&quot;00EC3D3C&quot;/&gt;&lt;wsp:rsid wsp:val=&quot;00EC45D5&quot;/&gt;&lt;wsp:rsid wsp:val=&quot;00EC4714&quot;/&gt;&lt;wsp:rsid wsp:val=&quot;00EC4EF5&quot;/&gt;&lt;wsp:rsid wsp:val=&quot;00EC5873&quot;/&gt;&lt;wsp:rsid wsp:val=&quot;00EC7CA7&quot;/&gt;&lt;wsp:rsid wsp:val=&quot;00ED1CF4&quot;/&gt;&lt;wsp:rsid wsp:val=&quot;00ED2C40&quot;/&gt;&lt;wsp:rsid wsp:val=&quot;00ED45CD&quot;/&gt;&lt;wsp:rsid wsp:val=&quot;00ED5135&quot;/&gt;&lt;wsp:rsid wsp:val=&quot;00ED7277&quot;/&gt;&lt;wsp:rsid wsp:val=&quot;00ED7DEA&quot;/&gt;&lt;wsp:rsid wsp:val=&quot;00EE047E&quot;/&gt;&lt;wsp:rsid wsp:val=&quot;00EE12F5&quot;/&gt;&lt;wsp:rsid wsp:val=&quot;00EE138A&quot;/&gt;&lt;wsp:rsid wsp:val=&quot;00EE15AC&quot;/&gt;&lt;wsp:rsid wsp:val=&quot;00EE2BF5&quot;/&gt;&lt;wsp:rsid wsp:val=&quot;00EE3212&quot;/&gt;&lt;wsp:rsid wsp:val=&quot;00EE3239&quot;/&gt;&lt;wsp:rsid wsp:val=&quot;00EE3532&quot;/&gt;&lt;wsp:rsid wsp:val=&quot;00EE356E&quot;/&gt;&lt;wsp:rsid wsp:val=&quot;00EE5122&quot;/&gt;&lt;wsp:rsid wsp:val=&quot;00EE52C0&quot;/&gt;&lt;wsp:rsid wsp:val=&quot;00EE542B&quot;/&gt;&lt;wsp:rsid wsp:val=&quot;00EE55A5&quot;/&gt;&lt;wsp:rsid wsp:val=&quot;00EE5B72&quot;/&gt;&lt;wsp:rsid wsp:val=&quot;00EE6219&quot;/&gt;&lt;wsp:rsid wsp:val=&quot;00EE67D9&quot;/&gt;&lt;wsp:rsid wsp:val=&quot;00EE7F3C&quot;/&gt;&lt;wsp:rsid wsp:val=&quot;00EF09CA&quot;/&gt;&lt;wsp:rsid wsp:val=&quot;00EF102B&quot;/&gt;&lt;wsp:rsid wsp:val=&quot;00EF1C97&quot;/&gt;&lt;wsp:rsid wsp:val=&quot;00EF4A41&quot;/&gt;&lt;wsp:rsid wsp:val=&quot;00EF4AD0&quot;/&gt;&lt;wsp:rsid wsp:val=&quot;00EF51DF&quot;/&gt;&lt;wsp:rsid wsp:val=&quot;00EF667B&quot;/&gt;&lt;wsp:rsid wsp:val=&quot;00EF707D&quot;/&gt;&lt;wsp:rsid wsp:val=&quot;00EF7785&quot;/&gt;&lt;wsp:rsid wsp:val=&quot;00F00BDB&quot;/&gt;&lt;wsp:rsid wsp:val=&quot;00F010DA&quot;/&gt;&lt;wsp:rsid wsp:val=&quot;00F02291&quot;/&gt;&lt;wsp:rsid wsp:val=&quot;00F04343&quot;/&gt;&lt;wsp:rsid wsp:val=&quot;00F04483&quot;/&gt;&lt;wsp:rsid wsp:val=&quot;00F05A90&quot;/&gt;&lt;wsp:rsid wsp:val=&quot;00F05EAF&quot;/&gt;&lt;wsp:rsid wsp:val=&quot;00F076F4&quot;/&gt;&lt;wsp:rsid wsp:val=&quot;00F10665&quot;/&gt;&lt;wsp:rsid wsp:val=&quot;00F10EF6&quot;/&gt;&lt;wsp:rsid wsp:val=&quot;00F119CD&quot;/&gt;&lt;wsp:rsid wsp:val=&quot;00F11E51&quot;/&gt;&lt;wsp:rsid wsp:val=&quot;00F131C3&quot;/&gt;&lt;wsp:rsid wsp:val=&quot;00F132BB&quot;/&gt;&lt;wsp:rsid wsp:val=&quot;00F13A8A&quot;/&gt;&lt;wsp:rsid wsp:val=&quot;00F13C7A&quot;/&gt;&lt;wsp:rsid wsp:val=&quot;00F13D2E&quot;/&gt;&lt;wsp:rsid wsp:val=&quot;00F15098&quot;/&gt;&lt;wsp:rsid wsp:val=&quot;00F16015&quot;/&gt;&lt;wsp:rsid wsp:val=&quot;00F17342&quot;/&gt;&lt;wsp:rsid wsp:val=&quot;00F17914&quot;/&gt;&lt;wsp:rsid wsp:val=&quot;00F200E8&quot;/&gt;&lt;wsp:rsid wsp:val=&quot;00F21227&quot;/&gt;&lt;wsp:rsid wsp:val=&quot;00F21886&quot;/&gt;&lt;wsp:rsid wsp:val=&quot;00F219FF&quot;/&gt;&lt;wsp:rsid wsp:val=&quot;00F227CD&quot;/&gt;&lt;wsp:rsid wsp:val=&quot;00F2327D&quot;/&gt;&lt;wsp:rsid wsp:val=&quot;00F245F8&quot;/&gt;&lt;wsp:rsid wsp:val=&quot;00F24824&quot;/&gt;&lt;wsp:rsid wsp:val=&quot;00F24C54&quot;/&gt;&lt;wsp:rsid wsp:val=&quot;00F25707&quot;/&gt;&lt;wsp:rsid wsp:val=&quot;00F25A72&quot;/&gt;&lt;wsp:rsid wsp:val=&quot;00F2778F&quot;/&gt;&lt;wsp:rsid wsp:val=&quot;00F27C7D&quot;/&gt;&lt;wsp:rsid wsp:val=&quot;00F27EE8&quot;/&gt;&lt;wsp:rsid wsp:val=&quot;00F30E84&quot;/&gt;&lt;wsp:rsid wsp:val=&quot;00F3135D&quot;/&gt;&lt;wsp:rsid wsp:val=&quot;00F31C0A&quot;/&gt;&lt;wsp:rsid wsp:val=&quot;00F32ABD&quot;/&gt;&lt;wsp:rsid wsp:val=&quot;00F33061&quot;/&gt;&lt;wsp:rsid wsp:val=&quot;00F33B07&quot;/&gt;&lt;wsp:rsid wsp:val=&quot;00F33F77&quot;/&gt;&lt;wsp:rsid wsp:val=&quot;00F34163&quot;/&gt;&lt;wsp:rsid wsp:val=&quot;00F35051&quot;/&gt;&lt;wsp:rsid wsp:val=&quot;00F35A48&quot;/&gt;&lt;wsp:rsid wsp:val=&quot;00F35EEE&quot;/&gt;&lt;wsp:rsid wsp:val=&quot;00F36401&quot;/&gt;&lt;wsp:rsid wsp:val=&quot;00F3695C&quot;/&gt;&lt;wsp:rsid wsp:val=&quot;00F37FB9&quot;/&gt;&lt;wsp:rsid wsp:val=&quot;00F417B6&quot;/&gt;&lt;wsp:rsid wsp:val=&quot;00F4211A&quot;/&gt;&lt;wsp:rsid wsp:val=&quot;00F4216D&quot;/&gt;&lt;wsp:rsid wsp:val=&quot;00F42236&quot;/&gt;&lt;wsp:rsid wsp:val=&quot;00F4223C&quot;/&gt;&lt;wsp:rsid wsp:val=&quot;00F4261F&quot;/&gt;&lt;wsp:rsid wsp:val=&quot;00F430B3&quot;/&gt;&lt;wsp:rsid wsp:val=&quot;00F43DD9&quot;/&gt;&lt;wsp:rsid wsp:val=&quot;00F44649&quot;/&gt;&lt;wsp:rsid wsp:val=&quot;00F448ED&quot;/&gt;&lt;wsp:rsid wsp:val=&quot;00F45055&quot;/&gt;&lt;wsp:rsid wsp:val=&quot;00F46A64&quot;/&gt;&lt;wsp:rsid wsp:val=&quot;00F46BF0&quot;/&gt;&lt;wsp:rsid wsp:val=&quot;00F47219&quot;/&gt;&lt;wsp:rsid wsp:val=&quot;00F51DE6&quot;/&gt;&lt;wsp:rsid wsp:val=&quot;00F5282D&quot;/&gt;&lt;wsp:rsid wsp:val=&quot;00F52943&quot;/&gt;&lt;wsp:rsid wsp:val=&quot;00F52D42&quot;/&gt;&lt;wsp:rsid wsp:val=&quot;00F52DE7&quot;/&gt;&lt;wsp:rsid wsp:val=&quot;00F52FFD&quot;/&gt;&lt;wsp:rsid wsp:val=&quot;00F5313A&quot;/&gt;&lt;wsp:rsid wsp:val=&quot;00F54567&quot;/&gt;&lt;wsp:rsid wsp:val=&quot;00F545AF&quot;/&gt;&lt;wsp:rsid wsp:val=&quot;00F5506E&quot;/&gt;&lt;wsp:rsid wsp:val=&quot;00F555FB&quot;/&gt;&lt;wsp:rsid wsp:val=&quot;00F57E2A&quot;/&gt;&lt;wsp:rsid wsp:val=&quot;00F57EA4&quot;/&gt;&lt;wsp:rsid wsp:val=&quot;00F605F8&quot;/&gt;&lt;wsp:rsid wsp:val=&quot;00F609CF&quot;/&gt;&lt;wsp:rsid wsp:val=&quot;00F60B02&quot;/&gt;&lt;wsp:rsid wsp:val=&quot;00F6189F&quot;/&gt;&lt;wsp:rsid wsp:val=&quot;00F61B8F&quot;/&gt;&lt;wsp:rsid wsp:val=&quot;00F62098&quot;/&gt;&lt;wsp:rsid wsp:val=&quot;00F6242C&quot;/&gt;&lt;wsp:rsid wsp:val=&quot;00F62EC2&quot;/&gt;&lt;wsp:rsid wsp:val=&quot;00F63B9B&quot;/&gt;&lt;wsp:rsid wsp:val=&quot;00F65993&quot;/&gt;&lt;wsp:rsid wsp:val=&quot;00F668A9&quot;/&gt;&lt;wsp:rsid wsp:val=&quot;00F67714&quot;/&gt;&lt;wsp:rsid wsp:val=&quot;00F70C0B&quot;/&gt;&lt;wsp:rsid wsp:val=&quot;00F70C4A&quot;/&gt;&lt;wsp:rsid wsp:val=&quot;00F72138&quot;/&gt;&lt;wsp:rsid wsp:val=&quot;00F72EB9&quot;/&gt;&lt;wsp:rsid wsp:val=&quot;00F74FC9&quot;/&gt;&lt;wsp:rsid wsp:val=&quot;00F770C7&quot;/&gt;&lt;wsp:rsid wsp:val=&quot;00F776CE&quot;/&gt;&lt;wsp:rsid wsp:val=&quot;00F7797B&quot;/&gt;&lt;wsp:rsid wsp:val=&quot;00F81396&quot;/&gt;&lt;wsp:rsid wsp:val=&quot;00F81B9A&quot;/&gt;&lt;wsp:rsid wsp:val=&quot;00F81E69&quot;/&gt;&lt;wsp:rsid wsp:val=&quot;00F8379D&quot;/&gt;&lt;wsp:rsid wsp:val=&quot;00F83970&quot;/&gt;&lt;wsp:rsid wsp:val=&quot;00F83D83&quot;/&gt;&lt;wsp:rsid wsp:val=&quot;00F8414E&quot;/&gt;&lt;wsp:rsid wsp:val=&quot;00F86B75&quot;/&gt;&lt;wsp:rsid wsp:val=&quot;00F87214&quot;/&gt;&lt;wsp:rsid wsp:val=&quot;00F87C3A&quot;/&gt;&lt;wsp:rsid wsp:val=&quot;00F9049B&quot;/&gt;&lt;wsp:rsid wsp:val=&quot;00F90AD5&quot;/&gt;&lt;wsp:rsid wsp:val=&quot;00F9129B&quot;/&gt;&lt;wsp:rsid wsp:val=&quot;00F92540&quot;/&gt;&lt;wsp:rsid wsp:val=&quot;00F929DD&quot;/&gt;&lt;wsp:rsid wsp:val=&quot;00F92F49&quot;/&gt;&lt;wsp:rsid wsp:val=&quot;00F932AD&quot;/&gt;&lt;wsp:rsid wsp:val=&quot;00F951B6&quot;/&gt;&lt;wsp:rsid wsp:val=&quot;00F95743&quot;/&gt;&lt;wsp:rsid wsp:val=&quot;00F97122&quot;/&gt;&lt;wsp:rsid wsp:val=&quot;00F97D9C&quot;/&gt;&lt;wsp:rsid wsp:val=&quot;00FA0200&quot;/&gt;&lt;wsp:rsid wsp:val=&quot;00FA2613&quot;/&gt;&lt;wsp:rsid wsp:val=&quot;00FA3778&quot;/&gt;&lt;wsp:rsid wsp:val=&quot;00FA3A89&quot;/&gt;&lt;wsp:rsid wsp:val=&quot;00FA5C64&quot;/&gt;&lt;wsp:rsid wsp:val=&quot;00FA7914&quot;/&gt;&lt;wsp:rsid wsp:val=&quot;00FA7EAE&quot;/&gt;&lt;wsp:rsid wsp:val=&quot;00FB010E&quot;/&gt;&lt;wsp:rsid wsp:val=&quot;00FB03DA&quot;/&gt;&lt;wsp:rsid wsp:val=&quot;00FB1E96&quot;/&gt;&lt;wsp:rsid wsp:val=&quot;00FB206B&quot;/&gt;&lt;wsp:rsid wsp:val=&quot;00FB2965&quot;/&gt;&lt;wsp:rsid wsp:val=&quot;00FB2D45&quot;/&gt;&lt;wsp:rsid wsp:val=&quot;00FB2ED3&quot;/&gt;&lt;wsp:rsid wsp:val=&quot;00FB3657&quot;/&gt;&lt;wsp:rsid wsp:val=&quot;00FB42A1&quot;/&gt;&lt;wsp:rsid wsp:val=&quot;00FB51A4&quot;/&gt;&lt;wsp:rsid wsp:val=&quot;00FB5D55&quot;/&gt;&lt;wsp:rsid wsp:val=&quot;00FB6186&quot;/&gt;&lt;wsp:rsid wsp:val=&quot;00FB65D0&quot;/&gt;&lt;wsp:rsid wsp:val=&quot;00FB751E&quot;/&gt;&lt;wsp:rsid wsp:val=&quot;00FB7D80&quot;/&gt;&lt;wsp:rsid wsp:val=&quot;00FC12C1&quot;/&gt;&lt;wsp:rsid wsp:val=&quot;00FC17D9&quot;/&gt;&lt;wsp:rsid wsp:val=&quot;00FC21A8&quot;/&gt;&lt;wsp:rsid wsp:val=&quot;00FC237D&quot;/&gt;&lt;wsp:rsid wsp:val=&quot;00FC3C7D&quot;/&gt;&lt;wsp:rsid wsp:val=&quot;00FC47FC&quot;/&gt;&lt;wsp:rsid wsp:val=&quot;00FC4814&quot;/&gt;&lt;wsp:rsid wsp:val=&quot;00FC613A&quot;/&gt;&lt;wsp:rsid wsp:val=&quot;00FD07D6&quot;/&gt;&lt;wsp:rsid wsp:val=&quot;00FD329E&quot;/&gt;&lt;wsp:rsid wsp:val=&quot;00FD359F&quot;/&gt;&lt;wsp:rsid wsp:val=&quot;00FD40B6&quot;/&gt;&lt;wsp:rsid wsp:val=&quot;00FD4154&quot;/&gt;&lt;wsp:rsid wsp:val=&quot;00FD456C&quot;/&gt;&lt;wsp:rsid wsp:val=&quot;00FD4710&quot;/&gt;&lt;wsp:rsid wsp:val=&quot;00FD48E6&quot;/&gt;&lt;wsp:rsid wsp:val=&quot;00FD4FE9&quot;/&gt;&lt;wsp:rsid wsp:val=&quot;00FD5B62&quot;/&gt;&lt;wsp:rsid wsp:val=&quot;00FD5D79&quot;/&gt;&lt;wsp:rsid wsp:val=&quot;00FD64EE&quot;/&gt;&lt;wsp:rsid wsp:val=&quot;00FD71C5&quot;/&gt;&lt;wsp:rsid wsp:val=&quot;00FE09DA&quot;/&gt;&lt;wsp:rsid wsp:val=&quot;00FE1B6A&quot;/&gt;&lt;wsp:rsid wsp:val=&quot;00FE20D3&quot;/&gt;&lt;wsp:rsid wsp:val=&quot;00FE29DD&quot;/&gt;&lt;wsp:rsid wsp:val=&quot;00FE2A2E&quot;/&gt;&lt;wsp:rsid wsp:val=&quot;00FE2B26&quot;/&gt;&lt;wsp:rsid wsp:val=&quot;00FE2BC7&quot;/&gt;&lt;wsp:rsid wsp:val=&quot;00FE5E40&quot;/&gt;&lt;wsp:rsid wsp:val=&quot;00FE6FF1&quot;/&gt;&lt;wsp:rsid wsp:val=&quot;00FE7514&quot;/&gt;&lt;wsp:rsid wsp:val=&quot;00FF01E4&quot;/&gt;&lt;wsp:rsid wsp:val=&quot;00FF1DA5&quot;/&gt;&lt;wsp:rsid wsp:val=&quot;00FF1F5A&quot;/&gt;&lt;wsp:rsid wsp:val=&quot;00FF213C&quot;/&gt;&lt;wsp:rsid wsp:val=&quot;00FF36A8&quot;/&gt;&lt;wsp:rsid wsp:val=&quot;00FF5984&quot;/&gt;&lt;wsp:rsid wsp:val=&quot;00FF5D71&quot;/&gt;&lt;wsp:rsid wsp:val=&quot;00FF6B36&quot;/&gt;&lt;wsp:rsid wsp:val=&quot;00FF7703&quot;/&gt;&lt;wsp:rsid wsp:val=&quot;00FF7B6D&quot;/&gt;&lt;/wsp:rsids&gt;&lt;/w:docPr&gt;&lt;w:body&gt;&lt;wx:sect&gt;&lt;w:p wsp:rsidR=&quot;00000000&quot; wsp:rsidRPr=&quot;00CD7122&quot; wsp:rsidRDefault=&quot;00CD7122&quot; wsp:rsidP=&quot;00CD7122&quot;&gt;&lt;m:oMathPara&gt;&lt;m:oMath&gt;&lt;m:r&gt;&lt;w:rPr&gt;&lt;w:rFonts w:ascii=&quot;Cambria Math&quot; w:h-ansi=&quot;Cambria Math&quot;/&gt;&lt;wx:font wx:val=&quot;Cambria Math&quot;/&gt;&lt;w:i/&gt;&lt;/w:rPr&gt;&lt;m:t&gt;&lt;/m:t&gt;&lt;/m:r&gt;&lt;m:r&gt;&lt;m:rPr&gt;&lt;m:sty m:val=&quot;p&quot;/&gt;&lt;/m:rPr&gt;&lt;w:rPr&gt;&lt;w:rFonts w:ascii=&quot;Cambria Math&quot; w:h-ansi=&quot;Cambria Math&quot;/&gt;&lt;wx:font wx:val=&quot;Cambria Math&quot;/&gt;&lt;/w:onrPr&gt;&lt;m:t&gt;=&lt;/m:t&gt;&lt;/m:r&gt;&lt;m:sSub&gt;&lt;m:sSubPr&gt;&lt;m:ctrlPr&gt;&lt;w:rPr&gt;&lt;w:rFonts w:ascii=&quot;Cambria Math&quot; w:h-ansi=&quot;Cambria Math&quot;/&gt;&lt;wx:font wx:val=&quot;Cambria Math&quot;/&gt;&lt;/w:rPr&gt;&lt;/m:ctrlPr&gt;&lt;/m:sSubPr&gt;&lt;m:e&gt;&lt;m:r&gt;&lt;w:rPr&gt;&lt;w:rFonts w:ascii=&quot;Cambria Math&quot; w:h-ansi=&quot;Cambria Math&quot;/&gt;&lt;wx:font wx:val=&quot;Cambria Math&quot;/&gt;&lt;w:i/&gt;&lt;/w:rPr&gt;&lt;m:t&gt;&lt;/m:t&gt;&lt;/m:r&gt;&lt;/m:e&gt;&lt;m:sub&gt;&lt;m:r&gt;&lt;w:rPr&gt;&lt;w:rFonts w:ascii=&quot;Cambria Math&quot; w:h-ansi=&quot;Cambria Math&quot;/&gt;&lt;wx:font wx:val=&quot;Cambria Math&quot;/&gt;&lt;w:i/&gt;&lt;/w:rPr&gt;&lt;m:t&gt;Z&lt;/m:t&gt;&lt;/m:r&gt;&lt;/m:sub&gt;&lt;/m:sSub&gt;&lt;m:r&gt;&lt;w:rPr&gt;&lt;w:rFonts w:asciiwx=&quot;Cambria Math&quot; w:h-ansi=&quot;Cambria Math&quot;/&gt;&lt;wx:font wx:val=&quot;Cambria Math&quot;/&gt;&lt;w:i/&gt;&lt;/w:rPr&gt;&lt;m:t&gt;-&lt;/m:t&gt;&lt;/m:r&gt;&lt;m:sSub&gt;&lt;m:sSubPr&gt;&lt;m:ctrlPr&gt;&lt;w:rPr&gt;&lt;w:rFonts w:ascii=&quot;Cambria Math&quot; w:h-ansi=&quot;Cambria Math&quot;/&gt;&lt;wx:font wx:val=&quot;Cambria Math&quot;/&gt;&lt;w:i/&gt;&lt;/w:rPr&gt;&lt;/m:ctrlPr&gt;&lt;/m:sSubPr&gt;&lt;m:e&gt;&lt;m:r&gt;&lt;w:rPr&gt;&lt;w:rFonts w:ascii=&quot;Cambria Math&quot; w:h-ansi=&quot;Cambria Math&quot;/&gt;&lt;wx:font wx:val=&quot;Cambria Math&quot;/&gt;&lt;w:i/&gt;&lt;/w:rPr&gt;&lt;m:t&gt;&lt;/m:t&gt;&lt;/m:r&gt;&lt;/m:e&gt;&lt;m:sub&gt;&lt;m:r&gt;&lt;w:rPr&gt;&lt;w:rFonts w:ascii=&quot;Cambria Math&quot; w:h-ansi=&quot;Cambria Math&quot;/&gt;&lt;wx:font wx:val=&quot;Cambr&gt;ria Math&quot;/&gt;&lt;w:i/&gt;&lt;/w:rPr&gt;&lt;m:t&gt;G&lt;/m:t&gt;&lt;/m:r&gt;&lt;/m:sub&gt;&lt;/m:sSub&gt;&lt;/m:oMath&gt;&lt;/m:oMathPara&gt;&lt;/w:p&gt;&lt;w:sectPr wsp:rsidR=&quot;00000000&quot; wsp:rsidRPr=&quot;00CD7122&quot;&gt;&lt;w:pgSz w:w=&quot;12240&quot; w:h=&quot;15840&quot;/&gt;&lt;w:pgMar w:top=&quot;1440&quot; w:right=&quot;1800&quot; w:bottom=&quot;1440&quot; w:left=&quot;1800&quot; w:header=&quot;720&quot; w:footer=&quot;720&quot; w:gutter=&quot;0&quot;/&gt;&lt;w:cols w:space=&quot;720&quot;/&gt;&lt;/w:sectPr&gt;&lt;/wx:sect&gt;&lt;/w:body&gt;&lt;/w:wordDocument&gt;">
            <v:path/>
            <v:fill on="f" focussize="0,0"/>
            <v:stroke on="f" joinstyle="miter"/>
            <v:imagedata r:id="rId20" chromakey="#FFFFFF" o:title=""/>
            <o:lock v:ext="edit" aspectratio="t"/>
            <w10:wrap type="none"/>
            <w10:anchorlock/>
          </v:shape>
        </w:pict>
      </w:r>
    </w:p>
    <w:p w14:paraId="7AB90DE9">
      <w:pPr>
        <w:jc w:val="center"/>
      </w:pPr>
      <w:r>
        <w:drawing>
          <wp:inline distT="0" distB="0" distL="0" distR="0">
            <wp:extent cx="3822700" cy="2623185"/>
            <wp:effectExtent l="0" t="0" r="6350" b="5715"/>
            <wp:docPr id="1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"/>
                    <pic:cNvPicPr>
                      <a:picLocks noChangeAspect="1"/>
                    </pic:cNvPicPr>
                  </pic:nvPicPr>
                  <pic:blipFill>
                    <a:blip r:embed="rId21">
                      <a:grayscl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64538" cy="26519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0E2C0E">
      <w:pPr>
        <w:tabs>
          <w:tab w:val="left" w:pos="638"/>
        </w:tabs>
        <w:spacing w:line="300" w:lineRule="auto"/>
        <w:jc w:val="center"/>
        <w:rPr>
          <w:rFonts w:hint="eastAsia" w:ascii="宋体" w:hAnsi="宋体" w:eastAsia="宋体" w:cs="宋体"/>
          <w:lang w:eastAsia="zh-CN"/>
        </w:rPr>
      </w:pPr>
      <w:r>
        <w:rPr>
          <w:rFonts w:hint="eastAsia" w:ascii="宋体" w:hAnsi="宋体" w:eastAsia="宋体" w:cs="宋体"/>
        </w:rPr>
        <w:t>图</w:t>
      </w:r>
      <w:r>
        <w:rPr>
          <w:rFonts w:hint="eastAsia" w:ascii="宋体" w:hAnsi="宋体" w:eastAsia="宋体" w:cs="宋体"/>
          <w:lang w:val="en-US" w:eastAsia="zh-CN"/>
        </w:rPr>
        <w:t>5低频振动传感器</w:t>
      </w:r>
      <w:r>
        <w:rPr>
          <w:rFonts w:hint="eastAsia" w:ascii="宋体" w:hAnsi="宋体" w:eastAsia="宋体" w:cs="宋体"/>
        </w:rPr>
        <w:t>灵敏度相移的</w:t>
      </w:r>
      <w:r>
        <w:rPr>
          <w:rFonts w:hint="eastAsia" w:ascii="宋体" w:hAnsi="宋体" w:eastAsia="宋体" w:cs="宋体"/>
          <w:lang w:val="en-US" w:eastAsia="zh-CN"/>
        </w:rPr>
        <w:t>校准</w:t>
      </w:r>
    </w:p>
    <w:p w14:paraId="16E66AF4">
      <w:pPr>
        <w:tabs>
          <w:tab w:val="left" w:pos="638"/>
        </w:tabs>
        <w:spacing w:line="300" w:lineRule="auto"/>
        <w:ind w:firstLine="420" w:firstLineChars="200"/>
        <w:jc w:val="center"/>
      </w:pPr>
    </w:p>
    <w:p w14:paraId="0507B9F8">
      <w:pPr>
        <w:pStyle w:val="2"/>
        <w:numPr>
          <w:ilvl w:val="0"/>
          <w:numId w:val="3"/>
        </w:numPr>
        <w:spacing w:line="360" w:lineRule="auto"/>
        <w:rPr>
          <w:rFonts w:eastAsia="黑体"/>
          <w:b w:val="0"/>
          <w:bCs w:val="0"/>
          <w:sz w:val="24"/>
          <w:szCs w:val="24"/>
        </w:rPr>
      </w:pPr>
      <w:bookmarkStart w:id="48" w:name="_Toc139139608"/>
      <w:bookmarkStart w:id="49" w:name="_Toc5029"/>
      <w:r>
        <w:rPr>
          <w:rFonts w:eastAsia="黑体"/>
          <w:b w:val="0"/>
          <w:bCs w:val="0"/>
          <w:sz w:val="24"/>
          <w:szCs w:val="24"/>
        </w:rPr>
        <w:t>校准结果表达</w:t>
      </w:r>
      <w:bookmarkEnd w:id="47"/>
      <w:bookmarkEnd w:id="48"/>
      <w:bookmarkEnd w:id="49"/>
    </w:p>
    <w:p w14:paraId="4882B796">
      <w:pPr>
        <w:pStyle w:val="3"/>
        <w:spacing w:line="360" w:lineRule="auto"/>
        <w:rPr>
          <w:rFonts w:ascii="Times New Roman" w:hAnsi="Times New Roman" w:cs="宋体"/>
          <w:b w:val="0"/>
          <w:bCs w:val="0"/>
          <w:kern w:val="2"/>
          <w:sz w:val="24"/>
          <w:szCs w:val="24"/>
          <w:lang w:val="en-US"/>
        </w:rPr>
      </w:pPr>
      <w:bookmarkStart w:id="50" w:name="_Toc12150"/>
      <w:bookmarkStart w:id="51" w:name="_Toc511026367"/>
      <w:bookmarkStart w:id="52" w:name="_Toc63184809"/>
      <w:r>
        <w:rPr>
          <w:rFonts w:hint="eastAsia" w:ascii="Times New Roman" w:hAnsi="Times New Roman" w:cs="宋体"/>
          <w:b w:val="0"/>
          <w:bCs w:val="0"/>
          <w:kern w:val="2"/>
          <w:sz w:val="24"/>
          <w:szCs w:val="24"/>
          <w:lang w:val="en-US"/>
        </w:rPr>
        <w:t xml:space="preserve">8.1 </w:t>
      </w:r>
      <w:r>
        <w:rPr>
          <w:rFonts w:ascii="Times New Roman" w:hAnsi="Times New Roman" w:cs="宋体"/>
          <w:b w:val="0"/>
          <w:bCs w:val="0"/>
          <w:kern w:val="2"/>
          <w:sz w:val="24"/>
          <w:szCs w:val="24"/>
          <w:lang w:val="en-US"/>
        </w:rPr>
        <w:t xml:space="preserve"> </w:t>
      </w:r>
      <w:r>
        <w:rPr>
          <w:rFonts w:hint="eastAsia" w:ascii="Times New Roman" w:hAnsi="Times New Roman" w:cs="宋体"/>
          <w:b w:val="0"/>
          <w:bCs w:val="0"/>
          <w:kern w:val="2"/>
          <w:sz w:val="24"/>
          <w:szCs w:val="24"/>
          <w:lang w:val="en-US"/>
        </w:rPr>
        <w:t>校准记录</w:t>
      </w:r>
      <w:bookmarkEnd w:id="50"/>
    </w:p>
    <w:p w14:paraId="59C9C43E">
      <w:pPr>
        <w:spacing w:line="360" w:lineRule="auto"/>
        <w:ind w:firstLine="480"/>
        <w:rPr>
          <w:sz w:val="24"/>
          <w:szCs w:val="24"/>
        </w:rPr>
      </w:pPr>
      <w:r>
        <w:rPr>
          <w:sz w:val="24"/>
          <w:szCs w:val="24"/>
        </w:rPr>
        <w:t>推荐的</w:t>
      </w:r>
      <w:r>
        <w:rPr>
          <w:rFonts w:hint="eastAsia"/>
          <w:sz w:val="24"/>
          <w:szCs w:val="24"/>
        </w:rPr>
        <w:t>校准记录的格式见附录A。</w:t>
      </w:r>
    </w:p>
    <w:p w14:paraId="2C7A54B1">
      <w:pPr>
        <w:pStyle w:val="3"/>
        <w:spacing w:line="360" w:lineRule="auto"/>
        <w:rPr>
          <w:rFonts w:ascii="Times New Roman" w:hAnsi="Times New Roman" w:cs="宋体"/>
          <w:b w:val="0"/>
          <w:bCs w:val="0"/>
          <w:kern w:val="2"/>
          <w:sz w:val="24"/>
          <w:szCs w:val="24"/>
          <w:lang w:val="en-US"/>
        </w:rPr>
      </w:pPr>
      <w:bookmarkStart w:id="53" w:name="_Toc24185"/>
      <w:r>
        <w:rPr>
          <w:rFonts w:hint="eastAsia" w:ascii="Times New Roman" w:hAnsi="Times New Roman" w:cs="宋体"/>
          <w:b w:val="0"/>
          <w:bCs w:val="0"/>
          <w:kern w:val="2"/>
          <w:sz w:val="24"/>
          <w:szCs w:val="24"/>
          <w:lang w:val="en-US"/>
        </w:rPr>
        <w:t xml:space="preserve">8.2 </w:t>
      </w:r>
      <w:r>
        <w:rPr>
          <w:rFonts w:ascii="Times New Roman" w:hAnsi="Times New Roman" w:cs="宋体"/>
          <w:b w:val="0"/>
          <w:bCs w:val="0"/>
          <w:kern w:val="2"/>
          <w:sz w:val="24"/>
          <w:szCs w:val="24"/>
          <w:lang w:val="en-US"/>
        </w:rPr>
        <w:t xml:space="preserve"> </w:t>
      </w:r>
      <w:r>
        <w:rPr>
          <w:rFonts w:hint="eastAsia" w:ascii="Times New Roman" w:hAnsi="Times New Roman" w:cs="宋体"/>
          <w:b w:val="0"/>
          <w:bCs w:val="0"/>
          <w:kern w:val="2"/>
          <w:sz w:val="24"/>
          <w:szCs w:val="24"/>
          <w:lang w:val="en-US"/>
        </w:rPr>
        <w:t>校准证书</w:t>
      </w:r>
      <w:bookmarkEnd w:id="53"/>
    </w:p>
    <w:p w14:paraId="6D240778">
      <w:pPr>
        <w:spacing w:line="360" w:lineRule="auto"/>
        <w:ind w:firstLine="480" w:firstLineChars="200"/>
        <w:rPr>
          <w:sz w:val="24"/>
          <w:szCs w:val="24"/>
        </w:rPr>
      </w:pPr>
      <w:r>
        <w:rPr>
          <w:sz w:val="24"/>
          <w:szCs w:val="24"/>
        </w:rPr>
        <w:t>经校准的仪器出具校准证书</w:t>
      </w:r>
      <w:r>
        <w:rPr>
          <w:rFonts w:hint="eastAsia"/>
          <w:sz w:val="24"/>
          <w:szCs w:val="24"/>
        </w:rPr>
        <w:t>。</w:t>
      </w:r>
      <w:r>
        <w:rPr>
          <w:sz w:val="24"/>
          <w:szCs w:val="24"/>
        </w:rPr>
        <w:t>校准证书应包括的信息及推荐的校准证书的</w:t>
      </w:r>
      <w:r>
        <w:rPr>
          <w:rFonts w:hint="eastAsia"/>
          <w:sz w:val="24"/>
          <w:szCs w:val="24"/>
        </w:rPr>
        <w:t>内页</w:t>
      </w:r>
      <w:r>
        <w:rPr>
          <w:sz w:val="24"/>
          <w:szCs w:val="24"/>
        </w:rPr>
        <w:t>格式见附录B</w:t>
      </w:r>
      <w:r>
        <w:rPr>
          <w:rFonts w:hint="eastAsia"/>
          <w:sz w:val="24"/>
          <w:szCs w:val="24"/>
        </w:rPr>
        <w:t>。</w:t>
      </w:r>
      <w:bookmarkEnd w:id="51"/>
      <w:bookmarkEnd w:id="52"/>
    </w:p>
    <w:p w14:paraId="1A3F77BD">
      <w:pPr>
        <w:pStyle w:val="2"/>
        <w:numPr>
          <w:ilvl w:val="0"/>
          <w:numId w:val="3"/>
        </w:numPr>
        <w:spacing w:line="360" w:lineRule="auto"/>
        <w:rPr>
          <w:rFonts w:eastAsia="黑体"/>
          <w:b w:val="0"/>
          <w:bCs w:val="0"/>
          <w:sz w:val="24"/>
          <w:szCs w:val="24"/>
        </w:rPr>
      </w:pPr>
      <w:bookmarkStart w:id="54" w:name="_Toc139139609"/>
      <w:bookmarkStart w:id="55" w:name="_Toc58"/>
      <w:bookmarkStart w:id="56" w:name="_Toc422683928"/>
      <w:r>
        <w:rPr>
          <w:rFonts w:eastAsia="黑体"/>
          <w:b w:val="0"/>
          <w:bCs w:val="0"/>
          <w:sz w:val="24"/>
          <w:szCs w:val="24"/>
        </w:rPr>
        <w:t>复校时间间隔</w:t>
      </w:r>
      <w:bookmarkEnd w:id="54"/>
      <w:bookmarkEnd w:id="55"/>
      <w:bookmarkEnd w:id="56"/>
    </w:p>
    <w:p w14:paraId="0FE14BEE">
      <w:pPr>
        <w:spacing w:line="360" w:lineRule="auto"/>
        <w:ind w:firstLine="480" w:firstLineChars="200"/>
      </w:pPr>
      <w:r>
        <w:rPr>
          <w:rFonts w:hint="eastAsia"/>
          <w:sz w:val="24"/>
          <w:szCs w:val="24"/>
          <w:lang w:val="en-US" w:eastAsia="zh-CN"/>
        </w:rPr>
        <w:t>被校对象</w:t>
      </w:r>
      <w:r>
        <w:rPr>
          <w:rFonts w:hint="eastAsia" w:cs="宋体"/>
          <w:sz w:val="24"/>
          <w:szCs w:val="24"/>
        </w:rPr>
        <w:t>的复校时间间隔建议为12个月。</w:t>
      </w:r>
      <w:r>
        <w:rPr>
          <w:rFonts w:hint="eastAsia"/>
          <w:sz w:val="24"/>
          <w:szCs w:val="24"/>
          <w:lang w:val="en-US" w:eastAsia="zh-CN"/>
        </w:rPr>
        <w:t>被校对象</w:t>
      </w:r>
      <w:r>
        <w:rPr>
          <w:rFonts w:hint="eastAsia" w:cs="宋体"/>
          <w:sz w:val="24"/>
          <w:szCs w:val="24"/>
        </w:rPr>
        <w:t>的计量性能受其使用情况及其本身稳定性等诸多因素的影响，可根据实际情况确定复校时间间隔。</w:t>
      </w:r>
    </w:p>
    <w:p w14:paraId="512A9AC3">
      <w:pPr>
        <w:spacing w:line="360" w:lineRule="auto"/>
      </w:pPr>
      <w:r>
        <w:br w:type="page"/>
      </w:r>
    </w:p>
    <w:p w14:paraId="6A80189C">
      <w:pPr>
        <w:pStyle w:val="2"/>
        <w:spacing w:line="300" w:lineRule="auto"/>
        <w:rPr>
          <w:rFonts w:eastAsia="黑体"/>
          <w:b w:val="0"/>
          <w:bCs w:val="0"/>
          <w:sz w:val="28"/>
          <w:szCs w:val="28"/>
        </w:rPr>
      </w:pPr>
      <w:bookmarkStart w:id="57" w:name="_Toc139139610"/>
      <w:bookmarkStart w:id="58" w:name="_Toc11277"/>
      <w:r>
        <w:rPr>
          <w:rFonts w:eastAsia="黑体"/>
          <w:b w:val="0"/>
          <w:bCs w:val="0"/>
          <w:sz w:val="28"/>
          <w:szCs w:val="28"/>
        </w:rPr>
        <w:t>附录A</w:t>
      </w:r>
      <w:bookmarkEnd w:id="57"/>
      <w:bookmarkEnd w:id="58"/>
    </w:p>
    <w:p w14:paraId="4F3CF67B">
      <w:pPr>
        <w:pStyle w:val="4"/>
        <w:spacing w:line="300" w:lineRule="auto"/>
        <w:jc w:val="center"/>
        <w:rPr>
          <w:rFonts w:eastAsia="黑体"/>
          <w:b w:val="0"/>
          <w:sz w:val="28"/>
          <w:szCs w:val="28"/>
        </w:rPr>
      </w:pPr>
      <w:r>
        <w:rPr>
          <w:rFonts w:eastAsia="黑体"/>
          <w:b w:val="0"/>
          <w:sz w:val="28"/>
          <w:szCs w:val="28"/>
        </w:rPr>
        <w:t>校准原始记录推荐格式</w:t>
      </w:r>
    </w:p>
    <w:tbl>
      <w:tblPr>
        <w:tblStyle w:val="17"/>
        <w:tblW w:w="9531" w:type="dxa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09"/>
        <w:gridCol w:w="2900"/>
        <w:gridCol w:w="2063"/>
        <w:gridCol w:w="2559"/>
      </w:tblGrid>
      <w:tr w14:paraId="5F0A98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" w:hRule="atLeast"/>
        </w:trPr>
        <w:tc>
          <w:tcPr>
            <w:tcW w:w="9531" w:type="dxa"/>
            <w:gridSpan w:val="4"/>
            <w:tcBorders>
              <w:bottom w:val="single" w:color="auto" w:sz="4" w:space="0"/>
            </w:tcBorders>
            <w:vAlign w:val="center"/>
          </w:tcPr>
          <w:p w14:paraId="70C8B668">
            <w:pPr>
              <w:tabs>
                <w:tab w:val="center" w:pos="5580"/>
                <w:tab w:val="left" w:pos="9570"/>
              </w:tabs>
              <w:jc w:val="center"/>
              <w:rPr>
                <w:rFonts w:eastAsia="黑体"/>
                <w:sz w:val="10"/>
                <w:szCs w:val="10"/>
              </w:rPr>
            </w:pPr>
            <w:bookmarkStart w:id="59" w:name="_Toc423988431"/>
          </w:p>
        </w:tc>
      </w:tr>
      <w:tr w14:paraId="0FDB56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</w:trPr>
        <w:tc>
          <w:tcPr>
            <w:tcW w:w="9531" w:type="dxa"/>
            <w:gridSpan w:val="4"/>
            <w:tcBorders>
              <w:right w:val="single" w:color="auto" w:sz="4" w:space="0"/>
            </w:tcBorders>
            <w:vAlign w:val="center"/>
          </w:tcPr>
          <w:p w14:paraId="3499EB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校准原始记录                                          第   页 共   页</w:t>
            </w:r>
          </w:p>
        </w:tc>
      </w:tr>
      <w:tr w14:paraId="6A6A5C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340" w:hRule="atLeast"/>
        </w:trPr>
        <w:tc>
          <w:tcPr>
            <w:tcW w:w="2009" w:type="dxa"/>
            <w:vAlign w:val="center"/>
          </w:tcPr>
          <w:p w14:paraId="6CA35A1A">
            <w:pPr>
              <w:jc w:val="center"/>
            </w:pPr>
            <w:r>
              <w:t>记录编号</w:t>
            </w:r>
          </w:p>
        </w:tc>
        <w:tc>
          <w:tcPr>
            <w:tcW w:w="2900" w:type="dxa"/>
            <w:tcBorders>
              <w:right w:val="single" w:color="auto" w:sz="4" w:space="0"/>
            </w:tcBorders>
            <w:vAlign w:val="center"/>
          </w:tcPr>
          <w:p w14:paraId="51C48FA1">
            <w:pPr>
              <w:jc w:val="left"/>
            </w:pPr>
          </w:p>
        </w:tc>
        <w:tc>
          <w:tcPr>
            <w:tcW w:w="2063" w:type="dxa"/>
            <w:tcBorders>
              <w:right w:val="single" w:color="auto" w:sz="4" w:space="0"/>
            </w:tcBorders>
            <w:vAlign w:val="center"/>
          </w:tcPr>
          <w:p w14:paraId="7CC6FAD0">
            <w:pPr>
              <w:jc w:val="center"/>
            </w:pPr>
            <w:r>
              <w:t>器具名称</w:t>
            </w:r>
          </w:p>
        </w:tc>
        <w:tc>
          <w:tcPr>
            <w:tcW w:w="2559" w:type="dxa"/>
            <w:tcBorders>
              <w:right w:val="single" w:color="auto" w:sz="4" w:space="0"/>
            </w:tcBorders>
            <w:vAlign w:val="center"/>
          </w:tcPr>
          <w:p w14:paraId="7890E9E8">
            <w:pPr>
              <w:jc w:val="left"/>
            </w:pPr>
          </w:p>
        </w:tc>
      </w:tr>
      <w:tr w14:paraId="75F184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</w:trPr>
        <w:tc>
          <w:tcPr>
            <w:tcW w:w="2009" w:type="dxa"/>
            <w:vAlign w:val="center"/>
          </w:tcPr>
          <w:p w14:paraId="0D63A28F">
            <w:pPr>
              <w:jc w:val="center"/>
            </w:pPr>
            <w:r>
              <w:t>证书编号</w:t>
            </w:r>
          </w:p>
        </w:tc>
        <w:tc>
          <w:tcPr>
            <w:tcW w:w="2900" w:type="dxa"/>
            <w:tcBorders>
              <w:right w:val="single" w:color="auto" w:sz="4" w:space="0"/>
            </w:tcBorders>
            <w:vAlign w:val="center"/>
          </w:tcPr>
          <w:p w14:paraId="425FFE59">
            <w:pPr>
              <w:jc w:val="left"/>
            </w:pPr>
          </w:p>
        </w:tc>
        <w:tc>
          <w:tcPr>
            <w:tcW w:w="2063" w:type="dxa"/>
            <w:tcBorders>
              <w:right w:val="single" w:color="auto" w:sz="4" w:space="0"/>
            </w:tcBorders>
            <w:vAlign w:val="center"/>
          </w:tcPr>
          <w:p w14:paraId="77AD7139">
            <w:pPr>
              <w:jc w:val="center"/>
            </w:pPr>
            <w:r>
              <w:t>型号规格</w:t>
            </w:r>
          </w:p>
        </w:tc>
        <w:tc>
          <w:tcPr>
            <w:tcW w:w="2559" w:type="dxa"/>
            <w:tcBorders>
              <w:right w:val="single" w:color="auto" w:sz="4" w:space="0"/>
            </w:tcBorders>
            <w:vAlign w:val="center"/>
          </w:tcPr>
          <w:p w14:paraId="53DD9031">
            <w:pPr>
              <w:jc w:val="left"/>
            </w:pPr>
          </w:p>
        </w:tc>
      </w:tr>
      <w:tr w14:paraId="01307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</w:trPr>
        <w:tc>
          <w:tcPr>
            <w:tcW w:w="2009" w:type="dxa"/>
            <w:vAlign w:val="center"/>
          </w:tcPr>
          <w:p w14:paraId="4D7A3D14">
            <w:pPr>
              <w:jc w:val="center"/>
            </w:pPr>
            <w:r>
              <w:t>客户名称</w:t>
            </w:r>
          </w:p>
        </w:tc>
        <w:tc>
          <w:tcPr>
            <w:tcW w:w="2900" w:type="dxa"/>
            <w:tcBorders>
              <w:right w:val="single" w:color="auto" w:sz="4" w:space="0"/>
            </w:tcBorders>
            <w:vAlign w:val="center"/>
          </w:tcPr>
          <w:p w14:paraId="6585F66A">
            <w:pPr>
              <w:jc w:val="left"/>
            </w:pPr>
          </w:p>
        </w:tc>
        <w:tc>
          <w:tcPr>
            <w:tcW w:w="2063" w:type="dxa"/>
            <w:tcBorders>
              <w:right w:val="single" w:color="auto" w:sz="4" w:space="0"/>
            </w:tcBorders>
            <w:vAlign w:val="center"/>
          </w:tcPr>
          <w:p w14:paraId="5F4B2BA7">
            <w:pPr>
              <w:jc w:val="center"/>
            </w:pPr>
            <w:r>
              <w:t>出厂编号</w:t>
            </w:r>
          </w:p>
        </w:tc>
        <w:tc>
          <w:tcPr>
            <w:tcW w:w="2559" w:type="dxa"/>
            <w:tcBorders>
              <w:right w:val="single" w:color="auto" w:sz="4" w:space="0"/>
            </w:tcBorders>
            <w:vAlign w:val="center"/>
          </w:tcPr>
          <w:p w14:paraId="61D69C21">
            <w:pPr>
              <w:jc w:val="left"/>
            </w:pPr>
          </w:p>
        </w:tc>
      </w:tr>
      <w:tr w14:paraId="68FADF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</w:trPr>
        <w:tc>
          <w:tcPr>
            <w:tcW w:w="2009" w:type="dxa"/>
            <w:vAlign w:val="center"/>
          </w:tcPr>
          <w:p w14:paraId="3C71A62E">
            <w:pPr>
              <w:jc w:val="center"/>
            </w:pPr>
            <w:r>
              <w:t>客户地址</w:t>
            </w:r>
          </w:p>
        </w:tc>
        <w:tc>
          <w:tcPr>
            <w:tcW w:w="2900" w:type="dxa"/>
            <w:tcBorders>
              <w:right w:val="single" w:color="auto" w:sz="4" w:space="0"/>
            </w:tcBorders>
            <w:vAlign w:val="center"/>
          </w:tcPr>
          <w:p w14:paraId="6F00F698">
            <w:pPr>
              <w:jc w:val="left"/>
            </w:pPr>
          </w:p>
        </w:tc>
        <w:tc>
          <w:tcPr>
            <w:tcW w:w="2063" w:type="dxa"/>
            <w:tcBorders>
              <w:right w:val="single" w:color="auto" w:sz="4" w:space="0"/>
            </w:tcBorders>
            <w:vAlign w:val="center"/>
          </w:tcPr>
          <w:p w14:paraId="13012041">
            <w:pPr>
              <w:jc w:val="center"/>
            </w:pPr>
            <w:r>
              <w:t>生产厂家</w:t>
            </w:r>
          </w:p>
        </w:tc>
        <w:tc>
          <w:tcPr>
            <w:tcW w:w="2559" w:type="dxa"/>
            <w:tcBorders>
              <w:right w:val="single" w:color="auto" w:sz="4" w:space="0"/>
            </w:tcBorders>
            <w:vAlign w:val="center"/>
          </w:tcPr>
          <w:p w14:paraId="2D3F1AFB">
            <w:pPr>
              <w:jc w:val="left"/>
            </w:pPr>
          </w:p>
        </w:tc>
      </w:tr>
      <w:tr w14:paraId="008477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</w:trPr>
        <w:tc>
          <w:tcPr>
            <w:tcW w:w="2009" w:type="dxa"/>
            <w:vAlign w:val="center"/>
          </w:tcPr>
          <w:p w14:paraId="7B6E8C7F">
            <w:r>
              <w:rPr>
                <w:color w:val="000000"/>
                <w:lang w:val="en-GB"/>
              </w:rPr>
              <w:t>使用的标准器名称</w:t>
            </w:r>
          </w:p>
        </w:tc>
        <w:tc>
          <w:tcPr>
            <w:tcW w:w="2900" w:type="dxa"/>
            <w:tcBorders>
              <w:right w:val="single" w:color="auto" w:sz="4" w:space="0"/>
            </w:tcBorders>
            <w:vAlign w:val="center"/>
          </w:tcPr>
          <w:p w14:paraId="5B10E3D0">
            <w:pPr>
              <w:jc w:val="left"/>
            </w:pPr>
          </w:p>
        </w:tc>
        <w:tc>
          <w:tcPr>
            <w:tcW w:w="2063" w:type="dxa"/>
            <w:tcBorders>
              <w:right w:val="single" w:color="auto" w:sz="4" w:space="0"/>
            </w:tcBorders>
            <w:vAlign w:val="center"/>
          </w:tcPr>
          <w:p w14:paraId="3200902F">
            <w:r>
              <w:rPr>
                <w:color w:val="000000"/>
                <w:lang w:val="en-GB"/>
              </w:rPr>
              <w:t>所依据的技术文件</w:t>
            </w:r>
          </w:p>
        </w:tc>
        <w:tc>
          <w:tcPr>
            <w:tcW w:w="2559" w:type="dxa"/>
            <w:tcBorders>
              <w:right w:val="single" w:color="auto" w:sz="4" w:space="0"/>
            </w:tcBorders>
            <w:vAlign w:val="center"/>
          </w:tcPr>
          <w:p w14:paraId="5AA82AF2">
            <w:pPr>
              <w:jc w:val="left"/>
            </w:pPr>
          </w:p>
        </w:tc>
      </w:tr>
      <w:tr w14:paraId="79AA9B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340" w:hRule="atLeast"/>
        </w:trPr>
        <w:tc>
          <w:tcPr>
            <w:tcW w:w="2009" w:type="dxa"/>
            <w:vAlign w:val="center"/>
          </w:tcPr>
          <w:p w14:paraId="74F7D724">
            <w:pPr>
              <w:rPr>
                <w:color w:val="000000"/>
                <w:lang w:val="en-GB"/>
              </w:rPr>
            </w:pPr>
            <w:r>
              <w:t>标准器证书编号</w:t>
            </w:r>
          </w:p>
        </w:tc>
        <w:tc>
          <w:tcPr>
            <w:tcW w:w="2900" w:type="dxa"/>
            <w:tcBorders>
              <w:right w:val="single" w:color="auto" w:sz="4" w:space="0"/>
            </w:tcBorders>
            <w:vAlign w:val="center"/>
          </w:tcPr>
          <w:p w14:paraId="63056934">
            <w:pPr>
              <w:jc w:val="left"/>
            </w:pPr>
          </w:p>
        </w:tc>
        <w:tc>
          <w:tcPr>
            <w:tcW w:w="2063" w:type="dxa"/>
            <w:tcBorders>
              <w:right w:val="single" w:color="auto" w:sz="4" w:space="0"/>
            </w:tcBorders>
            <w:vAlign w:val="center"/>
          </w:tcPr>
          <w:p w14:paraId="61A1CF46">
            <w:r>
              <w:t>标准器不确定度</w:t>
            </w:r>
          </w:p>
        </w:tc>
        <w:tc>
          <w:tcPr>
            <w:tcW w:w="2559" w:type="dxa"/>
            <w:tcBorders>
              <w:right w:val="single" w:color="auto" w:sz="4" w:space="0"/>
            </w:tcBorders>
            <w:vAlign w:val="center"/>
          </w:tcPr>
          <w:p w14:paraId="1799930A">
            <w:pPr>
              <w:jc w:val="left"/>
            </w:pPr>
          </w:p>
        </w:tc>
      </w:tr>
      <w:tr w14:paraId="531CCB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</w:trPr>
        <w:tc>
          <w:tcPr>
            <w:tcW w:w="2009" w:type="dxa"/>
            <w:vAlign w:val="center"/>
          </w:tcPr>
          <w:p w14:paraId="21207342">
            <w:r>
              <w:t>标准器测量范围</w:t>
            </w:r>
          </w:p>
        </w:tc>
        <w:tc>
          <w:tcPr>
            <w:tcW w:w="2900" w:type="dxa"/>
            <w:tcBorders>
              <w:right w:val="single" w:color="auto" w:sz="4" w:space="0"/>
            </w:tcBorders>
            <w:vAlign w:val="center"/>
          </w:tcPr>
          <w:p w14:paraId="74F27ED2">
            <w:pPr>
              <w:jc w:val="left"/>
            </w:pPr>
          </w:p>
        </w:tc>
        <w:tc>
          <w:tcPr>
            <w:tcW w:w="2063" w:type="dxa"/>
            <w:tcBorders>
              <w:right w:val="single" w:color="auto" w:sz="4" w:space="0"/>
            </w:tcBorders>
            <w:vAlign w:val="center"/>
          </w:tcPr>
          <w:p w14:paraId="15F821F2">
            <w:r>
              <w:t>标准器证书有效期</w:t>
            </w:r>
          </w:p>
        </w:tc>
        <w:tc>
          <w:tcPr>
            <w:tcW w:w="2559" w:type="dxa"/>
            <w:tcBorders>
              <w:right w:val="single" w:color="auto" w:sz="4" w:space="0"/>
            </w:tcBorders>
            <w:vAlign w:val="center"/>
          </w:tcPr>
          <w:p w14:paraId="6B3B0ADE">
            <w:pPr>
              <w:jc w:val="left"/>
            </w:pPr>
          </w:p>
        </w:tc>
      </w:tr>
      <w:tr w14:paraId="7CAFE2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</w:trPr>
        <w:tc>
          <w:tcPr>
            <w:tcW w:w="2009" w:type="dxa"/>
            <w:vAlign w:val="center"/>
          </w:tcPr>
          <w:p w14:paraId="12AC5ABE">
            <w:r>
              <w:t>环境温度</w:t>
            </w:r>
          </w:p>
        </w:tc>
        <w:tc>
          <w:tcPr>
            <w:tcW w:w="2900" w:type="dxa"/>
            <w:tcBorders>
              <w:right w:val="single" w:color="auto" w:sz="4" w:space="0"/>
            </w:tcBorders>
            <w:vAlign w:val="center"/>
          </w:tcPr>
          <w:p w14:paraId="7921DE1F">
            <w:pPr>
              <w:jc w:val="left"/>
            </w:pPr>
          </w:p>
        </w:tc>
        <w:tc>
          <w:tcPr>
            <w:tcW w:w="2063" w:type="dxa"/>
            <w:tcBorders>
              <w:right w:val="single" w:color="auto" w:sz="4" w:space="0"/>
            </w:tcBorders>
            <w:vAlign w:val="center"/>
          </w:tcPr>
          <w:p w14:paraId="235346D2">
            <w:r>
              <w:t>环境湿度</w:t>
            </w:r>
          </w:p>
        </w:tc>
        <w:tc>
          <w:tcPr>
            <w:tcW w:w="2559" w:type="dxa"/>
            <w:tcBorders>
              <w:right w:val="single" w:color="auto" w:sz="4" w:space="0"/>
            </w:tcBorders>
            <w:vAlign w:val="center"/>
          </w:tcPr>
          <w:p w14:paraId="4CD0ADFF">
            <w:pPr>
              <w:jc w:val="left"/>
            </w:pPr>
          </w:p>
        </w:tc>
      </w:tr>
      <w:tr w14:paraId="1296BE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340" w:hRule="atLeast"/>
        </w:trPr>
        <w:tc>
          <w:tcPr>
            <w:tcW w:w="2009" w:type="dxa"/>
            <w:vAlign w:val="center"/>
          </w:tcPr>
          <w:p w14:paraId="02A2AA3F">
            <w:r>
              <w:t>校准地点</w:t>
            </w:r>
          </w:p>
        </w:tc>
        <w:tc>
          <w:tcPr>
            <w:tcW w:w="2900" w:type="dxa"/>
            <w:tcBorders>
              <w:right w:val="single" w:color="auto" w:sz="4" w:space="0"/>
            </w:tcBorders>
            <w:vAlign w:val="center"/>
          </w:tcPr>
          <w:p w14:paraId="3569F340">
            <w:pPr>
              <w:jc w:val="left"/>
            </w:pPr>
          </w:p>
        </w:tc>
        <w:tc>
          <w:tcPr>
            <w:tcW w:w="2063" w:type="dxa"/>
            <w:tcBorders>
              <w:right w:val="single" w:color="auto" w:sz="4" w:space="0"/>
            </w:tcBorders>
            <w:vAlign w:val="center"/>
          </w:tcPr>
          <w:p w14:paraId="3CA5B937">
            <w:r>
              <w:t>其他</w:t>
            </w:r>
          </w:p>
        </w:tc>
        <w:tc>
          <w:tcPr>
            <w:tcW w:w="2559" w:type="dxa"/>
            <w:tcBorders>
              <w:right w:val="single" w:color="auto" w:sz="4" w:space="0"/>
            </w:tcBorders>
            <w:vAlign w:val="center"/>
          </w:tcPr>
          <w:p w14:paraId="3CBF5117">
            <w:pPr>
              <w:jc w:val="left"/>
            </w:pPr>
          </w:p>
        </w:tc>
      </w:tr>
    </w:tbl>
    <w:p w14:paraId="0023C9EF">
      <w:pPr>
        <w:spacing w:line="360" w:lineRule="auto"/>
        <w:ind w:firstLine="0"/>
        <w:jc w:val="both"/>
        <w:rPr>
          <w:rFonts w:hint="eastAsia"/>
          <w:lang w:eastAsia="zh-CN"/>
        </w:rPr>
      </w:pPr>
      <w:r>
        <w:rPr>
          <w:rFonts w:hint="eastAsia"/>
        </w:rPr>
        <w:t>校准结果</w:t>
      </w:r>
      <w:r>
        <w:rPr>
          <w:rFonts w:hint="eastAsia"/>
          <w:lang w:eastAsia="zh-CN"/>
        </w:rPr>
        <w:t>：</w:t>
      </w:r>
    </w:p>
    <w:p w14:paraId="7EFB02C7">
      <w:pPr>
        <w:spacing w:line="360" w:lineRule="auto"/>
        <w:ind w:firstLine="0"/>
        <w:jc w:val="both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1、机器视觉低频振动测量系统的校准结果</w:t>
      </w:r>
    </w:p>
    <w:p w14:paraId="73DDD7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jc w:val="center"/>
        <w:textAlignment w:val="auto"/>
        <w:rPr>
          <w:rFonts w:hint="default" w:ascii="Times New Roman" w:hAnsi="Times New Roman" w:eastAsia="黑体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黑体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表</w:t>
      </w:r>
      <w:r>
        <w:rPr>
          <w:rFonts w:hint="eastAsia" w:eastAsia="黑体" w:cs="Times New Roman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A.1</w:t>
      </w:r>
      <w:r>
        <w:rPr>
          <w:rFonts w:hint="default" w:ascii="Times New Roman" w:hAnsi="Times New Roman" w:eastAsia="黑体" w:cs="Times New Roman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eastAsia="黑体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幅值测量结果</w:t>
      </w:r>
    </w:p>
    <w:tbl>
      <w:tblPr>
        <w:tblStyle w:val="18"/>
        <w:tblW w:w="479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6"/>
        <w:gridCol w:w="1755"/>
        <w:gridCol w:w="1755"/>
        <w:gridCol w:w="1755"/>
        <w:gridCol w:w="1755"/>
        <w:gridCol w:w="1756"/>
      </w:tblGrid>
      <w:tr w14:paraId="37B209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52" w:type="pct"/>
            <w:shd w:val="clear" w:color="auto" w:fill="auto"/>
            <w:vAlign w:val="center"/>
          </w:tcPr>
          <w:p w14:paraId="4197D7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序</w:t>
            </w:r>
          </w:p>
          <w:p w14:paraId="76F399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号</w:t>
            </w:r>
          </w:p>
        </w:tc>
        <w:tc>
          <w:tcPr>
            <w:tcW w:w="929" w:type="pct"/>
            <w:shd w:val="clear" w:color="auto" w:fill="auto"/>
            <w:vAlign w:val="center"/>
          </w:tcPr>
          <w:p w14:paraId="44B766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频率</w:t>
            </w:r>
          </w:p>
          <w:p w14:paraId="04AAE4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(Hz)</w:t>
            </w:r>
          </w:p>
        </w:tc>
        <w:tc>
          <w:tcPr>
            <w:tcW w:w="929" w:type="pct"/>
            <w:shd w:val="clear" w:color="auto" w:fill="auto"/>
            <w:vAlign w:val="center"/>
          </w:tcPr>
          <w:p w14:paraId="729BB8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标准值</w:t>
            </w:r>
          </w:p>
          <w:p w14:paraId="2B5FE1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(</w:t>
            </w:r>
            <w:r>
              <w:rPr>
                <w:rFonts w:hint="eastAsia" w:ascii="Times New Roman" w:hAnsi="Times New Roman" w:eastAsia="黑体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m/s</w:t>
            </w:r>
            <w:r>
              <w:rPr>
                <w:rFonts w:hint="eastAsia" w:ascii="Times New Roman" w:hAnsi="Times New Roman" w:eastAsia="黑体" w:cs="Times New Roman"/>
                <w:color w:val="000000" w:themeColor="text1"/>
                <w:kern w:val="0"/>
                <w:sz w:val="21"/>
                <w:szCs w:val="21"/>
                <w:vertAlign w:val="superscript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default" w:ascii="Times New Roman" w:hAnsi="Times New Roman" w:eastAsia="黑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929" w:type="pct"/>
            <w:vAlign w:val="center"/>
          </w:tcPr>
          <w:p w14:paraId="2D8E40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eastAsia="黑体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黑体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测量值</w:t>
            </w:r>
          </w:p>
          <w:p w14:paraId="22408D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eastAsia="黑体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(</w:t>
            </w:r>
            <w:r>
              <w:rPr>
                <w:rFonts w:hint="eastAsia" w:ascii="Times New Roman" w:hAnsi="Times New Roman" w:eastAsia="黑体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m/s</w:t>
            </w:r>
            <w:r>
              <w:rPr>
                <w:rFonts w:hint="eastAsia" w:ascii="Times New Roman" w:hAnsi="Times New Roman" w:eastAsia="黑体" w:cs="Times New Roman"/>
                <w:color w:val="000000" w:themeColor="text1"/>
                <w:kern w:val="0"/>
                <w:sz w:val="21"/>
                <w:szCs w:val="21"/>
                <w:vertAlign w:val="superscript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default" w:ascii="Times New Roman" w:hAnsi="Times New Roman" w:eastAsia="黑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929" w:type="pct"/>
            <w:vAlign w:val="center"/>
          </w:tcPr>
          <w:p w14:paraId="455BD7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eastAsia="黑体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黑体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相对误差</w:t>
            </w:r>
          </w:p>
          <w:p w14:paraId="501AAF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eastAsia="黑体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黑体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(%)</w:t>
            </w:r>
          </w:p>
        </w:tc>
        <w:tc>
          <w:tcPr>
            <w:tcW w:w="929" w:type="pct"/>
            <w:vAlign w:val="center"/>
          </w:tcPr>
          <w:p w14:paraId="02B469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eastAsia="黑体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黑体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测量不确定度(</w:t>
            </w:r>
            <w:r>
              <w:rPr>
                <w:rFonts w:hint="eastAsia" w:eastAsia="黑体" w:cs="Times New Roman"/>
                <w:i/>
                <w:iCs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k</w:t>
            </w:r>
            <w:r>
              <w:rPr>
                <w:rFonts w:hint="eastAsia" w:eastAsia="黑体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=2) (%)</w:t>
            </w:r>
          </w:p>
        </w:tc>
      </w:tr>
      <w:tr w14:paraId="6A977E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52" w:type="pct"/>
            <w:vAlign w:val="center"/>
          </w:tcPr>
          <w:p w14:paraId="44121C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9" w:type="pct"/>
            <w:vAlign w:val="center"/>
          </w:tcPr>
          <w:p w14:paraId="05EA9F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9" w:type="pct"/>
            <w:vAlign w:val="center"/>
          </w:tcPr>
          <w:p w14:paraId="14F41C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9" w:type="pct"/>
            <w:vAlign w:val="center"/>
          </w:tcPr>
          <w:p w14:paraId="5B049D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9" w:type="pct"/>
            <w:vAlign w:val="center"/>
          </w:tcPr>
          <w:p w14:paraId="5B2D6E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9" w:type="pct"/>
            <w:vAlign w:val="center"/>
          </w:tcPr>
          <w:p w14:paraId="78EED6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1BE1C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52" w:type="pct"/>
            <w:shd w:val="clear" w:color="auto" w:fill="auto"/>
            <w:vAlign w:val="center"/>
          </w:tcPr>
          <w:p w14:paraId="2FE2A4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9" w:type="pct"/>
            <w:shd w:val="clear" w:color="auto" w:fill="auto"/>
            <w:vAlign w:val="center"/>
          </w:tcPr>
          <w:p w14:paraId="17714C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9" w:type="pct"/>
            <w:shd w:val="clear" w:color="auto" w:fill="auto"/>
            <w:vAlign w:val="center"/>
          </w:tcPr>
          <w:p w14:paraId="53B503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9" w:type="pct"/>
            <w:shd w:val="clear" w:color="auto" w:fill="auto"/>
            <w:vAlign w:val="center"/>
          </w:tcPr>
          <w:p w14:paraId="654F47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9" w:type="pct"/>
            <w:shd w:val="clear" w:color="auto" w:fill="auto"/>
            <w:vAlign w:val="center"/>
          </w:tcPr>
          <w:p w14:paraId="6E3A3E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9" w:type="pct"/>
            <w:shd w:val="clear" w:color="auto" w:fill="auto"/>
            <w:vAlign w:val="center"/>
          </w:tcPr>
          <w:p w14:paraId="5A63F9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C45E2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52" w:type="pct"/>
            <w:shd w:val="clear" w:color="auto" w:fill="auto"/>
            <w:vAlign w:val="center"/>
          </w:tcPr>
          <w:p w14:paraId="50DBDE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9" w:type="pct"/>
            <w:vAlign w:val="center"/>
          </w:tcPr>
          <w:p w14:paraId="1DEDAF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9" w:type="pct"/>
            <w:vAlign w:val="center"/>
          </w:tcPr>
          <w:p w14:paraId="4272EA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9" w:type="pct"/>
            <w:vAlign w:val="center"/>
          </w:tcPr>
          <w:p w14:paraId="2B9721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9" w:type="pct"/>
            <w:vAlign w:val="center"/>
          </w:tcPr>
          <w:p w14:paraId="5FF9C2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9" w:type="pct"/>
            <w:vAlign w:val="center"/>
          </w:tcPr>
          <w:p w14:paraId="0B9CB0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9986D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52" w:type="pct"/>
            <w:shd w:val="clear" w:color="auto" w:fill="auto"/>
            <w:vAlign w:val="center"/>
          </w:tcPr>
          <w:p w14:paraId="001C7F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9" w:type="pct"/>
            <w:vAlign w:val="center"/>
          </w:tcPr>
          <w:p w14:paraId="605C63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9" w:type="pct"/>
            <w:vAlign w:val="center"/>
          </w:tcPr>
          <w:p w14:paraId="537529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9" w:type="pct"/>
            <w:vAlign w:val="center"/>
          </w:tcPr>
          <w:p w14:paraId="28D702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9" w:type="pct"/>
            <w:vAlign w:val="center"/>
          </w:tcPr>
          <w:p w14:paraId="5B99F8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9" w:type="pct"/>
            <w:vAlign w:val="center"/>
          </w:tcPr>
          <w:p w14:paraId="3CDD46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9632D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52" w:type="pct"/>
            <w:shd w:val="clear" w:color="auto" w:fill="auto"/>
            <w:vAlign w:val="center"/>
          </w:tcPr>
          <w:p w14:paraId="27A1FD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9" w:type="pct"/>
            <w:vAlign w:val="center"/>
          </w:tcPr>
          <w:p w14:paraId="0C7C0F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9" w:type="pct"/>
            <w:vAlign w:val="center"/>
          </w:tcPr>
          <w:p w14:paraId="0E7CEF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9" w:type="pct"/>
            <w:vAlign w:val="center"/>
          </w:tcPr>
          <w:p w14:paraId="148A98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9" w:type="pct"/>
            <w:vAlign w:val="center"/>
          </w:tcPr>
          <w:p w14:paraId="240F68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9" w:type="pct"/>
            <w:vAlign w:val="center"/>
          </w:tcPr>
          <w:p w14:paraId="7E2FBA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28AEC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52" w:type="pct"/>
            <w:shd w:val="clear" w:color="auto" w:fill="auto"/>
            <w:vAlign w:val="center"/>
          </w:tcPr>
          <w:p w14:paraId="3CC782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9" w:type="pct"/>
            <w:vAlign w:val="center"/>
          </w:tcPr>
          <w:p w14:paraId="4CE2E9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9" w:type="pct"/>
            <w:vAlign w:val="center"/>
          </w:tcPr>
          <w:p w14:paraId="38179C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9" w:type="pct"/>
            <w:vAlign w:val="center"/>
          </w:tcPr>
          <w:p w14:paraId="19F56F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9" w:type="pct"/>
            <w:vAlign w:val="center"/>
          </w:tcPr>
          <w:p w14:paraId="77C92B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9" w:type="pct"/>
            <w:vAlign w:val="center"/>
          </w:tcPr>
          <w:p w14:paraId="7B9361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7EF6E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52" w:type="pct"/>
            <w:shd w:val="clear" w:color="auto" w:fill="auto"/>
            <w:vAlign w:val="center"/>
          </w:tcPr>
          <w:p w14:paraId="56A99E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9" w:type="pct"/>
            <w:vAlign w:val="center"/>
          </w:tcPr>
          <w:p w14:paraId="4426EE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9" w:type="pct"/>
            <w:vAlign w:val="center"/>
          </w:tcPr>
          <w:p w14:paraId="249AAA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9" w:type="pct"/>
            <w:vAlign w:val="center"/>
          </w:tcPr>
          <w:p w14:paraId="6F5DBD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9" w:type="pct"/>
            <w:vAlign w:val="center"/>
          </w:tcPr>
          <w:p w14:paraId="7A28FB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9" w:type="pct"/>
            <w:vAlign w:val="center"/>
          </w:tcPr>
          <w:p w14:paraId="1149F3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7D7183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jc w:val="center"/>
        <w:textAlignment w:val="auto"/>
        <w:rPr>
          <w:rFonts w:hint="default" w:ascii="Times New Roman" w:hAnsi="Times New Roman" w:eastAsia="黑体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黑体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表</w:t>
      </w:r>
      <w:r>
        <w:rPr>
          <w:rFonts w:hint="eastAsia" w:eastAsia="黑体" w:cs="Times New Roman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A.2</w:t>
      </w:r>
      <w:r>
        <w:rPr>
          <w:rFonts w:hint="default" w:ascii="Times New Roman" w:hAnsi="Times New Roman" w:eastAsia="黑体" w:cs="Times New Roman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eastAsia="黑体" w:cs="Times New Roman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相位</w:t>
      </w:r>
      <w:r>
        <w:rPr>
          <w:rFonts w:hint="default" w:ascii="Times New Roman" w:hAnsi="Times New Roman" w:eastAsia="黑体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测量结果</w:t>
      </w:r>
    </w:p>
    <w:tbl>
      <w:tblPr>
        <w:tblStyle w:val="18"/>
        <w:tblW w:w="479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6"/>
        <w:gridCol w:w="1755"/>
        <w:gridCol w:w="1755"/>
        <w:gridCol w:w="1755"/>
        <w:gridCol w:w="1755"/>
        <w:gridCol w:w="1756"/>
      </w:tblGrid>
      <w:tr w14:paraId="0CD678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52" w:type="pct"/>
            <w:shd w:val="clear" w:color="auto" w:fill="auto"/>
            <w:vAlign w:val="center"/>
          </w:tcPr>
          <w:p w14:paraId="586D93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序</w:t>
            </w:r>
          </w:p>
          <w:p w14:paraId="0B0488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号</w:t>
            </w:r>
          </w:p>
        </w:tc>
        <w:tc>
          <w:tcPr>
            <w:tcW w:w="929" w:type="pct"/>
            <w:shd w:val="clear" w:color="auto" w:fill="auto"/>
            <w:vAlign w:val="center"/>
          </w:tcPr>
          <w:p w14:paraId="729920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频率</w:t>
            </w:r>
          </w:p>
          <w:p w14:paraId="581045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(Hz)</w:t>
            </w:r>
          </w:p>
        </w:tc>
        <w:tc>
          <w:tcPr>
            <w:tcW w:w="929" w:type="pct"/>
            <w:shd w:val="clear" w:color="auto" w:fill="auto"/>
            <w:vAlign w:val="center"/>
          </w:tcPr>
          <w:p w14:paraId="446C05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标准值</w:t>
            </w:r>
          </w:p>
          <w:p w14:paraId="2CE7A7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(</w:t>
            </w:r>
            <w:r>
              <w:rPr>
                <w:rFonts w:hint="eastAsia" w:ascii="Times New Roman" w:hAnsi="Times New Roman" w:eastAsia="黑体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°</w:t>
            </w:r>
            <w:r>
              <w:rPr>
                <w:rFonts w:hint="default" w:ascii="Times New Roman" w:hAnsi="Times New Roman" w:eastAsia="黑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929" w:type="pct"/>
            <w:vAlign w:val="center"/>
          </w:tcPr>
          <w:p w14:paraId="0AFA7F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eastAsia="黑体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黑体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测量值</w:t>
            </w:r>
          </w:p>
          <w:p w14:paraId="17C42C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eastAsia="黑体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(</w:t>
            </w:r>
            <w:r>
              <w:rPr>
                <w:rFonts w:hint="eastAsia" w:ascii="Times New Roman" w:hAnsi="Times New Roman" w:eastAsia="黑体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°</w:t>
            </w:r>
            <w:r>
              <w:rPr>
                <w:rFonts w:hint="default" w:ascii="Times New Roman" w:hAnsi="Times New Roman" w:eastAsia="黑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929" w:type="pct"/>
            <w:vAlign w:val="center"/>
          </w:tcPr>
          <w:p w14:paraId="556714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eastAsia="黑体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黑体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相位误差</w:t>
            </w:r>
          </w:p>
          <w:p w14:paraId="0AAD24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eastAsia="黑体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黑体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(°)</w:t>
            </w:r>
          </w:p>
        </w:tc>
        <w:tc>
          <w:tcPr>
            <w:tcW w:w="929" w:type="pct"/>
            <w:vAlign w:val="center"/>
          </w:tcPr>
          <w:p w14:paraId="705EEB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eastAsia="黑体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黑体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测量不确定度(</w:t>
            </w:r>
            <w:r>
              <w:rPr>
                <w:rFonts w:hint="eastAsia" w:eastAsia="黑体" w:cs="Times New Roman"/>
                <w:i/>
                <w:iCs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k</w:t>
            </w:r>
            <w:r>
              <w:rPr>
                <w:rFonts w:hint="eastAsia" w:eastAsia="黑体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=2) (°)</w:t>
            </w:r>
          </w:p>
        </w:tc>
      </w:tr>
      <w:tr w14:paraId="03ACD8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52" w:type="pct"/>
            <w:vAlign w:val="center"/>
          </w:tcPr>
          <w:p w14:paraId="766011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9" w:type="pct"/>
            <w:shd w:val="clear" w:color="auto" w:fill="auto"/>
            <w:vAlign w:val="center"/>
          </w:tcPr>
          <w:p w14:paraId="6B7D4E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9" w:type="pct"/>
            <w:shd w:val="clear" w:color="auto" w:fill="auto"/>
            <w:vAlign w:val="center"/>
          </w:tcPr>
          <w:p w14:paraId="40F79C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9" w:type="pct"/>
            <w:shd w:val="clear" w:color="auto" w:fill="auto"/>
            <w:vAlign w:val="center"/>
          </w:tcPr>
          <w:p w14:paraId="36BE75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9" w:type="pct"/>
            <w:shd w:val="clear" w:color="auto" w:fill="auto"/>
            <w:vAlign w:val="center"/>
          </w:tcPr>
          <w:p w14:paraId="69B768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9" w:type="pct"/>
            <w:shd w:val="clear" w:color="auto" w:fill="auto"/>
            <w:vAlign w:val="center"/>
          </w:tcPr>
          <w:p w14:paraId="738D4F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1E8A6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52" w:type="pct"/>
            <w:shd w:val="clear" w:color="auto" w:fill="auto"/>
            <w:vAlign w:val="center"/>
          </w:tcPr>
          <w:p w14:paraId="41E51E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9" w:type="pct"/>
            <w:shd w:val="clear" w:color="auto" w:fill="auto"/>
            <w:vAlign w:val="center"/>
          </w:tcPr>
          <w:p w14:paraId="76B321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9" w:type="pct"/>
            <w:shd w:val="clear" w:color="auto" w:fill="auto"/>
            <w:vAlign w:val="center"/>
          </w:tcPr>
          <w:p w14:paraId="73C634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9" w:type="pct"/>
            <w:shd w:val="clear" w:color="auto" w:fill="auto"/>
            <w:vAlign w:val="center"/>
          </w:tcPr>
          <w:p w14:paraId="508697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9" w:type="pct"/>
            <w:shd w:val="clear" w:color="auto" w:fill="auto"/>
            <w:vAlign w:val="center"/>
          </w:tcPr>
          <w:p w14:paraId="72EEFA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9" w:type="pct"/>
            <w:shd w:val="clear" w:color="auto" w:fill="auto"/>
            <w:vAlign w:val="center"/>
          </w:tcPr>
          <w:p w14:paraId="7115E6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43005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52" w:type="pct"/>
            <w:shd w:val="clear" w:color="auto" w:fill="auto"/>
            <w:vAlign w:val="center"/>
          </w:tcPr>
          <w:p w14:paraId="750E70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9" w:type="pct"/>
            <w:shd w:val="clear" w:color="auto" w:fill="auto"/>
            <w:vAlign w:val="center"/>
          </w:tcPr>
          <w:p w14:paraId="77640C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9" w:type="pct"/>
            <w:shd w:val="clear" w:color="auto" w:fill="auto"/>
            <w:vAlign w:val="center"/>
          </w:tcPr>
          <w:p w14:paraId="28540C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9" w:type="pct"/>
            <w:shd w:val="clear" w:color="auto" w:fill="auto"/>
            <w:vAlign w:val="center"/>
          </w:tcPr>
          <w:p w14:paraId="7F9986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9" w:type="pct"/>
            <w:shd w:val="clear" w:color="auto" w:fill="auto"/>
            <w:vAlign w:val="center"/>
          </w:tcPr>
          <w:p w14:paraId="38157F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9" w:type="pct"/>
            <w:shd w:val="clear" w:color="auto" w:fill="auto"/>
            <w:vAlign w:val="center"/>
          </w:tcPr>
          <w:p w14:paraId="6BFDEA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F8077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52" w:type="pct"/>
            <w:shd w:val="clear" w:color="auto" w:fill="auto"/>
            <w:vAlign w:val="center"/>
          </w:tcPr>
          <w:p w14:paraId="77FE7E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9" w:type="pct"/>
            <w:shd w:val="clear" w:color="auto" w:fill="auto"/>
            <w:vAlign w:val="center"/>
          </w:tcPr>
          <w:p w14:paraId="7D1D55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9" w:type="pct"/>
            <w:shd w:val="clear" w:color="auto" w:fill="auto"/>
            <w:vAlign w:val="center"/>
          </w:tcPr>
          <w:p w14:paraId="0C1D98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9" w:type="pct"/>
            <w:shd w:val="clear" w:color="auto" w:fill="auto"/>
            <w:vAlign w:val="center"/>
          </w:tcPr>
          <w:p w14:paraId="2FD7BA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9" w:type="pct"/>
            <w:shd w:val="clear" w:color="auto" w:fill="auto"/>
            <w:vAlign w:val="center"/>
          </w:tcPr>
          <w:p w14:paraId="3F1367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9" w:type="pct"/>
            <w:shd w:val="clear" w:color="auto" w:fill="auto"/>
            <w:vAlign w:val="center"/>
          </w:tcPr>
          <w:p w14:paraId="3238AC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58B79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52" w:type="pct"/>
            <w:shd w:val="clear" w:color="auto" w:fill="auto"/>
            <w:vAlign w:val="center"/>
          </w:tcPr>
          <w:p w14:paraId="66AD3D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9" w:type="pct"/>
            <w:shd w:val="clear" w:color="auto" w:fill="auto"/>
            <w:vAlign w:val="center"/>
          </w:tcPr>
          <w:p w14:paraId="09E750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9" w:type="pct"/>
            <w:shd w:val="clear" w:color="auto" w:fill="auto"/>
            <w:vAlign w:val="center"/>
          </w:tcPr>
          <w:p w14:paraId="6B7DA9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9" w:type="pct"/>
            <w:shd w:val="clear" w:color="auto" w:fill="auto"/>
            <w:vAlign w:val="center"/>
          </w:tcPr>
          <w:p w14:paraId="519CBB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9" w:type="pct"/>
            <w:shd w:val="clear" w:color="auto" w:fill="auto"/>
            <w:vAlign w:val="center"/>
          </w:tcPr>
          <w:p w14:paraId="021678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9" w:type="pct"/>
            <w:shd w:val="clear" w:color="auto" w:fill="auto"/>
            <w:vAlign w:val="center"/>
          </w:tcPr>
          <w:p w14:paraId="110D0D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027E9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52" w:type="pct"/>
            <w:shd w:val="clear" w:color="auto" w:fill="auto"/>
            <w:vAlign w:val="center"/>
          </w:tcPr>
          <w:p w14:paraId="6F382A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9" w:type="pct"/>
            <w:shd w:val="clear" w:color="auto" w:fill="auto"/>
            <w:vAlign w:val="center"/>
          </w:tcPr>
          <w:p w14:paraId="3BF2DA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9" w:type="pct"/>
            <w:shd w:val="clear" w:color="auto" w:fill="auto"/>
            <w:vAlign w:val="center"/>
          </w:tcPr>
          <w:p w14:paraId="003B41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9" w:type="pct"/>
            <w:shd w:val="clear" w:color="auto" w:fill="auto"/>
            <w:vAlign w:val="center"/>
          </w:tcPr>
          <w:p w14:paraId="0AF59B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9" w:type="pct"/>
            <w:shd w:val="clear" w:color="auto" w:fill="auto"/>
            <w:vAlign w:val="center"/>
          </w:tcPr>
          <w:p w14:paraId="6BC1AC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9" w:type="pct"/>
            <w:shd w:val="clear" w:color="auto" w:fill="auto"/>
            <w:vAlign w:val="center"/>
          </w:tcPr>
          <w:p w14:paraId="688631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37572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52" w:type="pct"/>
            <w:shd w:val="clear" w:color="auto" w:fill="auto"/>
            <w:vAlign w:val="center"/>
          </w:tcPr>
          <w:p w14:paraId="6F148C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9" w:type="pct"/>
            <w:shd w:val="clear" w:color="auto" w:fill="auto"/>
            <w:vAlign w:val="center"/>
          </w:tcPr>
          <w:p w14:paraId="750268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9" w:type="pct"/>
            <w:shd w:val="clear" w:color="auto" w:fill="auto"/>
            <w:vAlign w:val="center"/>
          </w:tcPr>
          <w:p w14:paraId="1741D1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9" w:type="pct"/>
            <w:shd w:val="clear" w:color="auto" w:fill="auto"/>
            <w:vAlign w:val="center"/>
          </w:tcPr>
          <w:p w14:paraId="338239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9" w:type="pct"/>
            <w:shd w:val="clear" w:color="auto" w:fill="auto"/>
            <w:vAlign w:val="center"/>
          </w:tcPr>
          <w:p w14:paraId="689EED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9" w:type="pct"/>
            <w:shd w:val="clear" w:color="auto" w:fill="auto"/>
            <w:vAlign w:val="center"/>
          </w:tcPr>
          <w:p w14:paraId="027CBF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689FE905">
      <w:pPr>
        <w:spacing w:line="360" w:lineRule="auto"/>
        <w:ind w:firstLine="0"/>
        <w:jc w:val="both"/>
        <w:rPr>
          <w:rFonts w:hint="eastAsia" w:eastAsia="宋体"/>
          <w:lang w:val="en-US" w:eastAsia="zh-CN"/>
        </w:rPr>
      </w:pPr>
      <w:r>
        <w:rPr>
          <w:rFonts w:hint="eastAsia"/>
          <w:lang w:val="en-US" w:eastAsia="zh-CN"/>
        </w:rPr>
        <w:t>2、机器视觉低频振动测量算法/软件的校准结果</w:t>
      </w:r>
    </w:p>
    <w:p w14:paraId="779BBE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jc w:val="center"/>
        <w:textAlignment w:val="auto"/>
        <w:rPr>
          <w:rFonts w:hint="default" w:ascii="Times New Roman" w:hAnsi="Times New Roman" w:eastAsia="黑体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黑体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表</w:t>
      </w:r>
      <w:r>
        <w:rPr>
          <w:rFonts w:hint="eastAsia" w:eastAsia="黑体" w:cs="Times New Roman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A.3</w:t>
      </w:r>
      <w:r>
        <w:rPr>
          <w:rFonts w:hint="default" w:ascii="Times New Roman" w:hAnsi="Times New Roman" w:eastAsia="黑体" w:cs="Times New Roman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eastAsia="黑体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幅值测量结果</w:t>
      </w:r>
    </w:p>
    <w:tbl>
      <w:tblPr>
        <w:tblStyle w:val="18"/>
        <w:tblW w:w="479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6"/>
        <w:gridCol w:w="1755"/>
        <w:gridCol w:w="1755"/>
        <w:gridCol w:w="1755"/>
        <w:gridCol w:w="1755"/>
        <w:gridCol w:w="1756"/>
      </w:tblGrid>
      <w:tr w14:paraId="1BEABE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52" w:type="pct"/>
            <w:shd w:val="clear" w:color="auto" w:fill="auto"/>
            <w:vAlign w:val="center"/>
          </w:tcPr>
          <w:p w14:paraId="1981CE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序</w:t>
            </w:r>
          </w:p>
          <w:p w14:paraId="4BBE5F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号</w:t>
            </w:r>
          </w:p>
        </w:tc>
        <w:tc>
          <w:tcPr>
            <w:tcW w:w="929" w:type="pct"/>
            <w:shd w:val="clear" w:color="auto" w:fill="auto"/>
            <w:vAlign w:val="center"/>
          </w:tcPr>
          <w:p w14:paraId="7F87B8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频率</w:t>
            </w:r>
          </w:p>
          <w:p w14:paraId="6310B8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(Hz)</w:t>
            </w:r>
          </w:p>
        </w:tc>
        <w:tc>
          <w:tcPr>
            <w:tcW w:w="929" w:type="pct"/>
            <w:shd w:val="clear" w:color="auto" w:fill="auto"/>
            <w:vAlign w:val="center"/>
          </w:tcPr>
          <w:p w14:paraId="7F7229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标准值</w:t>
            </w:r>
          </w:p>
          <w:p w14:paraId="2BB04F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(</w:t>
            </w:r>
            <w:r>
              <w:rPr>
                <w:rFonts w:hint="eastAsia" w:ascii="Times New Roman" w:hAnsi="Times New Roman" w:eastAsia="黑体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px</w:t>
            </w:r>
            <w:r>
              <w:rPr>
                <w:rFonts w:hint="default" w:ascii="Times New Roman" w:hAnsi="Times New Roman" w:eastAsia="黑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929" w:type="pct"/>
            <w:vAlign w:val="center"/>
          </w:tcPr>
          <w:p w14:paraId="307923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eastAsia="黑体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黑体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测量值</w:t>
            </w:r>
          </w:p>
          <w:p w14:paraId="76864E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eastAsia="黑体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(</w:t>
            </w:r>
            <w:r>
              <w:rPr>
                <w:rFonts w:hint="eastAsia" w:ascii="Times New Roman" w:hAnsi="Times New Roman" w:eastAsia="黑体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px</w:t>
            </w:r>
            <w:r>
              <w:rPr>
                <w:rFonts w:hint="default" w:ascii="Times New Roman" w:hAnsi="Times New Roman" w:eastAsia="黑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929" w:type="pct"/>
            <w:vAlign w:val="center"/>
          </w:tcPr>
          <w:p w14:paraId="251D58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eastAsia="黑体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黑体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相对误差</w:t>
            </w:r>
          </w:p>
          <w:p w14:paraId="1D79C0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eastAsia="黑体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黑体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(%)</w:t>
            </w:r>
          </w:p>
        </w:tc>
        <w:tc>
          <w:tcPr>
            <w:tcW w:w="929" w:type="pct"/>
            <w:vAlign w:val="center"/>
          </w:tcPr>
          <w:p w14:paraId="32C574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eastAsia="黑体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黑体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测量不确定度(</w:t>
            </w:r>
            <w:r>
              <w:rPr>
                <w:rFonts w:hint="eastAsia" w:eastAsia="黑体" w:cs="Times New Roman"/>
                <w:i/>
                <w:iCs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k</w:t>
            </w:r>
            <w:r>
              <w:rPr>
                <w:rFonts w:hint="eastAsia" w:eastAsia="黑体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=2) (%)</w:t>
            </w:r>
          </w:p>
        </w:tc>
      </w:tr>
      <w:tr w14:paraId="3F2E42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52" w:type="pct"/>
            <w:vAlign w:val="center"/>
          </w:tcPr>
          <w:p w14:paraId="0F35F7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9" w:type="pct"/>
            <w:vAlign w:val="center"/>
          </w:tcPr>
          <w:p w14:paraId="00C17A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9" w:type="pct"/>
            <w:shd w:val="clear" w:color="auto" w:fill="auto"/>
            <w:vAlign w:val="center"/>
          </w:tcPr>
          <w:p w14:paraId="328BF5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9" w:type="pct"/>
            <w:shd w:val="clear" w:color="auto" w:fill="auto"/>
            <w:vAlign w:val="center"/>
          </w:tcPr>
          <w:p w14:paraId="4F31CC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9" w:type="pct"/>
            <w:shd w:val="clear" w:color="auto" w:fill="auto"/>
            <w:vAlign w:val="center"/>
          </w:tcPr>
          <w:p w14:paraId="202B53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9" w:type="pct"/>
            <w:vAlign w:val="center"/>
          </w:tcPr>
          <w:p w14:paraId="300DA2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7BB67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52" w:type="pct"/>
            <w:shd w:val="clear" w:color="auto" w:fill="auto"/>
            <w:vAlign w:val="center"/>
          </w:tcPr>
          <w:p w14:paraId="05E64E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9" w:type="pct"/>
            <w:shd w:val="clear" w:color="auto" w:fill="auto"/>
            <w:vAlign w:val="center"/>
          </w:tcPr>
          <w:p w14:paraId="7A77D8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9" w:type="pct"/>
            <w:shd w:val="clear" w:color="auto" w:fill="auto"/>
            <w:vAlign w:val="center"/>
          </w:tcPr>
          <w:p w14:paraId="25B10C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9" w:type="pct"/>
            <w:shd w:val="clear" w:color="auto" w:fill="auto"/>
            <w:vAlign w:val="center"/>
          </w:tcPr>
          <w:p w14:paraId="1E4B68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9" w:type="pct"/>
            <w:shd w:val="clear" w:color="auto" w:fill="auto"/>
            <w:vAlign w:val="center"/>
          </w:tcPr>
          <w:p w14:paraId="66AC84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9" w:type="pct"/>
            <w:shd w:val="clear" w:color="auto" w:fill="auto"/>
            <w:vAlign w:val="center"/>
          </w:tcPr>
          <w:p w14:paraId="0FC9C0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4BFBE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52" w:type="pct"/>
            <w:shd w:val="clear" w:color="auto" w:fill="auto"/>
            <w:vAlign w:val="center"/>
          </w:tcPr>
          <w:p w14:paraId="33D0F0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9" w:type="pct"/>
            <w:vAlign w:val="center"/>
          </w:tcPr>
          <w:p w14:paraId="25FB28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9" w:type="pct"/>
            <w:shd w:val="clear" w:color="auto" w:fill="auto"/>
            <w:vAlign w:val="center"/>
          </w:tcPr>
          <w:p w14:paraId="462524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9" w:type="pct"/>
            <w:shd w:val="clear" w:color="auto" w:fill="auto"/>
            <w:vAlign w:val="center"/>
          </w:tcPr>
          <w:p w14:paraId="139BC2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9" w:type="pct"/>
            <w:shd w:val="clear" w:color="auto" w:fill="auto"/>
            <w:vAlign w:val="center"/>
          </w:tcPr>
          <w:p w14:paraId="284D89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9" w:type="pct"/>
            <w:vAlign w:val="center"/>
          </w:tcPr>
          <w:p w14:paraId="606B58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947C1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52" w:type="pct"/>
            <w:shd w:val="clear" w:color="auto" w:fill="auto"/>
            <w:vAlign w:val="center"/>
          </w:tcPr>
          <w:p w14:paraId="734A60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9" w:type="pct"/>
            <w:vAlign w:val="center"/>
          </w:tcPr>
          <w:p w14:paraId="27952F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9" w:type="pct"/>
            <w:shd w:val="clear" w:color="auto" w:fill="auto"/>
            <w:vAlign w:val="center"/>
          </w:tcPr>
          <w:p w14:paraId="6A2A84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9" w:type="pct"/>
            <w:shd w:val="clear" w:color="auto" w:fill="auto"/>
            <w:vAlign w:val="center"/>
          </w:tcPr>
          <w:p w14:paraId="6D5029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9" w:type="pct"/>
            <w:shd w:val="clear" w:color="auto" w:fill="auto"/>
            <w:vAlign w:val="center"/>
          </w:tcPr>
          <w:p w14:paraId="119383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9" w:type="pct"/>
            <w:vAlign w:val="center"/>
          </w:tcPr>
          <w:p w14:paraId="0E031A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69ECC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52" w:type="pct"/>
            <w:shd w:val="clear" w:color="auto" w:fill="auto"/>
            <w:vAlign w:val="center"/>
          </w:tcPr>
          <w:p w14:paraId="24C845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9" w:type="pct"/>
            <w:vAlign w:val="center"/>
          </w:tcPr>
          <w:p w14:paraId="22F9FF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9" w:type="pct"/>
            <w:shd w:val="clear" w:color="auto" w:fill="auto"/>
            <w:vAlign w:val="center"/>
          </w:tcPr>
          <w:p w14:paraId="51243A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9" w:type="pct"/>
            <w:shd w:val="clear" w:color="auto" w:fill="auto"/>
            <w:vAlign w:val="center"/>
          </w:tcPr>
          <w:p w14:paraId="5DF068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9" w:type="pct"/>
            <w:shd w:val="clear" w:color="auto" w:fill="auto"/>
            <w:vAlign w:val="center"/>
          </w:tcPr>
          <w:p w14:paraId="3F3AAB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9" w:type="pct"/>
            <w:vAlign w:val="center"/>
          </w:tcPr>
          <w:p w14:paraId="39DB63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E83CF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52" w:type="pct"/>
            <w:shd w:val="clear" w:color="auto" w:fill="auto"/>
            <w:vAlign w:val="center"/>
          </w:tcPr>
          <w:p w14:paraId="7EE02B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9" w:type="pct"/>
            <w:vAlign w:val="center"/>
          </w:tcPr>
          <w:p w14:paraId="27B24E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9" w:type="pct"/>
            <w:shd w:val="clear" w:color="auto" w:fill="auto"/>
            <w:vAlign w:val="center"/>
          </w:tcPr>
          <w:p w14:paraId="1008FE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9" w:type="pct"/>
            <w:shd w:val="clear" w:color="auto" w:fill="auto"/>
            <w:vAlign w:val="center"/>
          </w:tcPr>
          <w:p w14:paraId="5BDC57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9" w:type="pct"/>
            <w:shd w:val="clear" w:color="auto" w:fill="auto"/>
            <w:vAlign w:val="center"/>
          </w:tcPr>
          <w:p w14:paraId="547B00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9" w:type="pct"/>
            <w:vAlign w:val="center"/>
          </w:tcPr>
          <w:p w14:paraId="49628D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296C4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52" w:type="pct"/>
            <w:shd w:val="clear" w:color="auto" w:fill="auto"/>
            <w:vAlign w:val="center"/>
          </w:tcPr>
          <w:p w14:paraId="34386D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9" w:type="pct"/>
            <w:vAlign w:val="center"/>
          </w:tcPr>
          <w:p w14:paraId="65BA2D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9" w:type="pct"/>
            <w:shd w:val="clear" w:color="auto" w:fill="auto"/>
            <w:vAlign w:val="center"/>
          </w:tcPr>
          <w:p w14:paraId="267138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9" w:type="pct"/>
            <w:shd w:val="clear" w:color="auto" w:fill="auto"/>
            <w:vAlign w:val="center"/>
          </w:tcPr>
          <w:p w14:paraId="5EBAB8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9" w:type="pct"/>
            <w:shd w:val="clear" w:color="auto" w:fill="auto"/>
            <w:vAlign w:val="center"/>
          </w:tcPr>
          <w:p w14:paraId="26B1DE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9" w:type="pct"/>
            <w:vAlign w:val="center"/>
          </w:tcPr>
          <w:p w14:paraId="5FF69F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4974C6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jc w:val="center"/>
        <w:textAlignment w:val="auto"/>
        <w:rPr>
          <w:rFonts w:hint="default" w:ascii="Times New Roman" w:hAnsi="Times New Roman" w:eastAsia="黑体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</w:p>
    <w:p w14:paraId="254C33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jc w:val="center"/>
        <w:textAlignment w:val="auto"/>
        <w:rPr>
          <w:rFonts w:hint="default" w:ascii="Times New Roman" w:hAnsi="Times New Roman" w:eastAsia="黑体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黑体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表</w:t>
      </w:r>
      <w:r>
        <w:rPr>
          <w:rFonts w:hint="eastAsia" w:eastAsia="黑体" w:cs="Times New Roman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A.4</w:t>
      </w:r>
      <w:r>
        <w:rPr>
          <w:rFonts w:hint="default" w:ascii="Times New Roman" w:hAnsi="Times New Roman" w:eastAsia="黑体" w:cs="Times New Roman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eastAsia="黑体" w:cs="Times New Roman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相位</w:t>
      </w:r>
      <w:r>
        <w:rPr>
          <w:rFonts w:hint="default" w:ascii="Times New Roman" w:hAnsi="Times New Roman" w:eastAsia="黑体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测量结果</w:t>
      </w:r>
    </w:p>
    <w:tbl>
      <w:tblPr>
        <w:tblStyle w:val="18"/>
        <w:tblW w:w="479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6"/>
        <w:gridCol w:w="1755"/>
        <w:gridCol w:w="1755"/>
        <w:gridCol w:w="1755"/>
        <w:gridCol w:w="1755"/>
        <w:gridCol w:w="1756"/>
      </w:tblGrid>
      <w:tr w14:paraId="4192BE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52" w:type="pct"/>
            <w:shd w:val="clear" w:color="auto" w:fill="auto"/>
            <w:vAlign w:val="center"/>
          </w:tcPr>
          <w:p w14:paraId="5CDFCF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序</w:t>
            </w:r>
          </w:p>
          <w:p w14:paraId="7F7F81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号</w:t>
            </w:r>
          </w:p>
        </w:tc>
        <w:tc>
          <w:tcPr>
            <w:tcW w:w="929" w:type="pct"/>
            <w:shd w:val="clear" w:color="auto" w:fill="auto"/>
            <w:vAlign w:val="center"/>
          </w:tcPr>
          <w:p w14:paraId="39FDD6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频率</w:t>
            </w:r>
          </w:p>
          <w:p w14:paraId="3ABFB8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(Hz)</w:t>
            </w:r>
          </w:p>
        </w:tc>
        <w:tc>
          <w:tcPr>
            <w:tcW w:w="929" w:type="pct"/>
            <w:shd w:val="clear" w:color="auto" w:fill="auto"/>
            <w:vAlign w:val="center"/>
          </w:tcPr>
          <w:p w14:paraId="4511E0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标准值</w:t>
            </w:r>
          </w:p>
          <w:p w14:paraId="3E71A8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(</w:t>
            </w:r>
            <w:r>
              <w:rPr>
                <w:rFonts w:hint="eastAsia" w:ascii="Times New Roman" w:hAnsi="Times New Roman" w:eastAsia="黑体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°</w:t>
            </w:r>
            <w:r>
              <w:rPr>
                <w:rFonts w:hint="default" w:ascii="Times New Roman" w:hAnsi="Times New Roman" w:eastAsia="黑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929" w:type="pct"/>
            <w:vAlign w:val="center"/>
          </w:tcPr>
          <w:p w14:paraId="6447E8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eastAsia="黑体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黑体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测量值</w:t>
            </w:r>
          </w:p>
          <w:p w14:paraId="170C99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eastAsia="黑体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(</w:t>
            </w:r>
            <w:r>
              <w:rPr>
                <w:rFonts w:hint="eastAsia" w:ascii="Times New Roman" w:hAnsi="Times New Roman" w:eastAsia="黑体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°</w:t>
            </w:r>
            <w:r>
              <w:rPr>
                <w:rFonts w:hint="default" w:ascii="Times New Roman" w:hAnsi="Times New Roman" w:eastAsia="黑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929" w:type="pct"/>
            <w:vAlign w:val="center"/>
          </w:tcPr>
          <w:p w14:paraId="1ACD54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eastAsia="黑体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黑体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相位误差</w:t>
            </w:r>
          </w:p>
          <w:p w14:paraId="26B316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eastAsia="黑体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黑体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(°)</w:t>
            </w:r>
          </w:p>
        </w:tc>
        <w:tc>
          <w:tcPr>
            <w:tcW w:w="929" w:type="pct"/>
            <w:vAlign w:val="center"/>
          </w:tcPr>
          <w:p w14:paraId="161DF5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eastAsia="黑体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黑体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测量不确定度(</w:t>
            </w:r>
            <w:r>
              <w:rPr>
                <w:rFonts w:hint="eastAsia" w:eastAsia="黑体" w:cs="Times New Roman"/>
                <w:i/>
                <w:iCs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k</w:t>
            </w:r>
            <w:r>
              <w:rPr>
                <w:rFonts w:hint="eastAsia" w:eastAsia="黑体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=2) (°)</w:t>
            </w:r>
          </w:p>
        </w:tc>
      </w:tr>
      <w:tr w14:paraId="34B1BC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52" w:type="pct"/>
            <w:vAlign w:val="center"/>
          </w:tcPr>
          <w:p w14:paraId="45DC9B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9" w:type="pct"/>
            <w:shd w:val="clear" w:color="auto" w:fill="auto"/>
            <w:vAlign w:val="center"/>
          </w:tcPr>
          <w:p w14:paraId="0646BD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9" w:type="pct"/>
            <w:shd w:val="clear" w:color="auto" w:fill="auto"/>
            <w:vAlign w:val="center"/>
          </w:tcPr>
          <w:p w14:paraId="616C7F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9" w:type="pct"/>
            <w:shd w:val="clear" w:color="auto" w:fill="auto"/>
            <w:vAlign w:val="center"/>
          </w:tcPr>
          <w:p w14:paraId="72ED2E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9" w:type="pct"/>
            <w:shd w:val="clear" w:color="auto" w:fill="auto"/>
            <w:vAlign w:val="center"/>
          </w:tcPr>
          <w:p w14:paraId="10A1FB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9" w:type="pct"/>
            <w:shd w:val="clear" w:color="auto" w:fill="auto"/>
            <w:vAlign w:val="center"/>
          </w:tcPr>
          <w:p w14:paraId="39B68D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56EB3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52" w:type="pct"/>
            <w:shd w:val="clear" w:color="auto" w:fill="auto"/>
            <w:vAlign w:val="center"/>
          </w:tcPr>
          <w:p w14:paraId="43912B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9" w:type="pct"/>
            <w:shd w:val="clear" w:color="auto" w:fill="auto"/>
            <w:vAlign w:val="center"/>
          </w:tcPr>
          <w:p w14:paraId="615352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9" w:type="pct"/>
            <w:shd w:val="clear" w:color="auto" w:fill="auto"/>
            <w:vAlign w:val="center"/>
          </w:tcPr>
          <w:p w14:paraId="181E4F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9" w:type="pct"/>
            <w:shd w:val="clear" w:color="auto" w:fill="auto"/>
            <w:vAlign w:val="center"/>
          </w:tcPr>
          <w:p w14:paraId="08DEE3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9" w:type="pct"/>
            <w:shd w:val="clear" w:color="auto" w:fill="auto"/>
            <w:vAlign w:val="center"/>
          </w:tcPr>
          <w:p w14:paraId="43EE5B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9" w:type="pct"/>
            <w:shd w:val="clear" w:color="auto" w:fill="auto"/>
            <w:vAlign w:val="center"/>
          </w:tcPr>
          <w:p w14:paraId="48D55B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79785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52" w:type="pct"/>
            <w:shd w:val="clear" w:color="auto" w:fill="auto"/>
            <w:vAlign w:val="center"/>
          </w:tcPr>
          <w:p w14:paraId="32C069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9" w:type="pct"/>
            <w:shd w:val="clear" w:color="auto" w:fill="auto"/>
            <w:vAlign w:val="center"/>
          </w:tcPr>
          <w:p w14:paraId="34CC4E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9" w:type="pct"/>
            <w:shd w:val="clear" w:color="auto" w:fill="auto"/>
            <w:vAlign w:val="center"/>
          </w:tcPr>
          <w:p w14:paraId="53B2D7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9" w:type="pct"/>
            <w:shd w:val="clear" w:color="auto" w:fill="auto"/>
            <w:vAlign w:val="center"/>
          </w:tcPr>
          <w:p w14:paraId="723A27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9" w:type="pct"/>
            <w:shd w:val="clear" w:color="auto" w:fill="auto"/>
            <w:vAlign w:val="center"/>
          </w:tcPr>
          <w:p w14:paraId="4427C5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9" w:type="pct"/>
            <w:shd w:val="clear" w:color="auto" w:fill="auto"/>
            <w:vAlign w:val="center"/>
          </w:tcPr>
          <w:p w14:paraId="34043D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E318B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52" w:type="pct"/>
            <w:shd w:val="clear" w:color="auto" w:fill="auto"/>
            <w:vAlign w:val="center"/>
          </w:tcPr>
          <w:p w14:paraId="1293D4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9" w:type="pct"/>
            <w:shd w:val="clear" w:color="auto" w:fill="auto"/>
            <w:vAlign w:val="center"/>
          </w:tcPr>
          <w:p w14:paraId="7AB242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9" w:type="pct"/>
            <w:shd w:val="clear" w:color="auto" w:fill="auto"/>
            <w:vAlign w:val="center"/>
          </w:tcPr>
          <w:p w14:paraId="25FEC4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9" w:type="pct"/>
            <w:shd w:val="clear" w:color="auto" w:fill="auto"/>
            <w:vAlign w:val="center"/>
          </w:tcPr>
          <w:p w14:paraId="7AAF79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9" w:type="pct"/>
            <w:shd w:val="clear" w:color="auto" w:fill="auto"/>
            <w:vAlign w:val="center"/>
          </w:tcPr>
          <w:p w14:paraId="1AE7D9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9" w:type="pct"/>
            <w:shd w:val="clear" w:color="auto" w:fill="auto"/>
            <w:vAlign w:val="center"/>
          </w:tcPr>
          <w:p w14:paraId="28F12E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8FF49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52" w:type="pct"/>
            <w:shd w:val="clear" w:color="auto" w:fill="auto"/>
            <w:vAlign w:val="center"/>
          </w:tcPr>
          <w:p w14:paraId="4A3C47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9" w:type="pct"/>
            <w:shd w:val="clear" w:color="auto" w:fill="auto"/>
            <w:vAlign w:val="center"/>
          </w:tcPr>
          <w:p w14:paraId="59FD27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9" w:type="pct"/>
            <w:shd w:val="clear" w:color="auto" w:fill="auto"/>
            <w:vAlign w:val="center"/>
          </w:tcPr>
          <w:p w14:paraId="038199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9" w:type="pct"/>
            <w:shd w:val="clear" w:color="auto" w:fill="auto"/>
            <w:vAlign w:val="center"/>
          </w:tcPr>
          <w:p w14:paraId="5F559F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9" w:type="pct"/>
            <w:shd w:val="clear" w:color="auto" w:fill="auto"/>
            <w:vAlign w:val="center"/>
          </w:tcPr>
          <w:p w14:paraId="6231F2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9" w:type="pct"/>
            <w:shd w:val="clear" w:color="auto" w:fill="auto"/>
            <w:vAlign w:val="center"/>
          </w:tcPr>
          <w:p w14:paraId="445B6F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4154C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52" w:type="pct"/>
            <w:shd w:val="clear" w:color="auto" w:fill="auto"/>
            <w:vAlign w:val="center"/>
          </w:tcPr>
          <w:p w14:paraId="381A58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9" w:type="pct"/>
            <w:shd w:val="clear" w:color="auto" w:fill="auto"/>
            <w:vAlign w:val="center"/>
          </w:tcPr>
          <w:p w14:paraId="1EBB43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9" w:type="pct"/>
            <w:shd w:val="clear" w:color="auto" w:fill="auto"/>
            <w:vAlign w:val="center"/>
          </w:tcPr>
          <w:p w14:paraId="740936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9" w:type="pct"/>
            <w:shd w:val="clear" w:color="auto" w:fill="auto"/>
            <w:vAlign w:val="center"/>
          </w:tcPr>
          <w:p w14:paraId="50BA1F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9" w:type="pct"/>
            <w:shd w:val="clear" w:color="auto" w:fill="auto"/>
            <w:vAlign w:val="center"/>
          </w:tcPr>
          <w:p w14:paraId="6CAD7C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9" w:type="pct"/>
            <w:shd w:val="clear" w:color="auto" w:fill="auto"/>
            <w:vAlign w:val="center"/>
          </w:tcPr>
          <w:p w14:paraId="60D07A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5EB55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52" w:type="pct"/>
            <w:shd w:val="clear" w:color="auto" w:fill="auto"/>
            <w:vAlign w:val="center"/>
          </w:tcPr>
          <w:p w14:paraId="723BC7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9" w:type="pct"/>
            <w:shd w:val="clear" w:color="auto" w:fill="auto"/>
            <w:vAlign w:val="center"/>
          </w:tcPr>
          <w:p w14:paraId="68D291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9" w:type="pct"/>
            <w:shd w:val="clear" w:color="auto" w:fill="auto"/>
            <w:vAlign w:val="center"/>
          </w:tcPr>
          <w:p w14:paraId="7144BA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9" w:type="pct"/>
            <w:shd w:val="clear" w:color="auto" w:fill="auto"/>
            <w:vAlign w:val="center"/>
          </w:tcPr>
          <w:p w14:paraId="48677B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9" w:type="pct"/>
            <w:shd w:val="clear" w:color="auto" w:fill="auto"/>
            <w:vAlign w:val="center"/>
          </w:tcPr>
          <w:p w14:paraId="189766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9" w:type="pct"/>
            <w:shd w:val="clear" w:color="auto" w:fill="auto"/>
            <w:vAlign w:val="center"/>
          </w:tcPr>
          <w:p w14:paraId="1B3E91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69CB4ADA">
      <w:pPr>
        <w:spacing w:line="360" w:lineRule="auto"/>
        <w:ind w:firstLine="0"/>
        <w:jc w:val="both"/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>3、低频振动传感器的校准结果</w:t>
      </w:r>
    </w:p>
    <w:p w14:paraId="25BA9A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jc w:val="center"/>
        <w:textAlignment w:val="auto"/>
        <w:rPr>
          <w:rFonts w:hint="default" w:ascii="Times New Roman" w:hAnsi="Times New Roman" w:eastAsia="黑体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黑体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表</w:t>
      </w:r>
      <w:r>
        <w:rPr>
          <w:rFonts w:hint="eastAsia" w:eastAsia="黑体" w:cs="Times New Roman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A.5</w:t>
      </w:r>
      <w:r>
        <w:rPr>
          <w:rFonts w:hint="default" w:ascii="Times New Roman" w:hAnsi="Times New Roman" w:eastAsia="黑体" w:cs="Times New Roman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eastAsia="黑体" w:cs="Times New Roman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灵敏度</w:t>
      </w:r>
      <w:r>
        <w:rPr>
          <w:rFonts w:hint="default" w:ascii="Times New Roman" w:hAnsi="Times New Roman" w:eastAsia="黑体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幅值测量结果</w:t>
      </w:r>
    </w:p>
    <w:tbl>
      <w:tblPr>
        <w:tblStyle w:val="18"/>
        <w:tblW w:w="39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6"/>
        <w:gridCol w:w="1755"/>
        <w:gridCol w:w="1755"/>
        <w:gridCol w:w="1755"/>
        <w:gridCol w:w="1756"/>
      </w:tblGrid>
      <w:tr w14:paraId="5AD759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433" w:type="pct"/>
            <w:shd w:val="clear" w:color="auto" w:fill="auto"/>
            <w:vAlign w:val="center"/>
          </w:tcPr>
          <w:p w14:paraId="10EE7B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序</w:t>
            </w:r>
          </w:p>
          <w:p w14:paraId="6EDD15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号</w:t>
            </w:r>
          </w:p>
        </w:tc>
        <w:tc>
          <w:tcPr>
            <w:tcW w:w="1141" w:type="pct"/>
            <w:shd w:val="clear" w:color="auto" w:fill="auto"/>
            <w:vAlign w:val="center"/>
          </w:tcPr>
          <w:p w14:paraId="66DB27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频率</w:t>
            </w:r>
          </w:p>
          <w:p w14:paraId="69D539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(Hz)</w:t>
            </w:r>
          </w:p>
        </w:tc>
        <w:tc>
          <w:tcPr>
            <w:tcW w:w="1141" w:type="pct"/>
            <w:shd w:val="clear" w:color="auto" w:fill="auto"/>
            <w:vAlign w:val="center"/>
          </w:tcPr>
          <w:p w14:paraId="518C65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黑体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振动幅值</w:t>
            </w:r>
          </w:p>
          <w:p w14:paraId="495160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sz w:val="21"/>
                <w:szCs w:val="21"/>
              </w:rPr>
              <w:t>(m</w:t>
            </w:r>
            <w:r>
              <w:rPr>
                <w:sz w:val="21"/>
                <w:szCs w:val="21"/>
              </w:rPr>
              <w:sym w:font="Symbol" w:char="F0D7"/>
            </w:r>
            <w:r>
              <w:rPr>
                <w:sz w:val="21"/>
                <w:szCs w:val="21"/>
              </w:rPr>
              <w:t>s</w:t>
            </w:r>
            <w:r>
              <w:rPr>
                <w:sz w:val="21"/>
                <w:szCs w:val="21"/>
                <w:vertAlign w:val="superscript"/>
              </w:rPr>
              <w:t>2</w:t>
            </w:r>
            <w:r>
              <w:rPr>
                <w:sz w:val="21"/>
                <w:szCs w:val="21"/>
              </w:rPr>
              <w:t>)</w:t>
            </w:r>
          </w:p>
        </w:tc>
        <w:tc>
          <w:tcPr>
            <w:tcW w:w="1141" w:type="pct"/>
            <w:vAlign w:val="center"/>
          </w:tcPr>
          <w:p w14:paraId="29F917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eastAsia="黑体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黑体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灵敏度幅值</w:t>
            </w:r>
          </w:p>
          <w:p w14:paraId="793CEB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eastAsia="黑体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sz w:val="21"/>
                <w:szCs w:val="21"/>
              </w:rPr>
              <w:t>[mV/(m</w:t>
            </w:r>
            <w:r>
              <w:rPr>
                <w:sz w:val="21"/>
                <w:szCs w:val="21"/>
              </w:rPr>
              <w:sym w:font="Symbol" w:char="F0D7"/>
            </w:r>
            <w:r>
              <w:rPr>
                <w:sz w:val="21"/>
                <w:szCs w:val="21"/>
              </w:rPr>
              <w:t>s</w:t>
            </w:r>
            <w:r>
              <w:rPr>
                <w:sz w:val="21"/>
                <w:szCs w:val="21"/>
                <w:vertAlign w:val="superscript"/>
              </w:rPr>
              <w:t>2</w:t>
            </w:r>
            <w:r>
              <w:rPr>
                <w:sz w:val="21"/>
                <w:szCs w:val="21"/>
              </w:rPr>
              <w:t>)]</w:t>
            </w:r>
          </w:p>
        </w:tc>
        <w:tc>
          <w:tcPr>
            <w:tcW w:w="1142" w:type="pct"/>
            <w:vAlign w:val="center"/>
          </w:tcPr>
          <w:p w14:paraId="1D2694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eastAsia="黑体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黑体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测量不确定度(</w:t>
            </w:r>
            <w:r>
              <w:rPr>
                <w:rFonts w:hint="eastAsia" w:eastAsia="黑体" w:cs="Times New Roman"/>
                <w:i/>
                <w:iCs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k</w:t>
            </w:r>
            <w:r>
              <w:rPr>
                <w:rFonts w:hint="eastAsia" w:eastAsia="黑体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=2) (%)</w:t>
            </w:r>
          </w:p>
        </w:tc>
      </w:tr>
      <w:tr w14:paraId="068F6C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433" w:type="pct"/>
            <w:vAlign w:val="center"/>
          </w:tcPr>
          <w:p w14:paraId="44C752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41" w:type="pct"/>
            <w:shd w:val="clear" w:color="auto" w:fill="auto"/>
            <w:vAlign w:val="center"/>
          </w:tcPr>
          <w:p w14:paraId="51FC5D8D">
            <w:pPr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宋体" w:cstheme="minorBidi"/>
                <w:bCs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41" w:type="pct"/>
            <w:shd w:val="clear" w:color="auto" w:fill="auto"/>
            <w:vAlign w:val="center"/>
          </w:tcPr>
          <w:p w14:paraId="240C7457">
            <w:pPr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theme="minorBidi"/>
                <w:bCs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41" w:type="pct"/>
            <w:shd w:val="clear" w:color="auto" w:fill="auto"/>
            <w:vAlign w:val="center"/>
          </w:tcPr>
          <w:p w14:paraId="063F9126">
            <w:pPr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theme="minorBidi"/>
                <w:bCs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42" w:type="pct"/>
            <w:shd w:val="clear" w:color="auto" w:fill="auto"/>
            <w:vAlign w:val="center"/>
          </w:tcPr>
          <w:p w14:paraId="4C7E9F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8D82A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433" w:type="pct"/>
            <w:shd w:val="clear" w:color="auto" w:fill="auto"/>
            <w:vAlign w:val="center"/>
          </w:tcPr>
          <w:p w14:paraId="24EA61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41" w:type="pct"/>
            <w:shd w:val="clear" w:color="auto" w:fill="auto"/>
            <w:vAlign w:val="center"/>
          </w:tcPr>
          <w:p w14:paraId="62D6BA0D">
            <w:pPr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宋体" w:cstheme="minorBidi"/>
                <w:bCs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41" w:type="pct"/>
            <w:shd w:val="clear" w:color="auto" w:fill="auto"/>
            <w:vAlign w:val="center"/>
          </w:tcPr>
          <w:p w14:paraId="692D98E8">
            <w:pPr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theme="minorBidi"/>
                <w:bCs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41" w:type="pct"/>
            <w:shd w:val="clear" w:color="auto" w:fill="auto"/>
            <w:vAlign w:val="center"/>
          </w:tcPr>
          <w:p w14:paraId="27DFE208">
            <w:pPr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theme="minorBidi"/>
                <w:bCs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42" w:type="pct"/>
            <w:shd w:val="clear" w:color="auto" w:fill="auto"/>
            <w:vAlign w:val="center"/>
          </w:tcPr>
          <w:p w14:paraId="5E1D86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1E125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433" w:type="pct"/>
            <w:shd w:val="clear" w:color="auto" w:fill="auto"/>
            <w:vAlign w:val="center"/>
          </w:tcPr>
          <w:p w14:paraId="7EF96D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41" w:type="pct"/>
            <w:shd w:val="clear" w:color="auto" w:fill="auto"/>
            <w:vAlign w:val="center"/>
          </w:tcPr>
          <w:p w14:paraId="3772514F">
            <w:pPr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宋体" w:cstheme="minorBidi"/>
                <w:bCs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41" w:type="pct"/>
            <w:shd w:val="clear" w:color="auto" w:fill="auto"/>
            <w:vAlign w:val="center"/>
          </w:tcPr>
          <w:p w14:paraId="1AB44893">
            <w:pPr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theme="minorBidi"/>
                <w:bCs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41" w:type="pct"/>
            <w:shd w:val="clear" w:color="auto" w:fill="auto"/>
            <w:vAlign w:val="center"/>
          </w:tcPr>
          <w:p w14:paraId="3708BB92">
            <w:pPr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theme="minorBidi"/>
                <w:bCs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42" w:type="pct"/>
            <w:shd w:val="clear" w:color="auto" w:fill="auto"/>
            <w:vAlign w:val="center"/>
          </w:tcPr>
          <w:p w14:paraId="276210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EA6C8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433" w:type="pct"/>
            <w:shd w:val="clear" w:color="auto" w:fill="auto"/>
            <w:vAlign w:val="center"/>
          </w:tcPr>
          <w:p w14:paraId="290981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bCs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41" w:type="pct"/>
            <w:shd w:val="clear" w:color="auto" w:fill="auto"/>
            <w:vAlign w:val="center"/>
          </w:tcPr>
          <w:p w14:paraId="26ED4AD2">
            <w:pPr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theme="minorBidi"/>
                <w:bCs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41" w:type="pct"/>
            <w:shd w:val="clear" w:color="auto" w:fill="auto"/>
            <w:vAlign w:val="center"/>
          </w:tcPr>
          <w:p w14:paraId="4380DCE3">
            <w:pPr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theme="minorBidi"/>
                <w:bCs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41" w:type="pct"/>
            <w:shd w:val="clear" w:color="auto" w:fill="auto"/>
            <w:vAlign w:val="center"/>
          </w:tcPr>
          <w:p w14:paraId="35BA8F36">
            <w:pPr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theme="minorBidi"/>
                <w:bCs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42" w:type="pct"/>
            <w:shd w:val="clear" w:color="auto" w:fill="auto"/>
            <w:vAlign w:val="center"/>
          </w:tcPr>
          <w:p w14:paraId="712638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3AE0E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433" w:type="pct"/>
            <w:vAlign w:val="center"/>
          </w:tcPr>
          <w:p w14:paraId="1AB1EB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cs="Times New Roman"/>
                <w:bCs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41" w:type="pct"/>
            <w:shd w:val="clear" w:color="auto" w:fill="auto"/>
            <w:vAlign w:val="center"/>
          </w:tcPr>
          <w:p w14:paraId="0AECFAA1">
            <w:pPr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theme="minorBidi"/>
                <w:bCs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41" w:type="pct"/>
            <w:shd w:val="clear" w:color="auto" w:fill="auto"/>
            <w:vAlign w:val="center"/>
          </w:tcPr>
          <w:p w14:paraId="77F9279A">
            <w:pPr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theme="minorBidi"/>
                <w:bCs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41" w:type="pct"/>
            <w:shd w:val="clear" w:color="auto" w:fill="auto"/>
            <w:vAlign w:val="center"/>
          </w:tcPr>
          <w:p w14:paraId="34F57BB3">
            <w:pPr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theme="minorBidi"/>
                <w:bCs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42" w:type="pct"/>
            <w:vAlign w:val="center"/>
          </w:tcPr>
          <w:p w14:paraId="69599F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1B6B7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433" w:type="pct"/>
            <w:vAlign w:val="center"/>
          </w:tcPr>
          <w:p w14:paraId="61B477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cs="Times New Roman"/>
                <w:bCs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41" w:type="pct"/>
            <w:shd w:val="clear" w:color="auto" w:fill="auto"/>
            <w:vAlign w:val="center"/>
          </w:tcPr>
          <w:p w14:paraId="22433914">
            <w:pPr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theme="minorBidi"/>
                <w:bCs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41" w:type="pct"/>
            <w:shd w:val="clear" w:color="auto" w:fill="auto"/>
            <w:vAlign w:val="center"/>
          </w:tcPr>
          <w:p w14:paraId="6CA24395">
            <w:pPr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theme="minorBidi"/>
                <w:bCs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41" w:type="pct"/>
            <w:shd w:val="clear" w:color="auto" w:fill="auto"/>
            <w:vAlign w:val="center"/>
          </w:tcPr>
          <w:p w14:paraId="24E89C70">
            <w:pPr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theme="minorBidi"/>
                <w:bCs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42" w:type="pct"/>
            <w:vAlign w:val="center"/>
          </w:tcPr>
          <w:p w14:paraId="285642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F1E88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433" w:type="pct"/>
            <w:vAlign w:val="center"/>
          </w:tcPr>
          <w:p w14:paraId="3CDA03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cs="Times New Roman"/>
                <w:bCs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41" w:type="pct"/>
            <w:shd w:val="clear" w:color="auto" w:fill="auto"/>
            <w:vAlign w:val="center"/>
          </w:tcPr>
          <w:p w14:paraId="522496EB">
            <w:pPr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theme="minorBidi"/>
                <w:bCs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41" w:type="pct"/>
            <w:shd w:val="clear" w:color="auto" w:fill="auto"/>
            <w:vAlign w:val="center"/>
          </w:tcPr>
          <w:p w14:paraId="0586840E">
            <w:pPr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theme="minorBidi"/>
                <w:bCs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41" w:type="pct"/>
            <w:shd w:val="clear" w:color="auto" w:fill="auto"/>
            <w:vAlign w:val="center"/>
          </w:tcPr>
          <w:p w14:paraId="56F20619">
            <w:pPr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theme="minorBidi"/>
                <w:bCs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42" w:type="pct"/>
            <w:vAlign w:val="center"/>
          </w:tcPr>
          <w:p w14:paraId="21A257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7B01AC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jc w:val="center"/>
        <w:textAlignment w:val="auto"/>
        <w:rPr>
          <w:rFonts w:hint="default" w:ascii="Times New Roman" w:hAnsi="Times New Roman" w:eastAsia="黑体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黑体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表</w:t>
      </w:r>
      <w:r>
        <w:rPr>
          <w:rFonts w:hint="eastAsia" w:eastAsia="黑体" w:cs="Times New Roman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A.6</w:t>
      </w:r>
      <w:r>
        <w:rPr>
          <w:rFonts w:hint="default" w:ascii="Times New Roman" w:hAnsi="Times New Roman" w:eastAsia="黑体" w:cs="Times New Roman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eastAsia="黑体" w:cs="Times New Roman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相位</w:t>
      </w:r>
      <w:r>
        <w:rPr>
          <w:rFonts w:hint="default" w:ascii="Times New Roman" w:hAnsi="Times New Roman" w:eastAsia="黑体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测量结果</w:t>
      </w:r>
    </w:p>
    <w:tbl>
      <w:tblPr>
        <w:tblStyle w:val="18"/>
        <w:tblW w:w="39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6"/>
        <w:gridCol w:w="1755"/>
        <w:gridCol w:w="1755"/>
        <w:gridCol w:w="1755"/>
        <w:gridCol w:w="1756"/>
      </w:tblGrid>
      <w:tr w14:paraId="0DB5BB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433" w:type="pct"/>
            <w:shd w:val="clear" w:color="auto" w:fill="auto"/>
            <w:vAlign w:val="center"/>
          </w:tcPr>
          <w:p w14:paraId="1680EB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序</w:t>
            </w:r>
          </w:p>
          <w:p w14:paraId="4B7FEA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号</w:t>
            </w:r>
          </w:p>
        </w:tc>
        <w:tc>
          <w:tcPr>
            <w:tcW w:w="1141" w:type="pct"/>
            <w:shd w:val="clear" w:color="auto" w:fill="auto"/>
            <w:vAlign w:val="center"/>
          </w:tcPr>
          <w:p w14:paraId="33F2FC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频率</w:t>
            </w:r>
          </w:p>
          <w:p w14:paraId="787330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(Hz)</w:t>
            </w:r>
          </w:p>
        </w:tc>
        <w:tc>
          <w:tcPr>
            <w:tcW w:w="1141" w:type="pct"/>
            <w:shd w:val="clear" w:color="auto" w:fill="auto"/>
            <w:vAlign w:val="center"/>
          </w:tcPr>
          <w:p w14:paraId="35840A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黑体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振动幅值</w:t>
            </w:r>
          </w:p>
          <w:p w14:paraId="499FFE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sz w:val="21"/>
                <w:szCs w:val="21"/>
              </w:rPr>
              <w:t>(m</w:t>
            </w:r>
            <w:r>
              <w:rPr>
                <w:sz w:val="21"/>
                <w:szCs w:val="21"/>
              </w:rPr>
              <w:sym w:font="Symbol" w:char="F0D7"/>
            </w:r>
            <w:r>
              <w:rPr>
                <w:sz w:val="21"/>
                <w:szCs w:val="21"/>
              </w:rPr>
              <w:t>s</w:t>
            </w:r>
            <w:r>
              <w:rPr>
                <w:sz w:val="21"/>
                <w:szCs w:val="21"/>
                <w:vertAlign w:val="superscript"/>
              </w:rPr>
              <w:t>2</w:t>
            </w:r>
            <w:r>
              <w:rPr>
                <w:sz w:val="21"/>
                <w:szCs w:val="21"/>
              </w:rPr>
              <w:t>)</w:t>
            </w:r>
          </w:p>
        </w:tc>
        <w:tc>
          <w:tcPr>
            <w:tcW w:w="1141" w:type="pct"/>
            <w:vAlign w:val="center"/>
          </w:tcPr>
          <w:p w14:paraId="220B6D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eastAsia="黑体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黑体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灵敏度相位</w:t>
            </w:r>
          </w:p>
          <w:p w14:paraId="737649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eastAsia="黑体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(</w:t>
            </w:r>
            <w:r>
              <w:rPr>
                <w:rFonts w:hint="eastAsia" w:ascii="Times New Roman" w:hAnsi="Times New Roman" w:eastAsia="黑体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°</w:t>
            </w:r>
            <w:r>
              <w:rPr>
                <w:rFonts w:hint="default" w:ascii="Times New Roman" w:hAnsi="Times New Roman" w:eastAsia="黑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1142" w:type="pct"/>
            <w:vAlign w:val="center"/>
          </w:tcPr>
          <w:p w14:paraId="5A9416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eastAsia="黑体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黑体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测量不确定度(</w:t>
            </w:r>
            <w:r>
              <w:rPr>
                <w:rFonts w:hint="eastAsia" w:eastAsia="黑体" w:cs="Times New Roman"/>
                <w:i/>
                <w:iCs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k</w:t>
            </w:r>
            <w:r>
              <w:rPr>
                <w:rFonts w:hint="eastAsia" w:eastAsia="黑体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=2) (°)</w:t>
            </w:r>
          </w:p>
        </w:tc>
      </w:tr>
      <w:tr w14:paraId="410BF7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433" w:type="pct"/>
            <w:vAlign w:val="center"/>
          </w:tcPr>
          <w:p w14:paraId="23935F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41" w:type="pct"/>
            <w:shd w:val="clear" w:color="auto" w:fill="auto"/>
            <w:vAlign w:val="center"/>
          </w:tcPr>
          <w:p w14:paraId="63DDFF51">
            <w:pPr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宋体" w:cstheme="minorBidi"/>
                <w:bCs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41" w:type="pct"/>
            <w:shd w:val="clear" w:color="auto" w:fill="auto"/>
            <w:vAlign w:val="center"/>
          </w:tcPr>
          <w:p w14:paraId="731AB435">
            <w:pPr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theme="minorBidi"/>
                <w:bCs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41" w:type="pct"/>
            <w:shd w:val="clear" w:color="auto" w:fill="auto"/>
            <w:vAlign w:val="center"/>
          </w:tcPr>
          <w:p w14:paraId="583A132B">
            <w:pPr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theme="minorBidi"/>
                <w:bCs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42" w:type="pct"/>
            <w:shd w:val="clear" w:color="auto" w:fill="auto"/>
            <w:vAlign w:val="center"/>
          </w:tcPr>
          <w:p w14:paraId="49AF2B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1F40A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433" w:type="pct"/>
            <w:shd w:val="clear" w:color="auto" w:fill="auto"/>
            <w:vAlign w:val="center"/>
          </w:tcPr>
          <w:p w14:paraId="53E592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41" w:type="pct"/>
            <w:shd w:val="clear" w:color="auto" w:fill="auto"/>
            <w:vAlign w:val="center"/>
          </w:tcPr>
          <w:p w14:paraId="6CFC9DB9">
            <w:pPr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theme="minorBidi"/>
                <w:bCs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41" w:type="pct"/>
            <w:shd w:val="clear" w:color="auto" w:fill="auto"/>
            <w:vAlign w:val="center"/>
          </w:tcPr>
          <w:p w14:paraId="37A44629">
            <w:pPr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theme="minorBidi"/>
                <w:bCs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41" w:type="pct"/>
            <w:shd w:val="clear" w:color="auto" w:fill="auto"/>
            <w:vAlign w:val="center"/>
          </w:tcPr>
          <w:p w14:paraId="31269822">
            <w:pPr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theme="minorBidi"/>
                <w:bCs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42" w:type="pct"/>
            <w:shd w:val="clear" w:color="auto" w:fill="auto"/>
            <w:vAlign w:val="center"/>
          </w:tcPr>
          <w:p w14:paraId="6636C8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65B96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433" w:type="pct"/>
            <w:shd w:val="clear" w:color="auto" w:fill="auto"/>
            <w:vAlign w:val="center"/>
          </w:tcPr>
          <w:p w14:paraId="6CC4C1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41" w:type="pct"/>
            <w:shd w:val="clear" w:color="auto" w:fill="auto"/>
            <w:vAlign w:val="center"/>
          </w:tcPr>
          <w:p w14:paraId="43909FDA">
            <w:pPr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theme="minorBidi"/>
                <w:bCs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41" w:type="pct"/>
            <w:shd w:val="clear" w:color="auto" w:fill="auto"/>
            <w:vAlign w:val="center"/>
          </w:tcPr>
          <w:p w14:paraId="35770D82">
            <w:pPr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theme="minorBidi"/>
                <w:bCs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41" w:type="pct"/>
            <w:shd w:val="clear" w:color="auto" w:fill="auto"/>
            <w:vAlign w:val="center"/>
          </w:tcPr>
          <w:p w14:paraId="70478321">
            <w:pPr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theme="minorBidi"/>
                <w:bCs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42" w:type="pct"/>
            <w:shd w:val="clear" w:color="auto" w:fill="auto"/>
            <w:vAlign w:val="center"/>
          </w:tcPr>
          <w:p w14:paraId="581604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263DF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433" w:type="pct"/>
            <w:shd w:val="clear" w:color="auto" w:fill="auto"/>
            <w:vAlign w:val="center"/>
          </w:tcPr>
          <w:p w14:paraId="76E099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bCs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41" w:type="pct"/>
            <w:shd w:val="clear" w:color="auto" w:fill="auto"/>
            <w:vAlign w:val="center"/>
          </w:tcPr>
          <w:p w14:paraId="0C3FC9DE">
            <w:pPr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theme="minorBidi"/>
                <w:bCs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41" w:type="pct"/>
            <w:shd w:val="clear" w:color="auto" w:fill="auto"/>
            <w:vAlign w:val="center"/>
          </w:tcPr>
          <w:p w14:paraId="090D7662">
            <w:pPr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theme="minorBidi"/>
                <w:bCs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41" w:type="pct"/>
            <w:shd w:val="clear" w:color="auto" w:fill="auto"/>
            <w:vAlign w:val="center"/>
          </w:tcPr>
          <w:p w14:paraId="116E2F71">
            <w:pPr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theme="minorBidi"/>
                <w:bCs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42" w:type="pct"/>
            <w:shd w:val="clear" w:color="auto" w:fill="auto"/>
            <w:vAlign w:val="center"/>
          </w:tcPr>
          <w:p w14:paraId="039329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E6B1F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433" w:type="pct"/>
            <w:shd w:val="clear" w:color="auto" w:fill="auto"/>
            <w:vAlign w:val="center"/>
          </w:tcPr>
          <w:p w14:paraId="68EBE1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bCs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41" w:type="pct"/>
            <w:shd w:val="clear" w:color="auto" w:fill="auto"/>
            <w:vAlign w:val="center"/>
          </w:tcPr>
          <w:p w14:paraId="3023AD29">
            <w:pPr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theme="minorBidi"/>
                <w:bCs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41" w:type="pct"/>
            <w:shd w:val="clear" w:color="auto" w:fill="auto"/>
            <w:vAlign w:val="center"/>
          </w:tcPr>
          <w:p w14:paraId="689B8173">
            <w:pPr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theme="minorBidi"/>
                <w:bCs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41" w:type="pct"/>
            <w:shd w:val="clear" w:color="auto" w:fill="auto"/>
            <w:vAlign w:val="center"/>
          </w:tcPr>
          <w:p w14:paraId="57E6603C">
            <w:pPr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theme="minorBidi"/>
                <w:bCs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42" w:type="pct"/>
            <w:shd w:val="clear" w:color="auto" w:fill="auto"/>
            <w:vAlign w:val="center"/>
          </w:tcPr>
          <w:p w14:paraId="013D17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B7689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433" w:type="pct"/>
            <w:shd w:val="clear" w:color="auto" w:fill="auto"/>
            <w:vAlign w:val="center"/>
          </w:tcPr>
          <w:p w14:paraId="35ECE4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bCs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41" w:type="pct"/>
            <w:shd w:val="clear" w:color="auto" w:fill="auto"/>
            <w:vAlign w:val="center"/>
          </w:tcPr>
          <w:p w14:paraId="38A57510">
            <w:pPr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theme="minorBidi"/>
                <w:bCs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41" w:type="pct"/>
            <w:shd w:val="clear" w:color="auto" w:fill="auto"/>
            <w:vAlign w:val="center"/>
          </w:tcPr>
          <w:p w14:paraId="7F697FCA">
            <w:pPr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theme="minorBidi"/>
                <w:bCs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41" w:type="pct"/>
            <w:shd w:val="clear" w:color="auto" w:fill="auto"/>
            <w:vAlign w:val="center"/>
          </w:tcPr>
          <w:p w14:paraId="21D116C7">
            <w:pPr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theme="minorBidi"/>
                <w:bCs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42" w:type="pct"/>
            <w:shd w:val="clear" w:color="auto" w:fill="auto"/>
            <w:vAlign w:val="center"/>
          </w:tcPr>
          <w:p w14:paraId="423AC6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49EFB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433" w:type="pct"/>
            <w:shd w:val="clear" w:color="auto" w:fill="auto"/>
            <w:vAlign w:val="center"/>
          </w:tcPr>
          <w:p w14:paraId="54822E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bCs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41" w:type="pct"/>
            <w:shd w:val="clear" w:color="auto" w:fill="auto"/>
            <w:vAlign w:val="center"/>
          </w:tcPr>
          <w:p w14:paraId="12311BAD">
            <w:pPr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theme="minorBidi"/>
                <w:bCs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41" w:type="pct"/>
            <w:shd w:val="clear" w:color="auto" w:fill="auto"/>
            <w:vAlign w:val="center"/>
          </w:tcPr>
          <w:p w14:paraId="492D703B">
            <w:pPr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theme="minorBidi"/>
                <w:bCs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41" w:type="pct"/>
            <w:shd w:val="clear" w:color="auto" w:fill="auto"/>
            <w:vAlign w:val="center"/>
          </w:tcPr>
          <w:p w14:paraId="65862CFF">
            <w:pPr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theme="minorBidi"/>
                <w:bCs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42" w:type="pct"/>
            <w:shd w:val="clear" w:color="auto" w:fill="auto"/>
            <w:vAlign w:val="center"/>
          </w:tcPr>
          <w:p w14:paraId="75EC0D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57903196">
      <w:pPr>
        <w:spacing w:line="360" w:lineRule="auto"/>
        <w:ind w:firstLine="0"/>
        <w:jc w:val="both"/>
        <w:rPr>
          <w:rFonts w:hint="eastAsia"/>
        </w:rPr>
      </w:pPr>
      <w:r>
        <w:rPr>
          <w:rFonts w:hint="eastAsia"/>
          <w:lang w:val="en-US" w:eastAsia="zh-CN"/>
        </w:rPr>
        <w:t>4、低频振动测量系统的校准结果</w:t>
      </w:r>
    </w:p>
    <w:p w14:paraId="00C32D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jc w:val="center"/>
        <w:textAlignment w:val="auto"/>
        <w:rPr>
          <w:rFonts w:hint="default" w:ascii="Times New Roman" w:hAnsi="Times New Roman" w:eastAsia="黑体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黑体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表</w:t>
      </w:r>
      <w:r>
        <w:rPr>
          <w:rFonts w:hint="eastAsia" w:eastAsia="黑体" w:cs="Times New Roman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A.</w:t>
      </w:r>
      <w:r>
        <w:rPr>
          <w:rFonts w:hint="eastAsia" w:ascii="Times New Roman" w:hAnsi="Times New Roman" w:eastAsia="黑体" w:cs="Times New Roman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7</w:t>
      </w:r>
      <w:r>
        <w:rPr>
          <w:rFonts w:hint="default" w:ascii="Times New Roman" w:hAnsi="Times New Roman" w:eastAsia="黑体" w:cs="Times New Roman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eastAsia="黑体" w:cs="Times New Roman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振动测量仪</w:t>
      </w:r>
      <w:r>
        <w:rPr>
          <w:rFonts w:hint="default" w:ascii="Times New Roman" w:hAnsi="Times New Roman" w:eastAsia="黑体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幅值测量结果</w:t>
      </w:r>
    </w:p>
    <w:tbl>
      <w:tblPr>
        <w:tblStyle w:val="18"/>
        <w:tblW w:w="4791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6"/>
        <w:gridCol w:w="1755"/>
        <w:gridCol w:w="1755"/>
        <w:gridCol w:w="1755"/>
        <w:gridCol w:w="1755"/>
        <w:gridCol w:w="1756"/>
      </w:tblGrid>
      <w:tr w14:paraId="4C9FCB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52" w:type="pct"/>
            <w:shd w:val="clear" w:color="auto" w:fill="auto"/>
            <w:vAlign w:val="center"/>
          </w:tcPr>
          <w:p w14:paraId="564DFE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序</w:t>
            </w:r>
          </w:p>
          <w:p w14:paraId="46D876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号</w:t>
            </w:r>
          </w:p>
        </w:tc>
        <w:tc>
          <w:tcPr>
            <w:tcW w:w="929" w:type="pct"/>
            <w:shd w:val="clear" w:color="auto" w:fill="auto"/>
            <w:vAlign w:val="center"/>
          </w:tcPr>
          <w:p w14:paraId="1A4626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频率</w:t>
            </w:r>
          </w:p>
          <w:p w14:paraId="13045E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(Hz)</w:t>
            </w:r>
          </w:p>
        </w:tc>
        <w:tc>
          <w:tcPr>
            <w:tcW w:w="929" w:type="pct"/>
            <w:shd w:val="clear" w:color="auto" w:fill="auto"/>
            <w:vAlign w:val="center"/>
          </w:tcPr>
          <w:p w14:paraId="1D8A72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黑体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标准值</w:t>
            </w:r>
          </w:p>
          <w:p w14:paraId="06E8DE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sz w:val="21"/>
                <w:szCs w:val="21"/>
              </w:rPr>
              <w:t>(m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/</w:t>
            </w:r>
            <w:r>
              <w:rPr>
                <w:sz w:val="21"/>
                <w:szCs w:val="21"/>
              </w:rPr>
              <w:t>s</w:t>
            </w:r>
            <w:r>
              <w:rPr>
                <w:sz w:val="21"/>
                <w:szCs w:val="21"/>
                <w:vertAlign w:val="superscript"/>
              </w:rPr>
              <w:t>2</w:t>
            </w:r>
            <w:r>
              <w:rPr>
                <w:sz w:val="21"/>
                <w:szCs w:val="21"/>
              </w:rPr>
              <w:t>)</w:t>
            </w:r>
          </w:p>
        </w:tc>
        <w:tc>
          <w:tcPr>
            <w:tcW w:w="929" w:type="pct"/>
            <w:vAlign w:val="center"/>
          </w:tcPr>
          <w:p w14:paraId="1BD570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eastAsia="黑体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黑体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实测值</w:t>
            </w:r>
          </w:p>
          <w:p w14:paraId="252F00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eastAsia="黑体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sz w:val="21"/>
                <w:szCs w:val="21"/>
              </w:rPr>
              <w:t>(m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/</w:t>
            </w:r>
            <w:r>
              <w:rPr>
                <w:sz w:val="21"/>
                <w:szCs w:val="21"/>
              </w:rPr>
              <w:t>s</w:t>
            </w:r>
            <w:r>
              <w:rPr>
                <w:sz w:val="21"/>
                <w:szCs w:val="21"/>
                <w:vertAlign w:val="superscript"/>
              </w:rPr>
              <w:t>2</w:t>
            </w:r>
            <w:r>
              <w:rPr>
                <w:sz w:val="21"/>
                <w:szCs w:val="21"/>
              </w:rPr>
              <w:t>)</w:t>
            </w:r>
          </w:p>
        </w:tc>
        <w:tc>
          <w:tcPr>
            <w:tcW w:w="929" w:type="pct"/>
            <w:vAlign w:val="center"/>
          </w:tcPr>
          <w:p w14:paraId="45F929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eastAsia="黑体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黑体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相对误差</w:t>
            </w:r>
          </w:p>
          <w:p w14:paraId="53C4B4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eastAsia="黑体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黑体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(%)</w:t>
            </w:r>
          </w:p>
        </w:tc>
        <w:tc>
          <w:tcPr>
            <w:tcW w:w="929" w:type="pct"/>
            <w:vAlign w:val="center"/>
          </w:tcPr>
          <w:p w14:paraId="651E29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eastAsia="黑体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黑体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测量不确定度(</w:t>
            </w:r>
            <w:r>
              <w:rPr>
                <w:rFonts w:hint="eastAsia" w:eastAsia="黑体" w:cs="Times New Roman"/>
                <w:i/>
                <w:iCs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k</w:t>
            </w:r>
            <w:r>
              <w:rPr>
                <w:rFonts w:hint="eastAsia" w:eastAsia="黑体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=2) (%)</w:t>
            </w:r>
          </w:p>
        </w:tc>
      </w:tr>
      <w:tr w14:paraId="0F91E3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52" w:type="pct"/>
            <w:vAlign w:val="center"/>
          </w:tcPr>
          <w:p w14:paraId="0EFEC3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18" w:type="dxa"/>
            <w:shd w:val="clear" w:color="auto" w:fill="auto"/>
            <w:vAlign w:val="center"/>
          </w:tcPr>
          <w:p w14:paraId="14F601CD">
            <w:pPr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宋体" w:cstheme="minorBidi"/>
                <w:bCs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929" w:type="pct"/>
            <w:shd w:val="clear" w:color="auto" w:fill="auto"/>
            <w:vAlign w:val="center"/>
          </w:tcPr>
          <w:p w14:paraId="7D01589C">
            <w:pPr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theme="minorBidi"/>
                <w:bCs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929" w:type="pct"/>
            <w:shd w:val="clear" w:color="auto" w:fill="auto"/>
            <w:vAlign w:val="center"/>
          </w:tcPr>
          <w:p w14:paraId="4675E8C7">
            <w:pPr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theme="minorBidi"/>
                <w:bCs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929" w:type="pct"/>
            <w:shd w:val="clear" w:color="auto" w:fill="auto"/>
            <w:vAlign w:val="center"/>
          </w:tcPr>
          <w:p w14:paraId="6FDEDB98">
            <w:pPr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theme="minorBidi"/>
                <w:bCs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929" w:type="pct"/>
            <w:shd w:val="clear" w:color="auto" w:fill="auto"/>
            <w:vAlign w:val="center"/>
          </w:tcPr>
          <w:p w14:paraId="26FA7B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7473B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52" w:type="pct"/>
            <w:shd w:val="clear" w:color="auto" w:fill="auto"/>
            <w:vAlign w:val="center"/>
          </w:tcPr>
          <w:p w14:paraId="66C308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18" w:type="dxa"/>
            <w:shd w:val="clear" w:color="auto" w:fill="auto"/>
            <w:vAlign w:val="center"/>
          </w:tcPr>
          <w:p w14:paraId="759C188A">
            <w:pPr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theme="minorBidi"/>
                <w:bCs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929" w:type="pct"/>
            <w:shd w:val="clear" w:color="auto" w:fill="auto"/>
            <w:vAlign w:val="center"/>
          </w:tcPr>
          <w:p w14:paraId="7300F5CF">
            <w:pPr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theme="minorBidi"/>
                <w:bCs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929" w:type="pct"/>
            <w:shd w:val="clear" w:color="auto" w:fill="auto"/>
            <w:vAlign w:val="center"/>
          </w:tcPr>
          <w:p w14:paraId="14C74064">
            <w:pPr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theme="minorBidi"/>
                <w:bCs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929" w:type="pct"/>
            <w:shd w:val="clear" w:color="auto" w:fill="auto"/>
            <w:vAlign w:val="center"/>
          </w:tcPr>
          <w:p w14:paraId="7F0C76CC">
            <w:pPr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theme="minorBidi"/>
                <w:bCs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929" w:type="pct"/>
            <w:shd w:val="clear" w:color="auto" w:fill="auto"/>
            <w:vAlign w:val="center"/>
          </w:tcPr>
          <w:p w14:paraId="4431C1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8EBC4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52" w:type="pct"/>
            <w:shd w:val="clear" w:color="auto" w:fill="auto"/>
            <w:vAlign w:val="center"/>
          </w:tcPr>
          <w:p w14:paraId="1DE61B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18" w:type="dxa"/>
            <w:shd w:val="clear" w:color="auto" w:fill="auto"/>
            <w:vAlign w:val="center"/>
          </w:tcPr>
          <w:p w14:paraId="29BBB8C5">
            <w:pPr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theme="minorBidi"/>
                <w:bCs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929" w:type="pct"/>
            <w:shd w:val="clear" w:color="auto" w:fill="auto"/>
            <w:vAlign w:val="center"/>
          </w:tcPr>
          <w:p w14:paraId="17347416">
            <w:pPr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theme="minorBidi"/>
                <w:bCs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929" w:type="pct"/>
            <w:shd w:val="clear" w:color="auto" w:fill="auto"/>
            <w:vAlign w:val="center"/>
          </w:tcPr>
          <w:p w14:paraId="71FFE795">
            <w:pPr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theme="minorBidi"/>
                <w:bCs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929" w:type="pct"/>
            <w:shd w:val="clear" w:color="auto" w:fill="auto"/>
            <w:vAlign w:val="center"/>
          </w:tcPr>
          <w:p w14:paraId="528B85EF">
            <w:pPr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theme="minorBidi"/>
                <w:bCs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929" w:type="pct"/>
            <w:shd w:val="clear" w:color="auto" w:fill="auto"/>
            <w:vAlign w:val="center"/>
          </w:tcPr>
          <w:p w14:paraId="57899C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5ADFA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52" w:type="pct"/>
            <w:shd w:val="clear" w:color="auto" w:fill="auto"/>
            <w:vAlign w:val="center"/>
          </w:tcPr>
          <w:p w14:paraId="199F59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bCs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18" w:type="dxa"/>
            <w:shd w:val="clear" w:color="auto" w:fill="auto"/>
            <w:vAlign w:val="center"/>
          </w:tcPr>
          <w:p w14:paraId="53614ECA">
            <w:pPr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theme="minorBidi"/>
                <w:bCs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929" w:type="pct"/>
            <w:shd w:val="clear" w:color="auto" w:fill="auto"/>
            <w:vAlign w:val="center"/>
          </w:tcPr>
          <w:p w14:paraId="781F6A78">
            <w:pPr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theme="minorBidi"/>
                <w:bCs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929" w:type="pct"/>
            <w:shd w:val="clear" w:color="auto" w:fill="auto"/>
            <w:vAlign w:val="center"/>
          </w:tcPr>
          <w:p w14:paraId="13FDDF95">
            <w:pPr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theme="minorBidi"/>
                <w:bCs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929" w:type="pct"/>
            <w:shd w:val="clear" w:color="auto" w:fill="auto"/>
            <w:vAlign w:val="center"/>
          </w:tcPr>
          <w:p w14:paraId="03072697">
            <w:pPr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theme="minorBidi"/>
                <w:bCs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929" w:type="pct"/>
            <w:shd w:val="clear" w:color="auto" w:fill="auto"/>
            <w:vAlign w:val="center"/>
          </w:tcPr>
          <w:p w14:paraId="257A1E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463BE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52" w:type="pct"/>
            <w:vAlign w:val="center"/>
          </w:tcPr>
          <w:p w14:paraId="604956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cs="Times New Roman"/>
                <w:bCs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18" w:type="dxa"/>
            <w:shd w:val="clear" w:color="auto" w:fill="auto"/>
            <w:vAlign w:val="center"/>
          </w:tcPr>
          <w:p w14:paraId="788C9097">
            <w:pPr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theme="minorBidi"/>
                <w:bCs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929" w:type="pct"/>
            <w:shd w:val="clear" w:color="auto" w:fill="auto"/>
            <w:vAlign w:val="center"/>
          </w:tcPr>
          <w:p w14:paraId="5C3C0CAA">
            <w:pPr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theme="minorBidi"/>
                <w:bCs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929" w:type="pct"/>
            <w:shd w:val="clear" w:color="auto" w:fill="auto"/>
            <w:vAlign w:val="center"/>
          </w:tcPr>
          <w:p w14:paraId="41FB3A65">
            <w:pPr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theme="minorBidi"/>
                <w:bCs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929" w:type="pct"/>
            <w:shd w:val="clear" w:color="auto" w:fill="auto"/>
            <w:vAlign w:val="center"/>
          </w:tcPr>
          <w:p w14:paraId="3E7A96F6">
            <w:pPr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theme="minorBidi"/>
                <w:bCs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929" w:type="pct"/>
            <w:vAlign w:val="center"/>
          </w:tcPr>
          <w:p w14:paraId="1726E9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81584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83" w:hRule="atLeast"/>
          <w:jc w:val="center"/>
        </w:trPr>
        <w:tc>
          <w:tcPr>
            <w:tcW w:w="352" w:type="pct"/>
            <w:vAlign w:val="center"/>
          </w:tcPr>
          <w:p w14:paraId="7E8F49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cs="Times New Roman"/>
                <w:bCs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18" w:type="dxa"/>
            <w:shd w:val="clear" w:color="auto" w:fill="auto"/>
            <w:vAlign w:val="center"/>
          </w:tcPr>
          <w:p w14:paraId="2A59F67E">
            <w:pPr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theme="minorBidi"/>
                <w:bCs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929" w:type="pct"/>
            <w:shd w:val="clear" w:color="auto" w:fill="auto"/>
            <w:vAlign w:val="center"/>
          </w:tcPr>
          <w:p w14:paraId="366E0A82">
            <w:pPr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theme="minorBidi"/>
                <w:bCs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929" w:type="pct"/>
            <w:shd w:val="clear" w:color="auto" w:fill="auto"/>
            <w:vAlign w:val="center"/>
          </w:tcPr>
          <w:p w14:paraId="3B3F2C8B">
            <w:pPr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theme="minorBidi"/>
                <w:bCs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929" w:type="pct"/>
            <w:shd w:val="clear" w:color="auto" w:fill="auto"/>
            <w:vAlign w:val="center"/>
          </w:tcPr>
          <w:p w14:paraId="6801F0CB">
            <w:pPr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theme="minorBidi"/>
                <w:bCs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929" w:type="pct"/>
            <w:vAlign w:val="center"/>
          </w:tcPr>
          <w:p w14:paraId="14D90D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13B81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52" w:type="pct"/>
            <w:vAlign w:val="center"/>
          </w:tcPr>
          <w:p w14:paraId="2F54A5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cs="Times New Roman"/>
                <w:bCs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18" w:type="dxa"/>
            <w:shd w:val="clear" w:color="auto" w:fill="auto"/>
            <w:vAlign w:val="center"/>
          </w:tcPr>
          <w:p w14:paraId="30912900">
            <w:pPr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theme="minorBidi"/>
                <w:bCs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929" w:type="pct"/>
            <w:shd w:val="clear" w:color="auto" w:fill="auto"/>
            <w:vAlign w:val="center"/>
          </w:tcPr>
          <w:p w14:paraId="66D00592">
            <w:pPr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theme="minorBidi"/>
                <w:bCs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929" w:type="pct"/>
            <w:shd w:val="clear" w:color="auto" w:fill="auto"/>
            <w:vAlign w:val="center"/>
          </w:tcPr>
          <w:p w14:paraId="3EB75B3D">
            <w:pPr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theme="minorBidi"/>
                <w:bCs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929" w:type="pct"/>
            <w:shd w:val="clear" w:color="auto" w:fill="auto"/>
            <w:vAlign w:val="center"/>
          </w:tcPr>
          <w:p w14:paraId="1AAB12D7">
            <w:pPr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theme="minorBidi"/>
                <w:bCs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929" w:type="pct"/>
            <w:vAlign w:val="center"/>
          </w:tcPr>
          <w:p w14:paraId="393567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145DDE43">
      <w:pPr>
        <w:spacing w:line="360" w:lineRule="auto"/>
        <w:ind w:firstLine="0"/>
        <w:jc w:val="both"/>
        <w:rPr>
          <w:rFonts w:hint="eastAsia"/>
        </w:rPr>
      </w:pPr>
    </w:p>
    <w:p w14:paraId="31AEB675">
      <w:pPr>
        <w:spacing w:line="360" w:lineRule="auto"/>
        <w:ind w:firstLine="0"/>
        <w:jc w:val="both"/>
        <w:rPr>
          <w:rFonts w:hint="eastAsia"/>
        </w:rPr>
      </w:pPr>
      <w:r>
        <w:rPr>
          <w:rFonts w:hint="eastAsia"/>
        </w:rPr>
        <w:t>校准员：</w:t>
      </w:r>
      <w:r>
        <w:rPr>
          <w:rFonts w:hint="eastAsia"/>
          <w:lang w:val="en-US" w:eastAsia="zh-CN"/>
        </w:rPr>
        <w:t xml:space="preserve">        </w:t>
      </w:r>
      <w:r>
        <w:rPr>
          <w:rFonts w:hint="eastAsia"/>
        </w:rPr>
        <w:tab/>
      </w:r>
      <w:r>
        <w:rPr>
          <w:rFonts w:hint="eastAsia"/>
        </w:rPr>
        <w:t>核验员：</w:t>
      </w:r>
      <w:r>
        <w:rPr>
          <w:rFonts w:hint="eastAsia"/>
        </w:rPr>
        <w:tab/>
      </w:r>
    </w:p>
    <w:p w14:paraId="6E87A93E">
      <w:pPr>
        <w:spacing w:line="360" w:lineRule="auto"/>
        <w:ind w:firstLine="0"/>
        <w:jc w:val="both"/>
        <w:rPr>
          <w:sz w:val="24"/>
          <w:szCs w:val="24"/>
        </w:rPr>
      </w:pPr>
      <w:r>
        <w:rPr>
          <w:rFonts w:hint="eastAsia"/>
        </w:rPr>
        <w:t>校准日期：    年    月    日</w:t>
      </w:r>
      <w:r>
        <w:br w:type="page"/>
      </w:r>
    </w:p>
    <w:bookmarkEnd w:id="59"/>
    <w:p w14:paraId="65749F8A">
      <w:pPr>
        <w:pStyle w:val="2"/>
        <w:spacing w:line="300" w:lineRule="auto"/>
        <w:rPr>
          <w:rFonts w:eastAsia="黑体"/>
          <w:b w:val="0"/>
          <w:bCs w:val="0"/>
          <w:sz w:val="28"/>
          <w:szCs w:val="28"/>
        </w:rPr>
      </w:pPr>
      <w:bookmarkStart w:id="60" w:name="_Toc422683929"/>
      <w:bookmarkStart w:id="61" w:name="_Toc23810"/>
      <w:bookmarkStart w:id="62" w:name="_Toc139139611"/>
      <w:r>
        <w:rPr>
          <w:rFonts w:eastAsia="黑体"/>
          <w:b w:val="0"/>
          <w:bCs w:val="0"/>
          <w:sz w:val="28"/>
          <w:szCs w:val="28"/>
        </w:rPr>
        <w:t>附录</w:t>
      </w:r>
      <w:bookmarkEnd w:id="60"/>
      <w:r>
        <w:rPr>
          <w:rFonts w:eastAsia="黑体"/>
          <w:b w:val="0"/>
          <w:bCs w:val="0"/>
          <w:sz w:val="28"/>
          <w:szCs w:val="28"/>
        </w:rPr>
        <w:t>B</w:t>
      </w:r>
      <w:bookmarkEnd w:id="61"/>
      <w:bookmarkEnd w:id="62"/>
    </w:p>
    <w:p w14:paraId="46196040">
      <w:pPr>
        <w:pStyle w:val="4"/>
        <w:spacing w:line="300" w:lineRule="auto"/>
        <w:jc w:val="center"/>
        <w:rPr>
          <w:rFonts w:eastAsia="黑体"/>
          <w:sz w:val="28"/>
          <w:szCs w:val="28"/>
        </w:rPr>
      </w:pPr>
      <w:r>
        <w:rPr>
          <w:rFonts w:eastAsia="黑体"/>
          <w:sz w:val="28"/>
          <w:szCs w:val="28"/>
        </w:rPr>
        <w:t>校准证书的内容</w:t>
      </w:r>
    </w:p>
    <w:p w14:paraId="568E5F66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B.1</w:t>
      </w:r>
      <w:r>
        <w:rPr>
          <w:rFonts w:hint="eastAsia"/>
          <w:sz w:val="24"/>
          <w:szCs w:val="24"/>
          <w:lang w:val="en-US" w:eastAsia="zh-CN"/>
        </w:rPr>
        <w:t xml:space="preserve">  </w:t>
      </w:r>
      <w:r>
        <w:rPr>
          <w:sz w:val="24"/>
          <w:szCs w:val="24"/>
        </w:rPr>
        <w:t>校准证书至少包含以下信息：</w:t>
      </w:r>
    </w:p>
    <w:p w14:paraId="2EEEB854">
      <w:pPr>
        <w:pStyle w:val="53"/>
        <w:numPr>
          <w:ilvl w:val="0"/>
          <w:numId w:val="4"/>
        </w:numPr>
        <w:adjustRightInd/>
        <w:ind w:left="0" w:firstLine="480"/>
        <w:rPr>
          <w:szCs w:val="24"/>
        </w:rPr>
      </w:pPr>
      <w:r>
        <w:rPr>
          <w:szCs w:val="24"/>
        </w:rPr>
        <w:t>标题，如“校准证书”；</w:t>
      </w:r>
    </w:p>
    <w:p w14:paraId="1722340D">
      <w:pPr>
        <w:pStyle w:val="53"/>
        <w:numPr>
          <w:ilvl w:val="0"/>
          <w:numId w:val="4"/>
        </w:numPr>
        <w:adjustRightInd/>
        <w:ind w:left="0" w:firstLine="480"/>
        <w:rPr>
          <w:szCs w:val="24"/>
        </w:rPr>
      </w:pPr>
      <w:r>
        <w:rPr>
          <w:szCs w:val="24"/>
        </w:rPr>
        <w:t>证书的编号、页码和总页数；</w:t>
      </w:r>
    </w:p>
    <w:p w14:paraId="16339FC8">
      <w:pPr>
        <w:pStyle w:val="53"/>
        <w:numPr>
          <w:ilvl w:val="0"/>
          <w:numId w:val="4"/>
        </w:numPr>
        <w:adjustRightInd/>
        <w:ind w:left="0" w:firstLine="480"/>
        <w:rPr>
          <w:szCs w:val="24"/>
        </w:rPr>
      </w:pPr>
      <w:r>
        <w:rPr>
          <w:szCs w:val="24"/>
        </w:rPr>
        <w:t>校准实验室的名称和地址；</w:t>
      </w:r>
    </w:p>
    <w:p w14:paraId="558572F4">
      <w:pPr>
        <w:pStyle w:val="53"/>
        <w:numPr>
          <w:ilvl w:val="0"/>
          <w:numId w:val="4"/>
        </w:numPr>
        <w:adjustRightInd/>
        <w:ind w:left="0" w:firstLine="480"/>
        <w:rPr>
          <w:szCs w:val="24"/>
        </w:rPr>
      </w:pPr>
      <w:r>
        <w:rPr>
          <w:szCs w:val="24"/>
        </w:rPr>
        <w:t>进行校准的日期；</w:t>
      </w:r>
    </w:p>
    <w:p w14:paraId="7B97D66D">
      <w:pPr>
        <w:pStyle w:val="53"/>
        <w:numPr>
          <w:ilvl w:val="0"/>
          <w:numId w:val="4"/>
        </w:numPr>
        <w:adjustRightInd/>
        <w:ind w:left="0" w:firstLine="480"/>
        <w:rPr>
          <w:szCs w:val="24"/>
        </w:rPr>
      </w:pPr>
      <w:r>
        <w:rPr>
          <w:szCs w:val="24"/>
        </w:rPr>
        <w:t>进行校准的地点（如果不在实验室内进行校准）；</w:t>
      </w:r>
    </w:p>
    <w:p w14:paraId="0B0A00FF">
      <w:pPr>
        <w:pStyle w:val="53"/>
        <w:numPr>
          <w:ilvl w:val="0"/>
          <w:numId w:val="4"/>
        </w:numPr>
        <w:adjustRightInd/>
        <w:ind w:left="0" w:firstLine="480"/>
        <w:rPr>
          <w:szCs w:val="24"/>
        </w:rPr>
      </w:pPr>
      <w:r>
        <w:rPr>
          <w:szCs w:val="24"/>
        </w:rPr>
        <w:t>客户的名称和地址；</w:t>
      </w:r>
    </w:p>
    <w:p w14:paraId="19D4F19C">
      <w:pPr>
        <w:pStyle w:val="53"/>
        <w:numPr>
          <w:ilvl w:val="0"/>
          <w:numId w:val="4"/>
        </w:numPr>
        <w:adjustRightInd/>
        <w:ind w:left="0" w:firstLine="480"/>
        <w:rPr>
          <w:szCs w:val="24"/>
        </w:rPr>
      </w:pPr>
      <w:r>
        <w:rPr>
          <w:szCs w:val="24"/>
        </w:rPr>
        <w:t>被校放大器的型号、规格和出厂编号；</w:t>
      </w:r>
    </w:p>
    <w:p w14:paraId="19459F47">
      <w:pPr>
        <w:pStyle w:val="53"/>
        <w:numPr>
          <w:ilvl w:val="0"/>
          <w:numId w:val="4"/>
        </w:numPr>
        <w:adjustRightInd/>
        <w:ind w:left="0" w:firstLine="480"/>
        <w:rPr>
          <w:szCs w:val="24"/>
        </w:rPr>
      </w:pPr>
      <w:r>
        <w:rPr>
          <w:szCs w:val="24"/>
        </w:rPr>
        <w:t>本技术规范的名称及代号；</w:t>
      </w:r>
    </w:p>
    <w:p w14:paraId="1EFC23B6">
      <w:pPr>
        <w:pStyle w:val="53"/>
        <w:numPr>
          <w:ilvl w:val="0"/>
          <w:numId w:val="4"/>
        </w:numPr>
        <w:adjustRightInd/>
        <w:ind w:left="0" w:firstLine="480"/>
        <w:rPr>
          <w:szCs w:val="24"/>
        </w:rPr>
      </w:pPr>
      <w:r>
        <w:rPr>
          <w:szCs w:val="24"/>
        </w:rPr>
        <w:t>本次校准所用测量标准溯源性和有效性的说明；</w:t>
      </w:r>
    </w:p>
    <w:p w14:paraId="49F2CA71">
      <w:pPr>
        <w:pStyle w:val="53"/>
        <w:numPr>
          <w:ilvl w:val="0"/>
          <w:numId w:val="4"/>
        </w:numPr>
        <w:adjustRightInd/>
        <w:ind w:left="0" w:firstLine="480"/>
        <w:rPr>
          <w:szCs w:val="24"/>
        </w:rPr>
      </w:pPr>
      <w:r>
        <w:rPr>
          <w:szCs w:val="24"/>
        </w:rPr>
        <w:t>校准环境的描述；</w:t>
      </w:r>
    </w:p>
    <w:p w14:paraId="024D3C47">
      <w:pPr>
        <w:pStyle w:val="53"/>
        <w:numPr>
          <w:ilvl w:val="0"/>
          <w:numId w:val="4"/>
        </w:numPr>
        <w:adjustRightInd/>
        <w:ind w:left="0" w:firstLine="480"/>
        <w:rPr>
          <w:szCs w:val="24"/>
        </w:rPr>
      </w:pPr>
      <w:r>
        <w:rPr>
          <w:szCs w:val="24"/>
        </w:rPr>
        <w:t>校准结果及其测量不确定度的说明；</w:t>
      </w:r>
    </w:p>
    <w:p w14:paraId="680E207F">
      <w:pPr>
        <w:pStyle w:val="53"/>
        <w:numPr>
          <w:ilvl w:val="0"/>
          <w:numId w:val="4"/>
        </w:numPr>
        <w:adjustRightInd/>
        <w:ind w:left="0" w:firstLine="480"/>
        <w:rPr>
          <w:szCs w:val="24"/>
        </w:rPr>
      </w:pPr>
      <w:r>
        <w:rPr>
          <w:szCs w:val="24"/>
        </w:rPr>
        <w:t>校准证书签发人的签名、职务或等效标识，以签发日期；</w:t>
      </w:r>
    </w:p>
    <w:p w14:paraId="01018488">
      <w:pPr>
        <w:pStyle w:val="53"/>
        <w:numPr>
          <w:ilvl w:val="0"/>
          <w:numId w:val="4"/>
        </w:numPr>
        <w:adjustRightInd/>
        <w:ind w:left="0" w:firstLine="480"/>
        <w:rPr>
          <w:szCs w:val="24"/>
        </w:rPr>
      </w:pPr>
      <w:r>
        <w:rPr>
          <w:szCs w:val="24"/>
        </w:rPr>
        <w:t>校准结果仅对被校对象有效的声明；</w:t>
      </w:r>
    </w:p>
    <w:p w14:paraId="3245F819">
      <w:pPr>
        <w:pStyle w:val="53"/>
        <w:numPr>
          <w:ilvl w:val="0"/>
          <w:numId w:val="4"/>
        </w:numPr>
        <w:adjustRightInd/>
        <w:ind w:left="0" w:firstLine="480"/>
        <w:rPr>
          <w:szCs w:val="24"/>
        </w:rPr>
      </w:pPr>
      <w:r>
        <w:rPr>
          <w:szCs w:val="24"/>
        </w:rPr>
        <w:t>未经实验室书面批准，不得部分复制证书的声明。</w:t>
      </w:r>
    </w:p>
    <w:p w14:paraId="3366F57F">
      <w:pPr>
        <w:spacing w:line="360" w:lineRule="auto"/>
        <w:rPr>
          <w:rFonts w:hint="eastAsia"/>
          <w:sz w:val="24"/>
          <w:szCs w:val="24"/>
        </w:rPr>
      </w:pPr>
      <w:r>
        <w:rPr>
          <w:sz w:val="24"/>
          <w:szCs w:val="24"/>
        </w:rPr>
        <w:t xml:space="preserve">B.2 </w:t>
      </w:r>
      <w:r>
        <w:rPr>
          <w:rFonts w:hint="eastAsia"/>
          <w:sz w:val="24"/>
          <w:szCs w:val="24"/>
          <w:lang w:val="en-US" w:eastAsia="zh-CN"/>
        </w:rPr>
        <w:t xml:space="preserve"> </w:t>
      </w:r>
      <w:r>
        <w:rPr>
          <w:sz w:val="24"/>
          <w:szCs w:val="24"/>
        </w:rPr>
        <w:t>推荐的校准证书内页格式</w:t>
      </w:r>
      <w:r>
        <w:rPr>
          <w:rFonts w:hint="eastAsia"/>
          <w:sz w:val="24"/>
          <w:szCs w:val="24"/>
          <w:lang w:val="en-US" w:eastAsia="zh-CN"/>
        </w:rPr>
        <w:t>如下：</w:t>
      </w:r>
    </w:p>
    <w:p w14:paraId="59CF8DB5">
      <w:pPr>
        <w:spacing w:line="360" w:lineRule="auto"/>
        <w:ind w:firstLine="0"/>
        <w:jc w:val="both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1、机器视觉低频振动测量系统的校准结果</w:t>
      </w:r>
    </w:p>
    <w:p w14:paraId="015E13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jc w:val="center"/>
        <w:textAlignment w:val="auto"/>
        <w:rPr>
          <w:rFonts w:hint="default" w:ascii="Times New Roman" w:hAnsi="Times New Roman" w:eastAsia="黑体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黑体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表</w:t>
      </w:r>
      <w:r>
        <w:rPr>
          <w:rFonts w:hint="eastAsia" w:eastAsia="黑体" w:cs="Times New Roman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B.1</w:t>
      </w:r>
      <w:r>
        <w:rPr>
          <w:rFonts w:hint="default" w:ascii="Times New Roman" w:hAnsi="Times New Roman" w:eastAsia="黑体" w:cs="Times New Roman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eastAsia="黑体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幅值测量结果</w:t>
      </w:r>
    </w:p>
    <w:tbl>
      <w:tblPr>
        <w:tblStyle w:val="18"/>
        <w:tblW w:w="479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6"/>
        <w:gridCol w:w="1755"/>
        <w:gridCol w:w="1755"/>
        <w:gridCol w:w="1755"/>
        <w:gridCol w:w="1755"/>
        <w:gridCol w:w="1756"/>
      </w:tblGrid>
      <w:tr w14:paraId="6EF0C3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52" w:type="pct"/>
            <w:shd w:val="clear" w:color="auto" w:fill="auto"/>
            <w:vAlign w:val="center"/>
          </w:tcPr>
          <w:p w14:paraId="5A49F5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序</w:t>
            </w:r>
          </w:p>
          <w:p w14:paraId="2F92ED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号</w:t>
            </w:r>
          </w:p>
        </w:tc>
        <w:tc>
          <w:tcPr>
            <w:tcW w:w="929" w:type="pct"/>
            <w:shd w:val="clear" w:color="auto" w:fill="auto"/>
            <w:vAlign w:val="center"/>
          </w:tcPr>
          <w:p w14:paraId="726804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频率</w:t>
            </w:r>
          </w:p>
          <w:p w14:paraId="378DDB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(Hz)</w:t>
            </w:r>
          </w:p>
        </w:tc>
        <w:tc>
          <w:tcPr>
            <w:tcW w:w="929" w:type="pct"/>
            <w:shd w:val="clear" w:color="auto" w:fill="auto"/>
            <w:vAlign w:val="center"/>
          </w:tcPr>
          <w:p w14:paraId="173D6F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标准值</w:t>
            </w:r>
          </w:p>
          <w:p w14:paraId="7DA743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(</w:t>
            </w:r>
            <w:r>
              <w:rPr>
                <w:rFonts w:hint="eastAsia" w:ascii="Times New Roman" w:hAnsi="Times New Roman" w:eastAsia="黑体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m/s</w:t>
            </w:r>
            <w:r>
              <w:rPr>
                <w:rFonts w:hint="eastAsia" w:ascii="Times New Roman" w:hAnsi="Times New Roman" w:eastAsia="黑体" w:cs="Times New Roman"/>
                <w:color w:val="000000" w:themeColor="text1"/>
                <w:kern w:val="0"/>
                <w:sz w:val="21"/>
                <w:szCs w:val="21"/>
                <w:vertAlign w:val="superscript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default" w:ascii="Times New Roman" w:hAnsi="Times New Roman" w:eastAsia="黑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929" w:type="pct"/>
            <w:vAlign w:val="center"/>
          </w:tcPr>
          <w:p w14:paraId="534088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eastAsia="黑体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黑体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测量值</w:t>
            </w:r>
          </w:p>
          <w:p w14:paraId="561E38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eastAsia="黑体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(</w:t>
            </w:r>
            <w:r>
              <w:rPr>
                <w:rFonts w:hint="eastAsia" w:ascii="Times New Roman" w:hAnsi="Times New Roman" w:eastAsia="黑体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m/s</w:t>
            </w:r>
            <w:r>
              <w:rPr>
                <w:rFonts w:hint="eastAsia" w:ascii="Times New Roman" w:hAnsi="Times New Roman" w:eastAsia="黑体" w:cs="Times New Roman"/>
                <w:color w:val="000000" w:themeColor="text1"/>
                <w:kern w:val="0"/>
                <w:sz w:val="21"/>
                <w:szCs w:val="21"/>
                <w:vertAlign w:val="superscript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default" w:ascii="Times New Roman" w:hAnsi="Times New Roman" w:eastAsia="黑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929" w:type="pct"/>
            <w:vAlign w:val="center"/>
          </w:tcPr>
          <w:p w14:paraId="39C791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eastAsia="黑体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黑体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相对误差</w:t>
            </w:r>
          </w:p>
          <w:p w14:paraId="2FCB99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eastAsia="黑体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黑体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(%)</w:t>
            </w:r>
          </w:p>
        </w:tc>
        <w:tc>
          <w:tcPr>
            <w:tcW w:w="929" w:type="pct"/>
            <w:vAlign w:val="center"/>
          </w:tcPr>
          <w:p w14:paraId="210FEF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eastAsia="黑体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黑体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测量不确定度(</w:t>
            </w:r>
            <w:r>
              <w:rPr>
                <w:rFonts w:hint="eastAsia" w:eastAsia="黑体" w:cs="Times New Roman"/>
                <w:i/>
                <w:iCs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k</w:t>
            </w:r>
            <w:r>
              <w:rPr>
                <w:rFonts w:hint="eastAsia" w:eastAsia="黑体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=2) (%)</w:t>
            </w:r>
          </w:p>
        </w:tc>
      </w:tr>
      <w:tr w14:paraId="62E1F0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52" w:type="pct"/>
            <w:vAlign w:val="center"/>
          </w:tcPr>
          <w:p w14:paraId="110BB5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9" w:type="pct"/>
            <w:vAlign w:val="center"/>
          </w:tcPr>
          <w:p w14:paraId="225FE9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9" w:type="pct"/>
            <w:vAlign w:val="center"/>
          </w:tcPr>
          <w:p w14:paraId="007903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9" w:type="pct"/>
            <w:vAlign w:val="center"/>
          </w:tcPr>
          <w:p w14:paraId="48DDBC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9" w:type="pct"/>
            <w:vAlign w:val="center"/>
          </w:tcPr>
          <w:p w14:paraId="5EE388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9" w:type="pct"/>
            <w:vAlign w:val="center"/>
          </w:tcPr>
          <w:p w14:paraId="72302D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D3BC0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52" w:type="pct"/>
            <w:shd w:val="clear" w:color="auto" w:fill="auto"/>
            <w:vAlign w:val="center"/>
          </w:tcPr>
          <w:p w14:paraId="23D3A3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9" w:type="pct"/>
            <w:shd w:val="clear" w:color="auto" w:fill="auto"/>
            <w:vAlign w:val="center"/>
          </w:tcPr>
          <w:p w14:paraId="3023B9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9" w:type="pct"/>
            <w:shd w:val="clear" w:color="auto" w:fill="auto"/>
            <w:vAlign w:val="center"/>
          </w:tcPr>
          <w:p w14:paraId="77EF40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9" w:type="pct"/>
            <w:shd w:val="clear" w:color="auto" w:fill="auto"/>
            <w:vAlign w:val="center"/>
          </w:tcPr>
          <w:p w14:paraId="356ECF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9" w:type="pct"/>
            <w:shd w:val="clear" w:color="auto" w:fill="auto"/>
            <w:vAlign w:val="center"/>
          </w:tcPr>
          <w:p w14:paraId="7901BD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9" w:type="pct"/>
            <w:shd w:val="clear" w:color="auto" w:fill="auto"/>
            <w:vAlign w:val="center"/>
          </w:tcPr>
          <w:p w14:paraId="4F2A16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F0558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52" w:type="pct"/>
            <w:shd w:val="clear" w:color="auto" w:fill="auto"/>
            <w:vAlign w:val="center"/>
          </w:tcPr>
          <w:p w14:paraId="67A222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9" w:type="pct"/>
            <w:vAlign w:val="center"/>
          </w:tcPr>
          <w:p w14:paraId="355151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9" w:type="pct"/>
            <w:vAlign w:val="center"/>
          </w:tcPr>
          <w:p w14:paraId="0A9FBC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9" w:type="pct"/>
            <w:vAlign w:val="center"/>
          </w:tcPr>
          <w:p w14:paraId="01EFCB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9" w:type="pct"/>
            <w:vAlign w:val="center"/>
          </w:tcPr>
          <w:p w14:paraId="0B9829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9" w:type="pct"/>
            <w:vAlign w:val="center"/>
          </w:tcPr>
          <w:p w14:paraId="54EF23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CBFB5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52" w:type="pct"/>
            <w:shd w:val="clear" w:color="auto" w:fill="auto"/>
            <w:vAlign w:val="center"/>
          </w:tcPr>
          <w:p w14:paraId="7CDE34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9" w:type="pct"/>
            <w:vAlign w:val="center"/>
          </w:tcPr>
          <w:p w14:paraId="48DCCC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9" w:type="pct"/>
            <w:vAlign w:val="center"/>
          </w:tcPr>
          <w:p w14:paraId="5C8321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9" w:type="pct"/>
            <w:vAlign w:val="center"/>
          </w:tcPr>
          <w:p w14:paraId="3F43A8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9" w:type="pct"/>
            <w:vAlign w:val="center"/>
          </w:tcPr>
          <w:p w14:paraId="1A2EA6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9" w:type="pct"/>
            <w:vAlign w:val="center"/>
          </w:tcPr>
          <w:p w14:paraId="6EE018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4B075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52" w:type="pct"/>
            <w:shd w:val="clear" w:color="auto" w:fill="auto"/>
            <w:vAlign w:val="center"/>
          </w:tcPr>
          <w:p w14:paraId="62EEF6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9" w:type="pct"/>
            <w:vAlign w:val="center"/>
          </w:tcPr>
          <w:p w14:paraId="0D470C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9" w:type="pct"/>
            <w:vAlign w:val="center"/>
          </w:tcPr>
          <w:p w14:paraId="68C911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9" w:type="pct"/>
            <w:vAlign w:val="center"/>
          </w:tcPr>
          <w:p w14:paraId="39A318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9" w:type="pct"/>
            <w:vAlign w:val="center"/>
          </w:tcPr>
          <w:p w14:paraId="2A11EB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9" w:type="pct"/>
            <w:vAlign w:val="center"/>
          </w:tcPr>
          <w:p w14:paraId="1C3E7D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847E2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52" w:type="pct"/>
            <w:shd w:val="clear" w:color="auto" w:fill="auto"/>
            <w:vAlign w:val="center"/>
          </w:tcPr>
          <w:p w14:paraId="530A2E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9" w:type="pct"/>
            <w:vAlign w:val="center"/>
          </w:tcPr>
          <w:p w14:paraId="1D9A24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9" w:type="pct"/>
            <w:vAlign w:val="center"/>
          </w:tcPr>
          <w:p w14:paraId="501182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9" w:type="pct"/>
            <w:vAlign w:val="center"/>
          </w:tcPr>
          <w:p w14:paraId="771775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9" w:type="pct"/>
            <w:vAlign w:val="center"/>
          </w:tcPr>
          <w:p w14:paraId="3516DF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9" w:type="pct"/>
            <w:vAlign w:val="center"/>
          </w:tcPr>
          <w:p w14:paraId="6225AE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70188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52" w:type="pct"/>
            <w:shd w:val="clear" w:color="auto" w:fill="auto"/>
            <w:vAlign w:val="center"/>
          </w:tcPr>
          <w:p w14:paraId="7CB20E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9" w:type="pct"/>
            <w:vAlign w:val="center"/>
          </w:tcPr>
          <w:p w14:paraId="62FF4D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9" w:type="pct"/>
            <w:vAlign w:val="center"/>
          </w:tcPr>
          <w:p w14:paraId="6EF94E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9" w:type="pct"/>
            <w:vAlign w:val="center"/>
          </w:tcPr>
          <w:p w14:paraId="6802A3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9" w:type="pct"/>
            <w:vAlign w:val="center"/>
          </w:tcPr>
          <w:p w14:paraId="5A89A1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9" w:type="pct"/>
            <w:vAlign w:val="center"/>
          </w:tcPr>
          <w:p w14:paraId="2B85C0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1FE4D5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jc w:val="center"/>
        <w:textAlignment w:val="auto"/>
        <w:rPr>
          <w:rFonts w:hint="default" w:ascii="Times New Roman" w:hAnsi="Times New Roman" w:eastAsia="黑体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黑体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表</w:t>
      </w:r>
      <w:r>
        <w:rPr>
          <w:rFonts w:hint="eastAsia" w:eastAsia="黑体" w:cs="Times New Roman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B.2</w:t>
      </w:r>
      <w:r>
        <w:rPr>
          <w:rFonts w:hint="default" w:ascii="Times New Roman" w:hAnsi="Times New Roman" w:eastAsia="黑体" w:cs="Times New Roman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eastAsia="黑体" w:cs="Times New Roman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相位</w:t>
      </w:r>
      <w:r>
        <w:rPr>
          <w:rFonts w:hint="default" w:ascii="Times New Roman" w:hAnsi="Times New Roman" w:eastAsia="黑体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测量结果</w:t>
      </w:r>
    </w:p>
    <w:tbl>
      <w:tblPr>
        <w:tblStyle w:val="18"/>
        <w:tblW w:w="479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6"/>
        <w:gridCol w:w="1755"/>
        <w:gridCol w:w="1755"/>
        <w:gridCol w:w="1755"/>
        <w:gridCol w:w="1755"/>
        <w:gridCol w:w="1756"/>
      </w:tblGrid>
      <w:tr w14:paraId="613880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52" w:type="pct"/>
            <w:shd w:val="clear" w:color="auto" w:fill="auto"/>
            <w:vAlign w:val="center"/>
          </w:tcPr>
          <w:p w14:paraId="602C90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序</w:t>
            </w:r>
          </w:p>
          <w:p w14:paraId="6CA1FA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号</w:t>
            </w:r>
          </w:p>
        </w:tc>
        <w:tc>
          <w:tcPr>
            <w:tcW w:w="929" w:type="pct"/>
            <w:shd w:val="clear" w:color="auto" w:fill="auto"/>
            <w:vAlign w:val="center"/>
          </w:tcPr>
          <w:p w14:paraId="374DC5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频率</w:t>
            </w:r>
          </w:p>
          <w:p w14:paraId="2DB1A1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(Hz)</w:t>
            </w:r>
          </w:p>
        </w:tc>
        <w:tc>
          <w:tcPr>
            <w:tcW w:w="929" w:type="pct"/>
            <w:shd w:val="clear" w:color="auto" w:fill="auto"/>
            <w:vAlign w:val="center"/>
          </w:tcPr>
          <w:p w14:paraId="0A9DC6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标准值</w:t>
            </w:r>
          </w:p>
          <w:p w14:paraId="1685BF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(</w:t>
            </w:r>
            <w:r>
              <w:rPr>
                <w:rFonts w:hint="eastAsia" w:ascii="Times New Roman" w:hAnsi="Times New Roman" w:eastAsia="黑体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°</w:t>
            </w:r>
            <w:r>
              <w:rPr>
                <w:rFonts w:hint="default" w:ascii="Times New Roman" w:hAnsi="Times New Roman" w:eastAsia="黑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929" w:type="pct"/>
            <w:vAlign w:val="center"/>
          </w:tcPr>
          <w:p w14:paraId="2E0D32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eastAsia="黑体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黑体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测量值</w:t>
            </w:r>
          </w:p>
          <w:p w14:paraId="75B8E8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eastAsia="黑体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(</w:t>
            </w:r>
            <w:r>
              <w:rPr>
                <w:rFonts w:hint="eastAsia" w:ascii="Times New Roman" w:hAnsi="Times New Roman" w:eastAsia="黑体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°</w:t>
            </w:r>
            <w:r>
              <w:rPr>
                <w:rFonts w:hint="default" w:ascii="Times New Roman" w:hAnsi="Times New Roman" w:eastAsia="黑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929" w:type="pct"/>
            <w:vAlign w:val="center"/>
          </w:tcPr>
          <w:p w14:paraId="6DB831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eastAsia="黑体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黑体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相位误差</w:t>
            </w:r>
          </w:p>
          <w:p w14:paraId="712CDF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eastAsia="黑体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黑体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(°)</w:t>
            </w:r>
          </w:p>
        </w:tc>
        <w:tc>
          <w:tcPr>
            <w:tcW w:w="929" w:type="pct"/>
            <w:vAlign w:val="center"/>
          </w:tcPr>
          <w:p w14:paraId="20EA40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eastAsia="黑体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黑体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测量不确定度(</w:t>
            </w:r>
            <w:r>
              <w:rPr>
                <w:rFonts w:hint="eastAsia" w:eastAsia="黑体" w:cs="Times New Roman"/>
                <w:i/>
                <w:iCs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k</w:t>
            </w:r>
            <w:r>
              <w:rPr>
                <w:rFonts w:hint="eastAsia" w:eastAsia="黑体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=2) (°)</w:t>
            </w:r>
          </w:p>
        </w:tc>
      </w:tr>
      <w:tr w14:paraId="5CDAC4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52" w:type="pct"/>
            <w:vAlign w:val="center"/>
          </w:tcPr>
          <w:p w14:paraId="2C3ED3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9" w:type="pct"/>
            <w:shd w:val="clear" w:color="auto" w:fill="auto"/>
            <w:vAlign w:val="center"/>
          </w:tcPr>
          <w:p w14:paraId="5F68C4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9" w:type="pct"/>
            <w:shd w:val="clear" w:color="auto" w:fill="auto"/>
            <w:vAlign w:val="center"/>
          </w:tcPr>
          <w:p w14:paraId="41ECAA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9" w:type="pct"/>
            <w:shd w:val="clear" w:color="auto" w:fill="auto"/>
            <w:vAlign w:val="center"/>
          </w:tcPr>
          <w:p w14:paraId="0BA2B9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9" w:type="pct"/>
            <w:shd w:val="clear" w:color="auto" w:fill="auto"/>
            <w:vAlign w:val="center"/>
          </w:tcPr>
          <w:p w14:paraId="24E1EA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9" w:type="pct"/>
            <w:shd w:val="clear" w:color="auto" w:fill="auto"/>
            <w:vAlign w:val="center"/>
          </w:tcPr>
          <w:p w14:paraId="67B1E3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7A8C8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52" w:type="pct"/>
            <w:shd w:val="clear" w:color="auto" w:fill="auto"/>
            <w:vAlign w:val="center"/>
          </w:tcPr>
          <w:p w14:paraId="037F25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9" w:type="pct"/>
            <w:shd w:val="clear" w:color="auto" w:fill="auto"/>
            <w:vAlign w:val="center"/>
          </w:tcPr>
          <w:p w14:paraId="7F01D5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9" w:type="pct"/>
            <w:shd w:val="clear" w:color="auto" w:fill="auto"/>
            <w:vAlign w:val="center"/>
          </w:tcPr>
          <w:p w14:paraId="7D1768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9" w:type="pct"/>
            <w:shd w:val="clear" w:color="auto" w:fill="auto"/>
            <w:vAlign w:val="center"/>
          </w:tcPr>
          <w:p w14:paraId="35C8C7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9" w:type="pct"/>
            <w:shd w:val="clear" w:color="auto" w:fill="auto"/>
            <w:vAlign w:val="center"/>
          </w:tcPr>
          <w:p w14:paraId="3C4311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9" w:type="pct"/>
            <w:shd w:val="clear" w:color="auto" w:fill="auto"/>
            <w:vAlign w:val="center"/>
          </w:tcPr>
          <w:p w14:paraId="47520E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11ADF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52" w:type="pct"/>
            <w:shd w:val="clear" w:color="auto" w:fill="auto"/>
            <w:vAlign w:val="center"/>
          </w:tcPr>
          <w:p w14:paraId="5686B2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9" w:type="pct"/>
            <w:shd w:val="clear" w:color="auto" w:fill="auto"/>
            <w:vAlign w:val="center"/>
          </w:tcPr>
          <w:p w14:paraId="46FB7E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9" w:type="pct"/>
            <w:shd w:val="clear" w:color="auto" w:fill="auto"/>
            <w:vAlign w:val="center"/>
          </w:tcPr>
          <w:p w14:paraId="151330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9" w:type="pct"/>
            <w:shd w:val="clear" w:color="auto" w:fill="auto"/>
            <w:vAlign w:val="center"/>
          </w:tcPr>
          <w:p w14:paraId="6C3C37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9" w:type="pct"/>
            <w:shd w:val="clear" w:color="auto" w:fill="auto"/>
            <w:vAlign w:val="center"/>
          </w:tcPr>
          <w:p w14:paraId="4E9642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9" w:type="pct"/>
            <w:shd w:val="clear" w:color="auto" w:fill="auto"/>
            <w:vAlign w:val="center"/>
          </w:tcPr>
          <w:p w14:paraId="34C63E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243C9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52" w:type="pct"/>
            <w:shd w:val="clear" w:color="auto" w:fill="auto"/>
            <w:vAlign w:val="center"/>
          </w:tcPr>
          <w:p w14:paraId="467B2A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9" w:type="pct"/>
            <w:shd w:val="clear" w:color="auto" w:fill="auto"/>
            <w:vAlign w:val="center"/>
          </w:tcPr>
          <w:p w14:paraId="3D241A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9" w:type="pct"/>
            <w:shd w:val="clear" w:color="auto" w:fill="auto"/>
            <w:vAlign w:val="center"/>
          </w:tcPr>
          <w:p w14:paraId="22EA5B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9" w:type="pct"/>
            <w:shd w:val="clear" w:color="auto" w:fill="auto"/>
            <w:vAlign w:val="center"/>
          </w:tcPr>
          <w:p w14:paraId="24AD20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9" w:type="pct"/>
            <w:shd w:val="clear" w:color="auto" w:fill="auto"/>
            <w:vAlign w:val="center"/>
          </w:tcPr>
          <w:p w14:paraId="6568CE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9" w:type="pct"/>
            <w:shd w:val="clear" w:color="auto" w:fill="auto"/>
            <w:vAlign w:val="center"/>
          </w:tcPr>
          <w:p w14:paraId="7B3072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C4F75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52" w:type="pct"/>
            <w:shd w:val="clear" w:color="auto" w:fill="auto"/>
            <w:vAlign w:val="center"/>
          </w:tcPr>
          <w:p w14:paraId="184F9B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9" w:type="pct"/>
            <w:shd w:val="clear" w:color="auto" w:fill="auto"/>
            <w:vAlign w:val="center"/>
          </w:tcPr>
          <w:p w14:paraId="485957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9" w:type="pct"/>
            <w:shd w:val="clear" w:color="auto" w:fill="auto"/>
            <w:vAlign w:val="center"/>
          </w:tcPr>
          <w:p w14:paraId="428258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9" w:type="pct"/>
            <w:shd w:val="clear" w:color="auto" w:fill="auto"/>
            <w:vAlign w:val="center"/>
          </w:tcPr>
          <w:p w14:paraId="281F8C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9" w:type="pct"/>
            <w:shd w:val="clear" w:color="auto" w:fill="auto"/>
            <w:vAlign w:val="center"/>
          </w:tcPr>
          <w:p w14:paraId="54EEEA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9" w:type="pct"/>
            <w:shd w:val="clear" w:color="auto" w:fill="auto"/>
            <w:vAlign w:val="center"/>
          </w:tcPr>
          <w:p w14:paraId="44FA1F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89FC2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52" w:type="pct"/>
            <w:shd w:val="clear" w:color="auto" w:fill="auto"/>
            <w:vAlign w:val="center"/>
          </w:tcPr>
          <w:p w14:paraId="49A5BF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9" w:type="pct"/>
            <w:shd w:val="clear" w:color="auto" w:fill="auto"/>
            <w:vAlign w:val="center"/>
          </w:tcPr>
          <w:p w14:paraId="7AE35E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9" w:type="pct"/>
            <w:shd w:val="clear" w:color="auto" w:fill="auto"/>
            <w:vAlign w:val="center"/>
          </w:tcPr>
          <w:p w14:paraId="3E9405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9" w:type="pct"/>
            <w:shd w:val="clear" w:color="auto" w:fill="auto"/>
            <w:vAlign w:val="center"/>
          </w:tcPr>
          <w:p w14:paraId="0095F6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9" w:type="pct"/>
            <w:shd w:val="clear" w:color="auto" w:fill="auto"/>
            <w:vAlign w:val="center"/>
          </w:tcPr>
          <w:p w14:paraId="2712C3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9" w:type="pct"/>
            <w:shd w:val="clear" w:color="auto" w:fill="auto"/>
            <w:vAlign w:val="center"/>
          </w:tcPr>
          <w:p w14:paraId="1440EA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4DF8B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52" w:type="pct"/>
            <w:shd w:val="clear" w:color="auto" w:fill="auto"/>
            <w:vAlign w:val="center"/>
          </w:tcPr>
          <w:p w14:paraId="707A1F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9" w:type="pct"/>
            <w:shd w:val="clear" w:color="auto" w:fill="auto"/>
            <w:vAlign w:val="center"/>
          </w:tcPr>
          <w:p w14:paraId="5E0E62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9" w:type="pct"/>
            <w:shd w:val="clear" w:color="auto" w:fill="auto"/>
            <w:vAlign w:val="center"/>
          </w:tcPr>
          <w:p w14:paraId="27D344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9" w:type="pct"/>
            <w:shd w:val="clear" w:color="auto" w:fill="auto"/>
            <w:vAlign w:val="center"/>
          </w:tcPr>
          <w:p w14:paraId="7D65AD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9" w:type="pct"/>
            <w:shd w:val="clear" w:color="auto" w:fill="auto"/>
            <w:vAlign w:val="center"/>
          </w:tcPr>
          <w:p w14:paraId="3D3F6A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9" w:type="pct"/>
            <w:shd w:val="clear" w:color="auto" w:fill="auto"/>
            <w:vAlign w:val="center"/>
          </w:tcPr>
          <w:p w14:paraId="2D8128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4D0740AA">
      <w:pPr>
        <w:spacing w:line="360" w:lineRule="auto"/>
        <w:ind w:firstLine="0"/>
        <w:jc w:val="both"/>
        <w:rPr>
          <w:rFonts w:hint="eastAsia" w:eastAsia="宋体"/>
          <w:lang w:val="en-US" w:eastAsia="zh-CN"/>
        </w:rPr>
      </w:pPr>
      <w:r>
        <w:rPr>
          <w:rFonts w:hint="eastAsia"/>
          <w:lang w:val="en-US" w:eastAsia="zh-CN"/>
        </w:rPr>
        <w:t>2、机器视觉低频振动测量算法/软件的校准结果</w:t>
      </w:r>
    </w:p>
    <w:p w14:paraId="70608C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jc w:val="center"/>
        <w:textAlignment w:val="auto"/>
        <w:rPr>
          <w:rFonts w:hint="default" w:ascii="Times New Roman" w:hAnsi="Times New Roman" w:eastAsia="黑体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黑体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表</w:t>
      </w:r>
      <w:r>
        <w:rPr>
          <w:rFonts w:hint="eastAsia" w:eastAsia="黑体" w:cs="Times New Roman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B.3</w:t>
      </w:r>
      <w:r>
        <w:rPr>
          <w:rFonts w:hint="default" w:ascii="Times New Roman" w:hAnsi="Times New Roman" w:eastAsia="黑体" w:cs="Times New Roman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eastAsia="黑体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幅值测量结果</w:t>
      </w:r>
    </w:p>
    <w:tbl>
      <w:tblPr>
        <w:tblStyle w:val="18"/>
        <w:tblW w:w="479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6"/>
        <w:gridCol w:w="1755"/>
        <w:gridCol w:w="1755"/>
        <w:gridCol w:w="1755"/>
        <w:gridCol w:w="1755"/>
        <w:gridCol w:w="1756"/>
      </w:tblGrid>
      <w:tr w14:paraId="7F2EF4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52" w:type="pct"/>
            <w:shd w:val="clear" w:color="auto" w:fill="auto"/>
            <w:vAlign w:val="center"/>
          </w:tcPr>
          <w:p w14:paraId="7220E2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序</w:t>
            </w:r>
          </w:p>
          <w:p w14:paraId="4EB940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号</w:t>
            </w:r>
          </w:p>
        </w:tc>
        <w:tc>
          <w:tcPr>
            <w:tcW w:w="929" w:type="pct"/>
            <w:shd w:val="clear" w:color="auto" w:fill="auto"/>
            <w:vAlign w:val="center"/>
          </w:tcPr>
          <w:p w14:paraId="0DED42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频率</w:t>
            </w:r>
          </w:p>
          <w:p w14:paraId="0980D0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(Hz)</w:t>
            </w:r>
          </w:p>
        </w:tc>
        <w:tc>
          <w:tcPr>
            <w:tcW w:w="929" w:type="pct"/>
            <w:shd w:val="clear" w:color="auto" w:fill="auto"/>
            <w:vAlign w:val="center"/>
          </w:tcPr>
          <w:p w14:paraId="56D1A8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标准值</w:t>
            </w:r>
          </w:p>
          <w:p w14:paraId="66AA80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(</w:t>
            </w:r>
            <w:r>
              <w:rPr>
                <w:rFonts w:hint="eastAsia" w:ascii="Times New Roman" w:hAnsi="Times New Roman" w:eastAsia="黑体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px</w:t>
            </w:r>
            <w:r>
              <w:rPr>
                <w:rFonts w:hint="default" w:ascii="Times New Roman" w:hAnsi="Times New Roman" w:eastAsia="黑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929" w:type="pct"/>
            <w:vAlign w:val="center"/>
          </w:tcPr>
          <w:p w14:paraId="1CF4D0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eastAsia="黑体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黑体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测量值</w:t>
            </w:r>
          </w:p>
          <w:p w14:paraId="32A63D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eastAsia="黑体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(</w:t>
            </w:r>
            <w:r>
              <w:rPr>
                <w:rFonts w:hint="eastAsia" w:ascii="Times New Roman" w:hAnsi="Times New Roman" w:eastAsia="黑体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px</w:t>
            </w:r>
            <w:r>
              <w:rPr>
                <w:rFonts w:hint="default" w:ascii="Times New Roman" w:hAnsi="Times New Roman" w:eastAsia="黑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929" w:type="pct"/>
            <w:vAlign w:val="center"/>
          </w:tcPr>
          <w:p w14:paraId="0DC62D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eastAsia="黑体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黑体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相对误差</w:t>
            </w:r>
          </w:p>
          <w:p w14:paraId="529187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eastAsia="黑体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黑体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(%)</w:t>
            </w:r>
          </w:p>
        </w:tc>
        <w:tc>
          <w:tcPr>
            <w:tcW w:w="929" w:type="pct"/>
            <w:vAlign w:val="center"/>
          </w:tcPr>
          <w:p w14:paraId="37A86F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eastAsia="黑体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黑体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测量不确定度(</w:t>
            </w:r>
            <w:r>
              <w:rPr>
                <w:rFonts w:hint="eastAsia" w:eastAsia="黑体" w:cs="Times New Roman"/>
                <w:i/>
                <w:iCs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k</w:t>
            </w:r>
            <w:r>
              <w:rPr>
                <w:rFonts w:hint="eastAsia" w:eastAsia="黑体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=2) (%)</w:t>
            </w:r>
          </w:p>
        </w:tc>
      </w:tr>
      <w:tr w14:paraId="4D9593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352" w:type="pct"/>
            <w:vAlign w:val="center"/>
          </w:tcPr>
          <w:p w14:paraId="41FFFA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9" w:type="pct"/>
            <w:vAlign w:val="center"/>
          </w:tcPr>
          <w:p w14:paraId="3E797B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9" w:type="pct"/>
            <w:shd w:val="clear" w:color="auto" w:fill="auto"/>
            <w:vAlign w:val="center"/>
          </w:tcPr>
          <w:p w14:paraId="37C3D8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9" w:type="pct"/>
            <w:shd w:val="clear" w:color="auto" w:fill="auto"/>
            <w:vAlign w:val="center"/>
          </w:tcPr>
          <w:p w14:paraId="73B28C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9" w:type="pct"/>
            <w:shd w:val="clear" w:color="auto" w:fill="auto"/>
            <w:vAlign w:val="center"/>
          </w:tcPr>
          <w:p w14:paraId="2B7754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9" w:type="pct"/>
            <w:vAlign w:val="center"/>
          </w:tcPr>
          <w:p w14:paraId="3289A4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F8535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352" w:type="pct"/>
            <w:shd w:val="clear" w:color="auto" w:fill="auto"/>
            <w:vAlign w:val="center"/>
          </w:tcPr>
          <w:p w14:paraId="0CB6EC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9" w:type="pct"/>
            <w:shd w:val="clear" w:color="auto" w:fill="auto"/>
            <w:vAlign w:val="center"/>
          </w:tcPr>
          <w:p w14:paraId="348C65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9" w:type="pct"/>
            <w:shd w:val="clear" w:color="auto" w:fill="auto"/>
            <w:vAlign w:val="center"/>
          </w:tcPr>
          <w:p w14:paraId="5F3CCC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9" w:type="pct"/>
            <w:shd w:val="clear" w:color="auto" w:fill="auto"/>
            <w:vAlign w:val="center"/>
          </w:tcPr>
          <w:p w14:paraId="682F23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9" w:type="pct"/>
            <w:shd w:val="clear" w:color="auto" w:fill="auto"/>
            <w:vAlign w:val="center"/>
          </w:tcPr>
          <w:p w14:paraId="2E1682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9" w:type="pct"/>
            <w:shd w:val="clear" w:color="auto" w:fill="auto"/>
            <w:vAlign w:val="center"/>
          </w:tcPr>
          <w:p w14:paraId="41D18E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F0F45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27" w:hRule="atLeast"/>
          <w:jc w:val="center"/>
        </w:trPr>
        <w:tc>
          <w:tcPr>
            <w:tcW w:w="352" w:type="pct"/>
            <w:shd w:val="clear" w:color="auto" w:fill="auto"/>
            <w:vAlign w:val="center"/>
          </w:tcPr>
          <w:p w14:paraId="434AA4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9" w:type="pct"/>
            <w:vAlign w:val="center"/>
          </w:tcPr>
          <w:p w14:paraId="100EDD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9" w:type="pct"/>
            <w:shd w:val="clear" w:color="auto" w:fill="auto"/>
            <w:vAlign w:val="center"/>
          </w:tcPr>
          <w:p w14:paraId="6482DE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9" w:type="pct"/>
            <w:shd w:val="clear" w:color="auto" w:fill="auto"/>
            <w:vAlign w:val="center"/>
          </w:tcPr>
          <w:p w14:paraId="47D2FB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9" w:type="pct"/>
            <w:shd w:val="clear" w:color="auto" w:fill="auto"/>
            <w:vAlign w:val="center"/>
          </w:tcPr>
          <w:p w14:paraId="5026DD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9" w:type="pct"/>
            <w:vAlign w:val="center"/>
          </w:tcPr>
          <w:p w14:paraId="7363CB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488D3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352" w:type="pct"/>
            <w:shd w:val="clear" w:color="auto" w:fill="auto"/>
            <w:vAlign w:val="center"/>
          </w:tcPr>
          <w:p w14:paraId="599945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9" w:type="pct"/>
            <w:vAlign w:val="center"/>
          </w:tcPr>
          <w:p w14:paraId="3C9D73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9" w:type="pct"/>
            <w:shd w:val="clear" w:color="auto" w:fill="auto"/>
            <w:vAlign w:val="center"/>
          </w:tcPr>
          <w:p w14:paraId="48E368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9" w:type="pct"/>
            <w:shd w:val="clear" w:color="auto" w:fill="auto"/>
            <w:vAlign w:val="center"/>
          </w:tcPr>
          <w:p w14:paraId="51B5AD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9" w:type="pct"/>
            <w:shd w:val="clear" w:color="auto" w:fill="auto"/>
            <w:vAlign w:val="center"/>
          </w:tcPr>
          <w:p w14:paraId="70EDCE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9" w:type="pct"/>
            <w:vAlign w:val="center"/>
          </w:tcPr>
          <w:p w14:paraId="576A3D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31580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27" w:hRule="atLeast"/>
          <w:jc w:val="center"/>
        </w:trPr>
        <w:tc>
          <w:tcPr>
            <w:tcW w:w="352" w:type="pct"/>
            <w:shd w:val="clear" w:color="auto" w:fill="auto"/>
            <w:vAlign w:val="center"/>
          </w:tcPr>
          <w:p w14:paraId="695FB5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9" w:type="pct"/>
            <w:vAlign w:val="center"/>
          </w:tcPr>
          <w:p w14:paraId="37AFD4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9" w:type="pct"/>
            <w:shd w:val="clear" w:color="auto" w:fill="auto"/>
            <w:vAlign w:val="center"/>
          </w:tcPr>
          <w:p w14:paraId="25D425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9" w:type="pct"/>
            <w:shd w:val="clear" w:color="auto" w:fill="auto"/>
            <w:vAlign w:val="center"/>
          </w:tcPr>
          <w:p w14:paraId="7DF3A4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9" w:type="pct"/>
            <w:shd w:val="clear" w:color="auto" w:fill="auto"/>
            <w:vAlign w:val="center"/>
          </w:tcPr>
          <w:p w14:paraId="60819C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9" w:type="pct"/>
            <w:vAlign w:val="center"/>
          </w:tcPr>
          <w:p w14:paraId="0AC7F3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34C87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352" w:type="pct"/>
            <w:shd w:val="clear" w:color="auto" w:fill="auto"/>
            <w:vAlign w:val="center"/>
          </w:tcPr>
          <w:p w14:paraId="6A1BCA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9" w:type="pct"/>
            <w:vAlign w:val="center"/>
          </w:tcPr>
          <w:p w14:paraId="1CBE44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9" w:type="pct"/>
            <w:shd w:val="clear" w:color="auto" w:fill="auto"/>
            <w:vAlign w:val="center"/>
          </w:tcPr>
          <w:p w14:paraId="126974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9" w:type="pct"/>
            <w:shd w:val="clear" w:color="auto" w:fill="auto"/>
            <w:vAlign w:val="center"/>
          </w:tcPr>
          <w:p w14:paraId="78ECF0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9" w:type="pct"/>
            <w:shd w:val="clear" w:color="auto" w:fill="auto"/>
            <w:vAlign w:val="center"/>
          </w:tcPr>
          <w:p w14:paraId="44B834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9" w:type="pct"/>
            <w:vAlign w:val="center"/>
          </w:tcPr>
          <w:p w14:paraId="36BA16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A287E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352" w:type="pct"/>
            <w:shd w:val="clear" w:color="auto" w:fill="auto"/>
            <w:vAlign w:val="center"/>
          </w:tcPr>
          <w:p w14:paraId="574A3B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9" w:type="pct"/>
            <w:vAlign w:val="center"/>
          </w:tcPr>
          <w:p w14:paraId="06766A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9" w:type="pct"/>
            <w:shd w:val="clear" w:color="auto" w:fill="auto"/>
            <w:vAlign w:val="center"/>
          </w:tcPr>
          <w:p w14:paraId="751049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9" w:type="pct"/>
            <w:shd w:val="clear" w:color="auto" w:fill="auto"/>
            <w:vAlign w:val="center"/>
          </w:tcPr>
          <w:p w14:paraId="43AEFF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9" w:type="pct"/>
            <w:shd w:val="clear" w:color="auto" w:fill="auto"/>
            <w:vAlign w:val="center"/>
          </w:tcPr>
          <w:p w14:paraId="3BE305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9" w:type="pct"/>
            <w:vAlign w:val="center"/>
          </w:tcPr>
          <w:p w14:paraId="6075E2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290FFC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jc w:val="center"/>
        <w:textAlignment w:val="auto"/>
        <w:rPr>
          <w:rFonts w:hint="default" w:ascii="Times New Roman" w:hAnsi="Times New Roman" w:eastAsia="黑体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黑体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表</w:t>
      </w:r>
      <w:r>
        <w:rPr>
          <w:rFonts w:hint="eastAsia" w:eastAsia="黑体" w:cs="Times New Roman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B.4</w:t>
      </w:r>
      <w:r>
        <w:rPr>
          <w:rFonts w:hint="default" w:ascii="Times New Roman" w:hAnsi="Times New Roman" w:eastAsia="黑体" w:cs="Times New Roman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eastAsia="黑体" w:cs="Times New Roman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相位</w:t>
      </w:r>
      <w:r>
        <w:rPr>
          <w:rFonts w:hint="default" w:ascii="Times New Roman" w:hAnsi="Times New Roman" w:eastAsia="黑体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测量结果</w:t>
      </w:r>
    </w:p>
    <w:tbl>
      <w:tblPr>
        <w:tblStyle w:val="18"/>
        <w:tblW w:w="479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6"/>
        <w:gridCol w:w="1755"/>
        <w:gridCol w:w="1755"/>
        <w:gridCol w:w="1755"/>
        <w:gridCol w:w="1755"/>
        <w:gridCol w:w="1756"/>
      </w:tblGrid>
      <w:tr w14:paraId="5AA2D0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52" w:type="pct"/>
            <w:shd w:val="clear" w:color="auto" w:fill="auto"/>
            <w:vAlign w:val="center"/>
          </w:tcPr>
          <w:p w14:paraId="2D2718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序</w:t>
            </w:r>
          </w:p>
          <w:p w14:paraId="46543D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号</w:t>
            </w:r>
          </w:p>
        </w:tc>
        <w:tc>
          <w:tcPr>
            <w:tcW w:w="929" w:type="pct"/>
            <w:shd w:val="clear" w:color="auto" w:fill="auto"/>
            <w:vAlign w:val="center"/>
          </w:tcPr>
          <w:p w14:paraId="0EE81B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频率</w:t>
            </w:r>
          </w:p>
          <w:p w14:paraId="534276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(Hz)</w:t>
            </w:r>
          </w:p>
        </w:tc>
        <w:tc>
          <w:tcPr>
            <w:tcW w:w="929" w:type="pct"/>
            <w:shd w:val="clear" w:color="auto" w:fill="auto"/>
            <w:vAlign w:val="center"/>
          </w:tcPr>
          <w:p w14:paraId="0AC846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标准值</w:t>
            </w:r>
          </w:p>
          <w:p w14:paraId="1C66E3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(</w:t>
            </w:r>
            <w:r>
              <w:rPr>
                <w:rFonts w:hint="eastAsia" w:ascii="Times New Roman" w:hAnsi="Times New Roman" w:eastAsia="黑体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°</w:t>
            </w:r>
            <w:r>
              <w:rPr>
                <w:rFonts w:hint="default" w:ascii="Times New Roman" w:hAnsi="Times New Roman" w:eastAsia="黑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929" w:type="pct"/>
            <w:vAlign w:val="center"/>
          </w:tcPr>
          <w:p w14:paraId="19E054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eastAsia="黑体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黑体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测量值</w:t>
            </w:r>
          </w:p>
          <w:p w14:paraId="4D1DA5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eastAsia="黑体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(</w:t>
            </w:r>
            <w:r>
              <w:rPr>
                <w:rFonts w:hint="eastAsia" w:ascii="Times New Roman" w:hAnsi="Times New Roman" w:eastAsia="黑体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°</w:t>
            </w:r>
            <w:r>
              <w:rPr>
                <w:rFonts w:hint="default" w:ascii="Times New Roman" w:hAnsi="Times New Roman" w:eastAsia="黑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929" w:type="pct"/>
            <w:vAlign w:val="center"/>
          </w:tcPr>
          <w:p w14:paraId="2834F3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eastAsia="黑体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黑体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相位误差</w:t>
            </w:r>
          </w:p>
          <w:p w14:paraId="1AC3C5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eastAsia="黑体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黑体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(°)</w:t>
            </w:r>
          </w:p>
        </w:tc>
        <w:tc>
          <w:tcPr>
            <w:tcW w:w="929" w:type="pct"/>
            <w:vAlign w:val="center"/>
          </w:tcPr>
          <w:p w14:paraId="1FC723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eastAsia="黑体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黑体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测量不确定度(</w:t>
            </w:r>
            <w:r>
              <w:rPr>
                <w:rFonts w:hint="eastAsia" w:eastAsia="黑体" w:cs="Times New Roman"/>
                <w:i/>
                <w:iCs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k</w:t>
            </w:r>
            <w:r>
              <w:rPr>
                <w:rFonts w:hint="eastAsia" w:eastAsia="黑体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=2) (°)</w:t>
            </w:r>
          </w:p>
        </w:tc>
      </w:tr>
      <w:tr w14:paraId="68C6FC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352" w:type="pct"/>
            <w:vAlign w:val="center"/>
          </w:tcPr>
          <w:p w14:paraId="0C3410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9" w:type="pct"/>
            <w:shd w:val="clear" w:color="auto" w:fill="auto"/>
            <w:vAlign w:val="center"/>
          </w:tcPr>
          <w:p w14:paraId="4D9013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9" w:type="pct"/>
            <w:shd w:val="clear" w:color="auto" w:fill="auto"/>
            <w:vAlign w:val="center"/>
          </w:tcPr>
          <w:p w14:paraId="42DA44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9" w:type="pct"/>
            <w:shd w:val="clear" w:color="auto" w:fill="auto"/>
            <w:vAlign w:val="center"/>
          </w:tcPr>
          <w:p w14:paraId="06BCD8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9" w:type="pct"/>
            <w:shd w:val="clear" w:color="auto" w:fill="auto"/>
            <w:vAlign w:val="center"/>
          </w:tcPr>
          <w:p w14:paraId="2D1030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9" w:type="pct"/>
            <w:shd w:val="clear" w:color="auto" w:fill="auto"/>
            <w:vAlign w:val="center"/>
          </w:tcPr>
          <w:p w14:paraId="01ADE4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109B4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352" w:type="pct"/>
            <w:shd w:val="clear" w:color="auto" w:fill="auto"/>
            <w:vAlign w:val="center"/>
          </w:tcPr>
          <w:p w14:paraId="62FDE4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9" w:type="pct"/>
            <w:shd w:val="clear" w:color="auto" w:fill="auto"/>
            <w:vAlign w:val="center"/>
          </w:tcPr>
          <w:p w14:paraId="5A51F5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9" w:type="pct"/>
            <w:shd w:val="clear" w:color="auto" w:fill="auto"/>
            <w:vAlign w:val="center"/>
          </w:tcPr>
          <w:p w14:paraId="164C9C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9" w:type="pct"/>
            <w:shd w:val="clear" w:color="auto" w:fill="auto"/>
            <w:vAlign w:val="center"/>
          </w:tcPr>
          <w:p w14:paraId="461AB1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9" w:type="pct"/>
            <w:shd w:val="clear" w:color="auto" w:fill="auto"/>
            <w:vAlign w:val="center"/>
          </w:tcPr>
          <w:p w14:paraId="65A1B7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9" w:type="pct"/>
            <w:shd w:val="clear" w:color="auto" w:fill="auto"/>
            <w:vAlign w:val="center"/>
          </w:tcPr>
          <w:p w14:paraId="11FFD8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2F2FE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352" w:type="pct"/>
            <w:shd w:val="clear" w:color="auto" w:fill="auto"/>
            <w:vAlign w:val="center"/>
          </w:tcPr>
          <w:p w14:paraId="3E6078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9" w:type="pct"/>
            <w:shd w:val="clear" w:color="auto" w:fill="auto"/>
            <w:vAlign w:val="center"/>
          </w:tcPr>
          <w:p w14:paraId="2CAF17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9" w:type="pct"/>
            <w:shd w:val="clear" w:color="auto" w:fill="auto"/>
            <w:vAlign w:val="center"/>
          </w:tcPr>
          <w:p w14:paraId="66FFF4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9" w:type="pct"/>
            <w:shd w:val="clear" w:color="auto" w:fill="auto"/>
            <w:vAlign w:val="center"/>
          </w:tcPr>
          <w:p w14:paraId="3F7917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9" w:type="pct"/>
            <w:shd w:val="clear" w:color="auto" w:fill="auto"/>
            <w:vAlign w:val="center"/>
          </w:tcPr>
          <w:p w14:paraId="194723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9" w:type="pct"/>
            <w:shd w:val="clear" w:color="auto" w:fill="auto"/>
            <w:vAlign w:val="center"/>
          </w:tcPr>
          <w:p w14:paraId="7F6584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190D5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352" w:type="pct"/>
            <w:shd w:val="clear" w:color="auto" w:fill="auto"/>
            <w:vAlign w:val="center"/>
          </w:tcPr>
          <w:p w14:paraId="556D22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9" w:type="pct"/>
            <w:shd w:val="clear" w:color="auto" w:fill="auto"/>
            <w:vAlign w:val="center"/>
          </w:tcPr>
          <w:p w14:paraId="1A6F05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9" w:type="pct"/>
            <w:shd w:val="clear" w:color="auto" w:fill="auto"/>
            <w:vAlign w:val="center"/>
          </w:tcPr>
          <w:p w14:paraId="612D8E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9" w:type="pct"/>
            <w:shd w:val="clear" w:color="auto" w:fill="auto"/>
            <w:vAlign w:val="center"/>
          </w:tcPr>
          <w:p w14:paraId="3F4BAB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9" w:type="pct"/>
            <w:shd w:val="clear" w:color="auto" w:fill="auto"/>
            <w:vAlign w:val="center"/>
          </w:tcPr>
          <w:p w14:paraId="624D24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9" w:type="pct"/>
            <w:shd w:val="clear" w:color="auto" w:fill="auto"/>
            <w:vAlign w:val="center"/>
          </w:tcPr>
          <w:p w14:paraId="4A667A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67D3E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352" w:type="pct"/>
            <w:shd w:val="clear" w:color="auto" w:fill="auto"/>
            <w:vAlign w:val="center"/>
          </w:tcPr>
          <w:p w14:paraId="318AF4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9" w:type="pct"/>
            <w:shd w:val="clear" w:color="auto" w:fill="auto"/>
            <w:vAlign w:val="center"/>
          </w:tcPr>
          <w:p w14:paraId="08DBED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9" w:type="pct"/>
            <w:shd w:val="clear" w:color="auto" w:fill="auto"/>
            <w:vAlign w:val="center"/>
          </w:tcPr>
          <w:p w14:paraId="0BBC61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9" w:type="pct"/>
            <w:shd w:val="clear" w:color="auto" w:fill="auto"/>
            <w:vAlign w:val="center"/>
          </w:tcPr>
          <w:p w14:paraId="346DA1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9" w:type="pct"/>
            <w:shd w:val="clear" w:color="auto" w:fill="auto"/>
            <w:vAlign w:val="center"/>
          </w:tcPr>
          <w:p w14:paraId="2BCDB5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9" w:type="pct"/>
            <w:shd w:val="clear" w:color="auto" w:fill="auto"/>
            <w:vAlign w:val="center"/>
          </w:tcPr>
          <w:p w14:paraId="7ED604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850FF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352" w:type="pct"/>
            <w:shd w:val="clear" w:color="auto" w:fill="auto"/>
            <w:vAlign w:val="center"/>
          </w:tcPr>
          <w:p w14:paraId="3B76A2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9" w:type="pct"/>
            <w:shd w:val="clear" w:color="auto" w:fill="auto"/>
            <w:vAlign w:val="center"/>
          </w:tcPr>
          <w:p w14:paraId="616F53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9" w:type="pct"/>
            <w:shd w:val="clear" w:color="auto" w:fill="auto"/>
            <w:vAlign w:val="center"/>
          </w:tcPr>
          <w:p w14:paraId="39E9F0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9" w:type="pct"/>
            <w:shd w:val="clear" w:color="auto" w:fill="auto"/>
            <w:vAlign w:val="center"/>
          </w:tcPr>
          <w:p w14:paraId="7F6E9D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9" w:type="pct"/>
            <w:shd w:val="clear" w:color="auto" w:fill="auto"/>
            <w:vAlign w:val="center"/>
          </w:tcPr>
          <w:p w14:paraId="4FDDBB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9" w:type="pct"/>
            <w:shd w:val="clear" w:color="auto" w:fill="auto"/>
            <w:vAlign w:val="center"/>
          </w:tcPr>
          <w:p w14:paraId="685D23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ED896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352" w:type="pct"/>
            <w:shd w:val="clear" w:color="auto" w:fill="auto"/>
            <w:vAlign w:val="center"/>
          </w:tcPr>
          <w:p w14:paraId="0F1E85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9" w:type="pct"/>
            <w:shd w:val="clear" w:color="auto" w:fill="auto"/>
            <w:vAlign w:val="center"/>
          </w:tcPr>
          <w:p w14:paraId="154240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9" w:type="pct"/>
            <w:shd w:val="clear" w:color="auto" w:fill="auto"/>
            <w:vAlign w:val="center"/>
          </w:tcPr>
          <w:p w14:paraId="30E0DF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9" w:type="pct"/>
            <w:shd w:val="clear" w:color="auto" w:fill="auto"/>
            <w:vAlign w:val="center"/>
          </w:tcPr>
          <w:p w14:paraId="7E384F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9" w:type="pct"/>
            <w:shd w:val="clear" w:color="auto" w:fill="auto"/>
            <w:vAlign w:val="center"/>
          </w:tcPr>
          <w:p w14:paraId="026B00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9" w:type="pct"/>
            <w:shd w:val="clear" w:color="auto" w:fill="auto"/>
            <w:vAlign w:val="center"/>
          </w:tcPr>
          <w:p w14:paraId="61E4F5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4E2E4402">
      <w:pPr>
        <w:spacing w:line="360" w:lineRule="auto"/>
        <w:ind w:firstLine="0"/>
        <w:jc w:val="both"/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>3、低频振动传感器的校准结果</w:t>
      </w:r>
    </w:p>
    <w:p w14:paraId="4A6C74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jc w:val="center"/>
        <w:textAlignment w:val="auto"/>
        <w:rPr>
          <w:rFonts w:hint="default" w:ascii="Times New Roman" w:hAnsi="Times New Roman" w:eastAsia="黑体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黑体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表</w:t>
      </w:r>
      <w:r>
        <w:rPr>
          <w:rFonts w:hint="eastAsia" w:eastAsia="黑体" w:cs="Times New Roman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B.5</w:t>
      </w:r>
      <w:r>
        <w:rPr>
          <w:rFonts w:hint="default" w:ascii="Times New Roman" w:hAnsi="Times New Roman" w:eastAsia="黑体" w:cs="Times New Roman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eastAsia="黑体" w:cs="Times New Roman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灵敏度</w:t>
      </w:r>
      <w:r>
        <w:rPr>
          <w:rFonts w:hint="default" w:ascii="Times New Roman" w:hAnsi="Times New Roman" w:eastAsia="黑体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幅值测量结果</w:t>
      </w:r>
    </w:p>
    <w:tbl>
      <w:tblPr>
        <w:tblStyle w:val="18"/>
        <w:tblW w:w="39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6"/>
        <w:gridCol w:w="1755"/>
        <w:gridCol w:w="1755"/>
        <w:gridCol w:w="1755"/>
        <w:gridCol w:w="1756"/>
      </w:tblGrid>
      <w:tr w14:paraId="223576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433" w:type="pct"/>
            <w:shd w:val="clear" w:color="auto" w:fill="auto"/>
            <w:vAlign w:val="center"/>
          </w:tcPr>
          <w:p w14:paraId="5CC946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序</w:t>
            </w:r>
          </w:p>
          <w:p w14:paraId="15E921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号</w:t>
            </w:r>
          </w:p>
        </w:tc>
        <w:tc>
          <w:tcPr>
            <w:tcW w:w="1141" w:type="pct"/>
            <w:shd w:val="clear" w:color="auto" w:fill="auto"/>
            <w:vAlign w:val="center"/>
          </w:tcPr>
          <w:p w14:paraId="4B76F8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频率</w:t>
            </w:r>
          </w:p>
          <w:p w14:paraId="2123FA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(Hz)</w:t>
            </w:r>
          </w:p>
        </w:tc>
        <w:tc>
          <w:tcPr>
            <w:tcW w:w="1141" w:type="pct"/>
            <w:shd w:val="clear" w:color="auto" w:fill="auto"/>
            <w:vAlign w:val="center"/>
          </w:tcPr>
          <w:p w14:paraId="4550A6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黑体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振动幅值</w:t>
            </w:r>
          </w:p>
          <w:p w14:paraId="1945A6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sz w:val="21"/>
                <w:szCs w:val="21"/>
              </w:rPr>
              <w:t>(m</w:t>
            </w:r>
            <w:r>
              <w:rPr>
                <w:sz w:val="21"/>
                <w:szCs w:val="21"/>
              </w:rPr>
              <w:sym w:font="Symbol" w:char="F0D7"/>
            </w:r>
            <w:r>
              <w:rPr>
                <w:sz w:val="21"/>
                <w:szCs w:val="21"/>
              </w:rPr>
              <w:t>s</w:t>
            </w:r>
            <w:r>
              <w:rPr>
                <w:sz w:val="21"/>
                <w:szCs w:val="21"/>
                <w:vertAlign w:val="superscript"/>
              </w:rPr>
              <w:t>2</w:t>
            </w:r>
            <w:r>
              <w:rPr>
                <w:sz w:val="21"/>
                <w:szCs w:val="21"/>
              </w:rPr>
              <w:t>)</w:t>
            </w:r>
          </w:p>
        </w:tc>
        <w:tc>
          <w:tcPr>
            <w:tcW w:w="1141" w:type="pct"/>
            <w:vAlign w:val="center"/>
          </w:tcPr>
          <w:p w14:paraId="6CDD01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eastAsia="黑体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黑体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灵敏度幅值</w:t>
            </w:r>
          </w:p>
          <w:p w14:paraId="7EB83A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eastAsia="黑体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sz w:val="21"/>
                <w:szCs w:val="21"/>
              </w:rPr>
              <w:t>[mV/(m</w:t>
            </w:r>
            <w:r>
              <w:rPr>
                <w:sz w:val="21"/>
                <w:szCs w:val="21"/>
              </w:rPr>
              <w:sym w:font="Symbol" w:char="F0D7"/>
            </w:r>
            <w:r>
              <w:rPr>
                <w:sz w:val="21"/>
                <w:szCs w:val="21"/>
              </w:rPr>
              <w:t>s</w:t>
            </w:r>
            <w:r>
              <w:rPr>
                <w:sz w:val="21"/>
                <w:szCs w:val="21"/>
                <w:vertAlign w:val="superscript"/>
              </w:rPr>
              <w:t>2</w:t>
            </w:r>
            <w:r>
              <w:rPr>
                <w:sz w:val="21"/>
                <w:szCs w:val="21"/>
              </w:rPr>
              <w:t>)]</w:t>
            </w:r>
          </w:p>
        </w:tc>
        <w:tc>
          <w:tcPr>
            <w:tcW w:w="1142" w:type="pct"/>
            <w:vAlign w:val="center"/>
          </w:tcPr>
          <w:p w14:paraId="0AC5FA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eastAsia="黑体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黑体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测量不确定度(</w:t>
            </w:r>
            <w:r>
              <w:rPr>
                <w:rFonts w:hint="eastAsia" w:eastAsia="黑体" w:cs="Times New Roman"/>
                <w:i/>
                <w:iCs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k</w:t>
            </w:r>
            <w:r>
              <w:rPr>
                <w:rFonts w:hint="eastAsia" w:eastAsia="黑体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=2) (%)</w:t>
            </w:r>
          </w:p>
        </w:tc>
      </w:tr>
      <w:tr w14:paraId="1FF416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433" w:type="pct"/>
            <w:vAlign w:val="center"/>
          </w:tcPr>
          <w:p w14:paraId="3F0116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41" w:type="pct"/>
            <w:shd w:val="clear" w:color="auto" w:fill="auto"/>
            <w:vAlign w:val="center"/>
          </w:tcPr>
          <w:p w14:paraId="157E171D">
            <w:pPr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宋体" w:cstheme="minorBidi"/>
                <w:bCs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41" w:type="pct"/>
            <w:shd w:val="clear" w:color="auto" w:fill="auto"/>
            <w:vAlign w:val="center"/>
          </w:tcPr>
          <w:p w14:paraId="235C19E0">
            <w:pPr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theme="minorBidi"/>
                <w:bCs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41" w:type="pct"/>
            <w:shd w:val="clear" w:color="auto" w:fill="auto"/>
            <w:vAlign w:val="center"/>
          </w:tcPr>
          <w:p w14:paraId="4E5434EE">
            <w:pPr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theme="minorBidi"/>
                <w:bCs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42" w:type="pct"/>
            <w:shd w:val="clear" w:color="auto" w:fill="auto"/>
            <w:vAlign w:val="center"/>
          </w:tcPr>
          <w:p w14:paraId="7B118C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0E909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433" w:type="pct"/>
            <w:shd w:val="clear" w:color="auto" w:fill="auto"/>
            <w:vAlign w:val="center"/>
          </w:tcPr>
          <w:p w14:paraId="241C18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41" w:type="pct"/>
            <w:shd w:val="clear" w:color="auto" w:fill="auto"/>
            <w:vAlign w:val="center"/>
          </w:tcPr>
          <w:p w14:paraId="35E56318">
            <w:pPr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宋体" w:cstheme="minorBidi"/>
                <w:bCs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41" w:type="pct"/>
            <w:shd w:val="clear" w:color="auto" w:fill="auto"/>
            <w:vAlign w:val="center"/>
          </w:tcPr>
          <w:p w14:paraId="25BF7CCC">
            <w:pPr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theme="minorBidi"/>
                <w:bCs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41" w:type="pct"/>
            <w:shd w:val="clear" w:color="auto" w:fill="auto"/>
            <w:vAlign w:val="center"/>
          </w:tcPr>
          <w:p w14:paraId="18248EAA">
            <w:pPr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theme="minorBidi"/>
                <w:bCs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42" w:type="pct"/>
            <w:shd w:val="clear" w:color="auto" w:fill="auto"/>
            <w:vAlign w:val="center"/>
          </w:tcPr>
          <w:p w14:paraId="0F20C3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83AB3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433" w:type="pct"/>
            <w:shd w:val="clear" w:color="auto" w:fill="auto"/>
            <w:vAlign w:val="center"/>
          </w:tcPr>
          <w:p w14:paraId="0349F5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41" w:type="pct"/>
            <w:shd w:val="clear" w:color="auto" w:fill="auto"/>
            <w:vAlign w:val="center"/>
          </w:tcPr>
          <w:p w14:paraId="6DDBC200">
            <w:pPr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宋体" w:cstheme="minorBidi"/>
                <w:bCs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41" w:type="pct"/>
            <w:shd w:val="clear" w:color="auto" w:fill="auto"/>
            <w:vAlign w:val="center"/>
          </w:tcPr>
          <w:p w14:paraId="297DD251">
            <w:pPr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theme="minorBidi"/>
                <w:bCs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41" w:type="pct"/>
            <w:shd w:val="clear" w:color="auto" w:fill="auto"/>
            <w:vAlign w:val="center"/>
          </w:tcPr>
          <w:p w14:paraId="6CE9F135">
            <w:pPr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theme="minorBidi"/>
                <w:bCs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42" w:type="pct"/>
            <w:shd w:val="clear" w:color="auto" w:fill="auto"/>
            <w:vAlign w:val="center"/>
          </w:tcPr>
          <w:p w14:paraId="01F7A4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E5790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433" w:type="pct"/>
            <w:shd w:val="clear" w:color="auto" w:fill="auto"/>
            <w:vAlign w:val="center"/>
          </w:tcPr>
          <w:p w14:paraId="318F7D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bCs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41" w:type="pct"/>
            <w:shd w:val="clear" w:color="auto" w:fill="auto"/>
            <w:vAlign w:val="center"/>
          </w:tcPr>
          <w:p w14:paraId="57400919">
            <w:pPr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theme="minorBidi"/>
                <w:bCs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41" w:type="pct"/>
            <w:shd w:val="clear" w:color="auto" w:fill="auto"/>
            <w:vAlign w:val="center"/>
          </w:tcPr>
          <w:p w14:paraId="59948F79">
            <w:pPr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theme="minorBidi"/>
                <w:bCs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41" w:type="pct"/>
            <w:shd w:val="clear" w:color="auto" w:fill="auto"/>
            <w:vAlign w:val="center"/>
          </w:tcPr>
          <w:p w14:paraId="311AEEA6">
            <w:pPr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theme="minorBidi"/>
                <w:bCs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42" w:type="pct"/>
            <w:shd w:val="clear" w:color="auto" w:fill="auto"/>
            <w:vAlign w:val="center"/>
          </w:tcPr>
          <w:p w14:paraId="7C051E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A9743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433" w:type="pct"/>
            <w:vAlign w:val="center"/>
          </w:tcPr>
          <w:p w14:paraId="6C59C0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cs="Times New Roman"/>
                <w:bCs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41" w:type="pct"/>
            <w:shd w:val="clear" w:color="auto" w:fill="auto"/>
            <w:vAlign w:val="center"/>
          </w:tcPr>
          <w:p w14:paraId="6F861425">
            <w:pPr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theme="minorBidi"/>
                <w:bCs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41" w:type="pct"/>
            <w:shd w:val="clear" w:color="auto" w:fill="auto"/>
            <w:vAlign w:val="center"/>
          </w:tcPr>
          <w:p w14:paraId="56DF69AE">
            <w:pPr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theme="minorBidi"/>
                <w:bCs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41" w:type="pct"/>
            <w:shd w:val="clear" w:color="auto" w:fill="auto"/>
            <w:vAlign w:val="center"/>
          </w:tcPr>
          <w:p w14:paraId="72D0570A">
            <w:pPr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theme="minorBidi"/>
                <w:bCs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42" w:type="pct"/>
            <w:vAlign w:val="center"/>
          </w:tcPr>
          <w:p w14:paraId="6677C9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DF97C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433" w:type="pct"/>
            <w:vAlign w:val="center"/>
          </w:tcPr>
          <w:p w14:paraId="7BB491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cs="Times New Roman"/>
                <w:bCs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41" w:type="pct"/>
            <w:shd w:val="clear" w:color="auto" w:fill="auto"/>
            <w:vAlign w:val="center"/>
          </w:tcPr>
          <w:p w14:paraId="4DD7AA62">
            <w:pPr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theme="minorBidi"/>
                <w:bCs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41" w:type="pct"/>
            <w:shd w:val="clear" w:color="auto" w:fill="auto"/>
            <w:vAlign w:val="center"/>
          </w:tcPr>
          <w:p w14:paraId="464079CD">
            <w:pPr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theme="minorBidi"/>
                <w:bCs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41" w:type="pct"/>
            <w:shd w:val="clear" w:color="auto" w:fill="auto"/>
            <w:vAlign w:val="center"/>
          </w:tcPr>
          <w:p w14:paraId="3B9A12DC">
            <w:pPr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theme="minorBidi"/>
                <w:bCs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42" w:type="pct"/>
            <w:vAlign w:val="center"/>
          </w:tcPr>
          <w:p w14:paraId="0C2045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EB0A0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433" w:type="pct"/>
            <w:vAlign w:val="center"/>
          </w:tcPr>
          <w:p w14:paraId="56CE13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cs="Times New Roman"/>
                <w:bCs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41" w:type="pct"/>
            <w:shd w:val="clear" w:color="auto" w:fill="auto"/>
            <w:vAlign w:val="center"/>
          </w:tcPr>
          <w:p w14:paraId="58D5C042">
            <w:pPr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theme="minorBidi"/>
                <w:bCs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41" w:type="pct"/>
            <w:shd w:val="clear" w:color="auto" w:fill="auto"/>
            <w:vAlign w:val="center"/>
          </w:tcPr>
          <w:p w14:paraId="5B3C286D">
            <w:pPr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theme="minorBidi"/>
                <w:bCs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41" w:type="pct"/>
            <w:shd w:val="clear" w:color="auto" w:fill="auto"/>
            <w:vAlign w:val="center"/>
          </w:tcPr>
          <w:p w14:paraId="42107AA3">
            <w:pPr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theme="minorBidi"/>
                <w:bCs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42" w:type="pct"/>
            <w:vAlign w:val="center"/>
          </w:tcPr>
          <w:p w14:paraId="004EE6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0758E8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jc w:val="center"/>
        <w:textAlignment w:val="auto"/>
        <w:rPr>
          <w:rFonts w:hint="default" w:ascii="Times New Roman" w:hAnsi="Times New Roman" w:eastAsia="黑体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黑体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表</w:t>
      </w:r>
      <w:r>
        <w:rPr>
          <w:rFonts w:hint="eastAsia" w:eastAsia="黑体" w:cs="Times New Roman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B.6</w:t>
      </w:r>
      <w:r>
        <w:rPr>
          <w:rFonts w:hint="default" w:ascii="Times New Roman" w:hAnsi="Times New Roman" w:eastAsia="黑体" w:cs="Times New Roman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eastAsia="黑体" w:cs="Times New Roman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相位</w:t>
      </w:r>
      <w:r>
        <w:rPr>
          <w:rFonts w:hint="default" w:ascii="Times New Roman" w:hAnsi="Times New Roman" w:eastAsia="黑体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测量结果</w:t>
      </w:r>
    </w:p>
    <w:tbl>
      <w:tblPr>
        <w:tblStyle w:val="18"/>
        <w:tblW w:w="39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6"/>
        <w:gridCol w:w="1755"/>
        <w:gridCol w:w="1755"/>
        <w:gridCol w:w="1755"/>
        <w:gridCol w:w="1756"/>
      </w:tblGrid>
      <w:tr w14:paraId="4FFD9C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433" w:type="pct"/>
            <w:shd w:val="clear" w:color="auto" w:fill="auto"/>
            <w:vAlign w:val="center"/>
          </w:tcPr>
          <w:p w14:paraId="125AFC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序</w:t>
            </w:r>
          </w:p>
          <w:p w14:paraId="30F867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号</w:t>
            </w:r>
          </w:p>
        </w:tc>
        <w:tc>
          <w:tcPr>
            <w:tcW w:w="1141" w:type="pct"/>
            <w:shd w:val="clear" w:color="auto" w:fill="auto"/>
            <w:vAlign w:val="center"/>
          </w:tcPr>
          <w:p w14:paraId="6A00F9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频率</w:t>
            </w:r>
          </w:p>
          <w:p w14:paraId="4A3ECD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(Hz)</w:t>
            </w:r>
          </w:p>
        </w:tc>
        <w:tc>
          <w:tcPr>
            <w:tcW w:w="1141" w:type="pct"/>
            <w:shd w:val="clear" w:color="auto" w:fill="auto"/>
            <w:vAlign w:val="center"/>
          </w:tcPr>
          <w:p w14:paraId="261225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黑体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振动幅值</w:t>
            </w:r>
          </w:p>
          <w:p w14:paraId="7A52F1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sz w:val="21"/>
                <w:szCs w:val="21"/>
              </w:rPr>
              <w:t>(m</w:t>
            </w:r>
            <w:r>
              <w:rPr>
                <w:sz w:val="21"/>
                <w:szCs w:val="21"/>
              </w:rPr>
              <w:sym w:font="Symbol" w:char="F0D7"/>
            </w:r>
            <w:r>
              <w:rPr>
                <w:sz w:val="21"/>
                <w:szCs w:val="21"/>
              </w:rPr>
              <w:t>s</w:t>
            </w:r>
            <w:r>
              <w:rPr>
                <w:sz w:val="21"/>
                <w:szCs w:val="21"/>
                <w:vertAlign w:val="superscript"/>
              </w:rPr>
              <w:t>2</w:t>
            </w:r>
            <w:r>
              <w:rPr>
                <w:sz w:val="21"/>
                <w:szCs w:val="21"/>
              </w:rPr>
              <w:t>)</w:t>
            </w:r>
          </w:p>
        </w:tc>
        <w:tc>
          <w:tcPr>
            <w:tcW w:w="1141" w:type="pct"/>
            <w:vAlign w:val="center"/>
          </w:tcPr>
          <w:p w14:paraId="237AD5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eastAsia="黑体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黑体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灵敏度相位</w:t>
            </w:r>
          </w:p>
          <w:p w14:paraId="764B81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eastAsia="黑体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(</w:t>
            </w:r>
            <w:r>
              <w:rPr>
                <w:rFonts w:hint="eastAsia" w:ascii="Times New Roman" w:hAnsi="Times New Roman" w:eastAsia="黑体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°</w:t>
            </w:r>
            <w:r>
              <w:rPr>
                <w:rFonts w:hint="default" w:ascii="Times New Roman" w:hAnsi="Times New Roman" w:eastAsia="黑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1142" w:type="pct"/>
            <w:vAlign w:val="center"/>
          </w:tcPr>
          <w:p w14:paraId="1AF42F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eastAsia="黑体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黑体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测量不确定度(</w:t>
            </w:r>
            <w:r>
              <w:rPr>
                <w:rFonts w:hint="eastAsia" w:eastAsia="黑体" w:cs="Times New Roman"/>
                <w:i/>
                <w:iCs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k</w:t>
            </w:r>
            <w:r>
              <w:rPr>
                <w:rFonts w:hint="eastAsia" w:eastAsia="黑体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=2) (°)</w:t>
            </w:r>
          </w:p>
        </w:tc>
      </w:tr>
      <w:tr w14:paraId="4996C5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433" w:type="pct"/>
            <w:vAlign w:val="center"/>
          </w:tcPr>
          <w:p w14:paraId="0C44FA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41" w:type="pct"/>
            <w:shd w:val="clear" w:color="auto" w:fill="auto"/>
            <w:vAlign w:val="center"/>
          </w:tcPr>
          <w:p w14:paraId="6B70CDEE">
            <w:pPr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宋体" w:cstheme="minorBidi"/>
                <w:bCs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41" w:type="pct"/>
            <w:shd w:val="clear" w:color="auto" w:fill="auto"/>
            <w:vAlign w:val="center"/>
          </w:tcPr>
          <w:p w14:paraId="07F49569">
            <w:pPr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theme="minorBidi"/>
                <w:bCs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41" w:type="pct"/>
            <w:shd w:val="clear" w:color="auto" w:fill="auto"/>
            <w:vAlign w:val="center"/>
          </w:tcPr>
          <w:p w14:paraId="53B8B986">
            <w:pPr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theme="minorBidi"/>
                <w:bCs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42" w:type="pct"/>
            <w:shd w:val="clear" w:color="auto" w:fill="auto"/>
            <w:vAlign w:val="center"/>
          </w:tcPr>
          <w:p w14:paraId="423B7C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A5CD0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433" w:type="pct"/>
            <w:shd w:val="clear" w:color="auto" w:fill="auto"/>
            <w:vAlign w:val="center"/>
          </w:tcPr>
          <w:p w14:paraId="4B922C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41" w:type="pct"/>
            <w:shd w:val="clear" w:color="auto" w:fill="auto"/>
            <w:vAlign w:val="center"/>
          </w:tcPr>
          <w:p w14:paraId="230A528A">
            <w:pPr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theme="minorBidi"/>
                <w:bCs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41" w:type="pct"/>
            <w:shd w:val="clear" w:color="auto" w:fill="auto"/>
            <w:vAlign w:val="center"/>
          </w:tcPr>
          <w:p w14:paraId="1B1A4F1F">
            <w:pPr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theme="minorBidi"/>
                <w:bCs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41" w:type="pct"/>
            <w:shd w:val="clear" w:color="auto" w:fill="auto"/>
            <w:vAlign w:val="center"/>
          </w:tcPr>
          <w:p w14:paraId="4F0ABD59">
            <w:pPr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theme="minorBidi"/>
                <w:bCs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42" w:type="pct"/>
            <w:shd w:val="clear" w:color="auto" w:fill="auto"/>
            <w:vAlign w:val="center"/>
          </w:tcPr>
          <w:p w14:paraId="0226E2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39FB1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433" w:type="pct"/>
            <w:shd w:val="clear" w:color="auto" w:fill="auto"/>
            <w:vAlign w:val="center"/>
          </w:tcPr>
          <w:p w14:paraId="464CAA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41" w:type="pct"/>
            <w:shd w:val="clear" w:color="auto" w:fill="auto"/>
            <w:vAlign w:val="center"/>
          </w:tcPr>
          <w:p w14:paraId="686AC19F">
            <w:pPr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theme="minorBidi"/>
                <w:bCs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41" w:type="pct"/>
            <w:shd w:val="clear" w:color="auto" w:fill="auto"/>
            <w:vAlign w:val="center"/>
          </w:tcPr>
          <w:p w14:paraId="0D0D431B">
            <w:pPr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theme="minorBidi"/>
                <w:bCs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41" w:type="pct"/>
            <w:shd w:val="clear" w:color="auto" w:fill="auto"/>
            <w:vAlign w:val="center"/>
          </w:tcPr>
          <w:p w14:paraId="2A4DE392">
            <w:pPr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theme="minorBidi"/>
                <w:bCs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42" w:type="pct"/>
            <w:shd w:val="clear" w:color="auto" w:fill="auto"/>
            <w:vAlign w:val="center"/>
          </w:tcPr>
          <w:p w14:paraId="1F81AC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788D0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433" w:type="pct"/>
            <w:shd w:val="clear" w:color="auto" w:fill="auto"/>
            <w:vAlign w:val="center"/>
          </w:tcPr>
          <w:p w14:paraId="1F3C55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bCs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41" w:type="pct"/>
            <w:shd w:val="clear" w:color="auto" w:fill="auto"/>
            <w:vAlign w:val="center"/>
          </w:tcPr>
          <w:p w14:paraId="152CCECB">
            <w:pPr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theme="minorBidi"/>
                <w:bCs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41" w:type="pct"/>
            <w:shd w:val="clear" w:color="auto" w:fill="auto"/>
            <w:vAlign w:val="center"/>
          </w:tcPr>
          <w:p w14:paraId="3A6348AC">
            <w:pPr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theme="minorBidi"/>
                <w:bCs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41" w:type="pct"/>
            <w:shd w:val="clear" w:color="auto" w:fill="auto"/>
            <w:vAlign w:val="center"/>
          </w:tcPr>
          <w:p w14:paraId="6823F451">
            <w:pPr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theme="minorBidi"/>
                <w:bCs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42" w:type="pct"/>
            <w:shd w:val="clear" w:color="auto" w:fill="auto"/>
            <w:vAlign w:val="center"/>
          </w:tcPr>
          <w:p w14:paraId="3755F2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4AEC3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433" w:type="pct"/>
            <w:shd w:val="clear" w:color="auto" w:fill="auto"/>
            <w:vAlign w:val="center"/>
          </w:tcPr>
          <w:p w14:paraId="74C14E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bCs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41" w:type="pct"/>
            <w:shd w:val="clear" w:color="auto" w:fill="auto"/>
            <w:vAlign w:val="center"/>
          </w:tcPr>
          <w:p w14:paraId="190223ED">
            <w:pPr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theme="minorBidi"/>
                <w:bCs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41" w:type="pct"/>
            <w:shd w:val="clear" w:color="auto" w:fill="auto"/>
            <w:vAlign w:val="center"/>
          </w:tcPr>
          <w:p w14:paraId="4F356EAF">
            <w:pPr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theme="minorBidi"/>
                <w:bCs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41" w:type="pct"/>
            <w:shd w:val="clear" w:color="auto" w:fill="auto"/>
            <w:vAlign w:val="center"/>
          </w:tcPr>
          <w:p w14:paraId="3ACA6647">
            <w:pPr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theme="minorBidi"/>
                <w:bCs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42" w:type="pct"/>
            <w:shd w:val="clear" w:color="auto" w:fill="auto"/>
            <w:vAlign w:val="center"/>
          </w:tcPr>
          <w:p w14:paraId="6B654C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92D85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433" w:type="pct"/>
            <w:shd w:val="clear" w:color="auto" w:fill="auto"/>
            <w:vAlign w:val="center"/>
          </w:tcPr>
          <w:p w14:paraId="3354D6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bCs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41" w:type="pct"/>
            <w:shd w:val="clear" w:color="auto" w:fill="auto"/>
            <w:vAlign w:val="center"/>
          </w:tcPr>
          <w:p w14:paraId="092E9C92">
            <w:pPr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theme="minorBidi"/>
                <w:bCs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41" w:type="pct"/>
            <w:shd w:val="clear" w:color="auto" w:fill="auto"/>
            <w:vAlign w:val="center"/>
          </w:tcPr>
          <w:p w14:paraId="5E24EE92">
            <w:pPr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theme="minorBidi"/>
                <w:bCs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41" w:type="pct"/>
            <w:shd w:val="clear" w:color="auto" w:fill="auto"/>
            <w:vAlign w:val="center"/>
          </w:tcPr>
          <w:p w14:paraId="0F12D4FC">
            <w:pPr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theme="minorBidi"/>
                <w:bCs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42" w:type="pct"/>
            <w:shd w:val="clear" w:color="auto" w:fill="auto"/>
            <w:vAlign w:val="center"/>
          </w:tcPr>
          <w:p w14:paraId="5B2BD5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FFAC4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433" w:type="pct"/>
            <w:shd w:val="clear" w:color="auto" w:fill="auto"/>
            <w:vAlign w:val="center"/>
          </w:tcPr>
          <w:p w14:paraId="7BD8D0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bCs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41" w:type="pct"/>
            <w:shd w:val="clear" w:color="auto" w:fill="auto"/>
            <w:vAlign w:val="center"/>
          </w:tcPr>
          <w:p w14:paraId="20E46AEF">
            <w:pPr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theme="minorBidi"/>
                <w:bCs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41" w:type="pct"/>
            <w:shd w:val="clear" w:color="auto" w:fill="auto"/>
            <w:vAlign w:val="center"/>
          </w:tcPr>
          <w:p w14:paraId="1BDEEAE7">
            <w:pPr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theme="minorBidi"/>
                <w:bCs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41" w:type="pct"/>
            <w:shd w:val="clear" w:color="auto" w:fill="auto"/>
            <w:vAlign w:val="center"/>
          </w:tcPr>
          <w:p w14:paraId="3E252D88">
            <w:pPr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theme="minorBidi"/>
                <w:bCs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42" w:type="pct"/>
            <w:shd w:val="clear" w:color="auto" w:fill="auto"/>
            <w:vAlign w:val="center"/>
          </w:tcPr>
          <w:p w14:paraId="261B8D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615E4EB1">
      <w:pPr>
        <w:spacing w:line="360" w:lineRule="auto"/>
        <w:ind w:firstLine="0"/>
        <w:jc w:val="both"/>
        <w:rPr>
          <w:rFonts w:hint="eastAsia"/>
        </w:rPr>
      </w:pPr>
      <w:r>
        <w:rPr>
          <w:rFonts w:hint="eastAsia"/>
          <w:lang w:val="en-US" w:eastAsia="zh-CN"/>
        </w:rPr>
        <w:t>4、低频振动测量系统的校准结果</w:t>
      </w:r>
    </w:p>
    <w:p w14:paraId="3ABD39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jc w:val="center"/>
        <w:textAlignment w:val="auto"/>
        <w:rPr>
          <w:rFonts w:hint="default" w:ascii="Times New Roman" w:hAnsi="Times New Roman" w:eastAsia="黑体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黑体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表</w:t>
      </w:r>
      <w:r>
        <w:rPr>
          <w:rFonts w:hint="eastAsia" w:eastAsia="黑体" w:cs="Times New Roman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B.</w:t>
      </w:r>
      <w:r>
        <w:rPr>
          <w:rFonts w:hint="eastAsia" w:ascii="Times New Roman" w:hAnsi="Times New Roman" w:eastAsia="黑体" w:cs="Times New Roman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7</w:t>
      </w:r>
      <w:r>
        <w:rPr>
          <w:rFonts w:hint="default" w:ascii="Times New Roman" w:hAnsi="Times New Roman" w:eastAsia="黑体" w:cs="Times New Roman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eastAsia="黑体" w:cs="Times New Roman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振动测量仪</w:t>
      </w:r>
      <w:r>
        <w:rPr>
          <w:rFonts w:hint="default" w:ascii="Times New Roman" w:hAnsi="Times New Roman" w:eastAsia="黑体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幅值测量结果</w:t>
      </w:r>
    </w:p>
    <w:tbl>
      <w:tblPr>
        <w:tblStyle w:val="18"/>
        <w:tblW w:w="4791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6"/>
        <w:gridCol w:w="1755"/>
        <w:gridCol w:w="1755"/>
        <w:gridCol w:w="1755"/>
        <w:gridCol w:w="1755"/>
        <w:gridCol w:w="1756"/>
      </w:tblGrid>
      <w:tr w14:paraId="1B4905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52" w:type="pct"/>
            <w:shd w:val="clear" w:color="auto" w:fill="auto"/>
            <w:vAlign w:val="center"/>
          </w:tcPr>
          <w:p w14:paraId="2D24EC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序</w:t>
            </w:r>
          </w:p>
          <w:p w14:paraId="1AEE47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号</w:t>
            </w:r>
          </w:p>
        </w:tc>
        <w:tc>
          <w:tcPr>
            <w:tcW w:w="929" w:type="pct"/>
            <w:shd w:val="clear" w:color="auto" w:fill="auto"/>
            <w:vAlign w:val="center"/>
          </w:tcPr>
          <w:p w14:paraId="6E484A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频率</w:t>
            </w:r>
          </w:p>
          <w:p w14:paraId="1C7EC8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(Hz)</w:t>
            </w:r>
          </w:p>
        </w:tc>
        <w:tc>
          <w:tcPr>
            <w:tcW w:w="929" w:type="pct"/>
            <w:shd w:val="clear" w:color="auto" w:fill="auto"/>
            <w:vAlign w:val="center"/>
          </w:tcPr>
          <w:p w14:paraId="510B3F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黑体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标准值</w:t>
            </w:r>
          </w:p>
          <w:p w14:paraId="46DB0A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sz w:val="21"/>
                <w:szCs w:val="21"/>
              </w:rPr>
              <w:t>(m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/</w:t>
            </w:r>
            <w:r>
              <w:rPr>
                <w:sz w:val="21"/>
                <w:szCs w:val="21"/>
              </w:rPr>
              <w:t>s</w:t>
            </w:r>
            <w:r>
              <w:rPr>
                <w:sz w:val="21"/>
                <w:szCs w:val="21"/>
                <w:vertAlign w:val="superscript"/>
              </w:rPr>
              <w:t>2</w:t>
            </w:r>
            <w:r>
              <w:rPr>
                <w:sz w:val="21"/>
                <w:szCs w:val="21"/>
              </w:rPr>
              <w:t>)</w:t>
            </w:r>
          </w:p>
        </w:tc>
        <w:tc>
          <w:tcPr>
            <w:tcW w:w="929" w:type="pct"/>
            <w:vAlign w:val="center"/>
          </w:tcPr>
          <w:p w14:paraId="3DD057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eastAsia="黑体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黑体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实测值</w:t>
            </w:r>
          </w:p>
          <w:p w14:paraId="536F24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eastAsia="黑体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sz w:val="21"/>
                <w:szCs w:val="21"/>
              </w:rPr>
              <w:t>(m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/</w:t>
            </w:r>
            <w:r>
              <w:rPr>
                <w:sz w:val="21"/>
                <w:szCs w:val="21"/>
              </w:rPr>
              <w:t>s</w:t>
            </w:r>
            <w:r>
              <w:rPr>
                <w:sz w:val="21"/>
                <w:szCs w:val="21"/>
                <w:vertAlign w:val="superscript"/>
              </w:rPr>
              <w:t>2</w:t>
            </w:r>
            <w:r>
              <w:rPr>
                <w:sz w:val="21"/>
                <w:szCs w:val="21"/>
              </w:rPr>
              <w:t>)</w:t>
            </w:r>
          </w:p>
        </w:tc>
        <w:tc>
          <w:tcPr>
            <w:tcW w:w="929" w:type="pct"/>
            <w:vAlign w:val="center"/>
          </w:tcPr>
          <w:p w14:paraId="12B3D3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eastAsia="黑体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黑体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相对误差</w:t>
            </w:r>
          </w:p>
          <w:p w14:paraId="679534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eastAsia="黑体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黑体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(%)</w:t>
            </w:r>
          </w:p>
        </w:tc>
        <w:tc>
          <w:tcPr>
            <w:tcW w:w="929" w:type="pct"/>
            <w:vAlign w:val="center"/>
          </w:tcPr>
          <w:p w14:paraId="035450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eastAsia="黑体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黑体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测量不确定度(</w:t>
            </w:r>
            <w:r>
              <w:rPr>
                <w:rFonts w:hint="eastAsia" w:eastAsia="黑体" w:cs="Times New Roman"/>
                <w:i/>
                <w:iCs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k</w:t>
            </w:r>
            <w:r>
              <w:rPr>
                <w:rFonts w:hint="eastAsia" w:eastAsia="黑体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=2) (%)</w:t>
            </w:r>
          </w:p>
        </w:tc>
      </w:tr>
      <w:tr w14:paraId="78F9CA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352" w:type="pct"/>
            <w:vAlign w:val="center"/>
          </w:tcPr>
          <w:p w14:paraId="5CD8CA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18" w:type="dxa"/>
            <w:shd w:val="clear" w:color="auto" w:fill="auto"/>
            <w:vAlign w:val="center"/>
          </w:tcPr>
          <w:p w14:paraId="7CFC3897">
            <w:pPr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宋体" w:cstheme="minorBidi"/>
                <w:bCs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929" w:type="pct"/>
            <w:shd w:val="clear" w:color="auto" w:fill="auto"/>
            <w:vAlign w:val="center"/>
          </w:tcPr>
          <w:p w14:paraId="49180FE3">
            <w:pPr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theme="minorBidi"/>
                <w:bCs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929" w:type="pct"/>
            <w:shd w:val="clear" w:color="auto" w:fill="auto"/>
            <w:vAlign w:val="center"/>
          </w:tcPr>
          <w:p w14:paraId="2CA8F8FC">
            <w:pPr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theme="minorBidi"/>
                <w:bCs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929" w:type="pct"/>
            <w:shd w:val="clear" w:color="auto" w:fill="auto"/>
            <w:vAlign w:val="center"/>
          </w:tcPr>
          <w:p w14:paraId="352CBE41">
            <w:pPr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theme="minorBidi"/>
                <w:bCs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929" w:type="pct"/>
            <w:shd w:val="clear" w:color="auto" w:fill="auto"/>
            <w:vAlign w:val="center"/>
          </w:tcPr>
          <w:p w14:paraId="56746B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96609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352" w:type="pct"/>
            <w:shd w:val="clear" w:color="auto" w:fill="auto"/>
            <w:vAlign w:val="center"/>
          </w:tcPr>
          <w:p w14:paraId="74965C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18" w:type="dxa"/>
            <w:shd w:val="clear" w:color="auto" w:fill="auto"/>
            <w:vAlign w:val="center"/>
          </w:tcPr>
          <w:p w14:paraId="48E70EB3">
            <w:pPr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theme="minorBidi"/>
                <w:bCs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929" w:type="pct"/>
            <w:shd w:val="clear" w:color="auto" w:fill="auto"/>
            <w:vAlign w:val="center"/>
          </w:tcPr>
          <w:p w14:paraId="2EB984B1">
            <w:pPr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theme="minorBidi"/>
                <w:bCs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929" w:type="pct"/>
            <w:shd w:val="clear" w:color="auto" w:fill="auto"/>
            <w:vAlign w:val="center"/>
          </w:tcPr>
          <w:p w14:paraId="5612CE5A">
            <w:pPr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theme="minorBidi"/>
                <w:bCs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929" w:type="pct"/>
            <w:shd w:val="clear" w:color="auto" w:fill="auto"/>
            <w:vAlign w:val="center"/>
          </w:tcPr>
          <w:p w14:paraId="27D77785">
            <w:pPr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theme="minorBidi"/>
                <w:bCs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929" w:type="pct"/>
            <w:shd w:val="clear" w:color="auto" w:fill="auto"/>
            <w:vAlign w:val="center"/>
          </w:tcPr>
          <w:p w14:paraId="4757CB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810BA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352" w:type="pct"/>
            <w:shd w:val="clear" w:color="auto" w:fill="auto"/>
            <w:vAlign w:val="center"/>
          </w:tcPr>
          <w:p w14:paraId="6C9767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18" w:type="dxa"/>
            <w:shd w:val="clear" w:color="auto" w:fill="auto"/>
            <w:vAlign w:val="center"/>
          </w:tcPr>
          <w:p w14:paraId="43666B99">
            <w:pPr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theme="minorBidi"/>
                <w:bCs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929" w:type="pct"/>
            <w:shd w:val="clear" w:color="auto" w:fill="auto"/>
            <w:vAlign w:val="center"/>
          </w:tcPr>
          <w:p w14:paraId="322F743D">
            <w:pPr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theme="minorBidi"/>
                <w:bCs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929" w:type="pct"/>
            <w:shd w:val="clear" w:color="auto" w:fill="auto"/>
            <w:vAlign w:val="center"/>
          </w:tcPr>
          <w:p w14:paraId="4EBA4F7C">
            <w:pPr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theme="minorBidi"/>
                <w:bCs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929" w:type="pct"/>
            <w:shd w:val="clear" w:color="auto" w:fill="auto"/>
            <w:vAlign w:val="center"/>
          </w:tcPr>
          <w:p w14:paraId="27F08F40">
            <w:pPr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theme="minorBidi"/>
                <w:bCs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929" w:type="pct"/>
            <w:shd w:val="clear" w:color="auto" w:fill="auto"/>
            <w:vAlign w:val="center"/>
          </w:tcPr>
          <w:p w14:paraId="304339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6A59A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352" w:type="pct"/>
            <w:shd w:val="clear" w:color="auto" w:fill="auto"/>
            <w:vAlign w:val="center"/>
          </w:tcPr>
          <w:p w14:paraId="4ADEC1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bCs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18" w:type="dxa"/>
            <w:shd w:val="clear" w:color="auto" w:fill="auto"/>
            <w:vAlign w:val="center"/>
          </w:tcPr>
          <w:p w14:paraId="2CF341A8">
            <w:pPr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theme="minorBidi"/>
                <w:bCs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929" w:type="pct"/>
            <w:shd w:val="clear" w:color="auto" w:fill="auto"/>
            <w:vAlign w:val="center"/>
          </w:tcPr>
          <w:p w14:paraId="275581B1">
            <w:pPr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theme="minorBidi"/>
                <w:bCs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929" w:type="pct"/>
            <w:shd w:val="clear" w:color="auto" w:fill="auto"/>
            <w:vAlign w:val="center"/>
          </w:tcPr>
          <w:p w14:paraId="0F98C60D">
            <w:pPr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theme="minorBidi"/>
                <w:bCs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929" w:type="pct"/>
            <w:shd w:val="clear" w:color="auto" w:fill="auto"/>
            <w:vAlign w:val="center"/>
          </w:tcPr>
          <w:p w14:paraId="0A3B905D">
            <w:pPr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theme="minorBidi"/>
                <w:bCs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929" w:type="pct"/>
            <w:shd w:val="clear" w:color="auto" w:fill="auto"/>
            <w:vAlign w:val="center"/>
          </w:tcPr>
          <w:p w14:paraId="549C77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1801B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352" w:type="pct"/>
            <w:vAlign w:val="center"/>
          </w:tcPr>
          <w:p w14:paraId="7800CE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cs="Times New Roman"/>
                <w:bCs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18" w:type="dxa"/>
            <w:shd w:val="clear" w:color="auto" w:fill="auto"/>
            <w:vAlign w:val="center"/>
          </w:tcPr>
          <w:p w14:paraId="6AA54F8A">
            <w:pPr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theme="minorBidi"/>
                <w:bCs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929" w:type="pct"/>
            <w:shd w:val="clear" w:color="auto" w:fill="auto"/>
            <w:vAlign w:val="center"/>
          </w:tcPr>
          <w:p w14:paraId="00FB4506">
            <w:pPr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theme="minorBidi"/>
                <w:bCs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929" w:type="pct"/>
            <w:shd w:val="clear" w:color="auto" w:fill="auto"/>
            <w:vAlign w:val="center"/>
          </w:tcPr>
          <w:p w14:paraId="71E7DEB3">
            <w:pPr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theme="minorBidi"/>
                <w:bCs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929" w:type="pct"/>
            <w:shd w:val="clear" w:color="auto" w:fill="auto"/>
            <w:vAlign w:val="center"/>
          </w:tcPr>
          <w:p w14:paraId="1E6D1802">
            <w:pPr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theme="minorBidi"/>
                <w:bCs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929" w:type="pct"/>
            <w:vAlign w:val="center"/>
          </w:tcPr>
          <w:p w14:paraId="210506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7E5D0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352" w:type="pct"/>
            <w:vAlign w:val="center"/>
          </w:tcPr>
          <w:p w14:paraId="06564F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cs="Times New Roman"/>
                <w:bCs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18" w:type="dxa"/>
            <w:shd w:val="clear" w:color="auto" w:fill="auto"/>
            <w:vAlign w:val="center"/>
          </w:tcPr>
          <w:p w14:paraId="6EEB3E7A">
            <w:pPr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theme="minorBidi"/>
                <w:bCs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929" w:type="pct"/>
            <w:shd w:val="clear" w:color="auto" w:fill="auto"/>
            <w:vAlign w:val="center"/>
          </w:tcPr>
          <w:p w14:paraId="559A12AE">
            <w:pPr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theme="minorBidi"/>
                <w:bCs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929" w:type="pct"/>
            <w:shd w:val="clear" w:color="auto" w:fill="auto"/>
            <w:vAlign w:val="center"/>
          </w:tcPr>
          <w:p w14:paraId="7F068861">
            <w:pPr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theme="minorBidi"/>
                <w:bCs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929" w:type="pct"/>
            <w:shd w:val="clear" w:color="auto" w:fill="auto"/>
            <w:vAlign w:val="center"/>
          </w:tcPr>
          <w:p w14:paraId="6FB1A17A">
            <w:pPr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theme="minorBidi"/>
                <w:bCs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929" w:type="pct"/>
            <w:vAlign w:val="center"/>
          </w:tcPr>
          <w:p w14:paraId="7D0D9C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B24B5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352" w:type="pct"/>
            <w:vAlign w:val="center"/>
          </w:tcPr>
          <w:p w14:paraId="2C8DF2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cs="Times New Roman"/>
                <w:bCs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18" w:type="dxa"/>
            <w:shd w:val="clear" w:color="auto" w:fill="auto"/>
            <w:vAlign w:val="center"/>
          </w:tcPr>
          <w:p w14:paraId="276C4809">
            <w:pPr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theme="minorBidi"/>
                <w:bCs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929" w:type="pct"/>
            <w:shd w:val="clear" w:color="auto" w:fill="auto"/>
            <w:vAlign w:val="center"/>
          </w:tcPr>
          <w:p w14:paraId="5935E272">
            <w:pPr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theme="minorBidi"/>
                <w:bCs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929" w:type="pct"/>
            <w:shd w:val="clear" w:color="auto" w:fill="auto"/>
            <w:vAlign w:val="center"/>
          </w:tcPr>
          <w:p w14:paraId="147C23F9">
            <w:pPr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theme="minorBidi"/>
                <w:bCs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929" w:type="pct"/>
            <w:shd w:val="clear" w:color="auto" w:fill="auto"/>
            <w:vAlign w:val="center"/>
          </w:tcPr>
          <w:p w14:paraId="7A09668E">
            <w:pPr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theme="minorBidi"/>
                <w:bCs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929" w:type="pct"/>
            <w:vAlign w:val="center"/>
          </w:tcPr>
          <w:p w14:paraId="1B2BD2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25F5CBE7">
      <w:pPr>
        <w:spacing w:line="300" w:lineRule="auto"/>
        <w:rPr>
          <w:sz w:val="24"/>
          <w:szCs w:val="24"/>
          <w:u w:val="single"/>
        </w:rPr>
      </w:pPr>
      <w:r>
        <w:br w:type="page"/>
      </w:r>
    </w:p>
    <w:p w14:paraId="619C1184">
      <w:pPr>
        <w:pStyle w:val="2"/>
        <w:spacing w:line="300" w:lineRule="auto"/>
        <w:rPr>
          <w:rFonts w:eastAsia="黑体"/>
          <w:b w:val="0"/>
          <w:bCs w:val="0"/>
          <w:sz w:val="28"/>
          <w:szCs w:val="28"/>
        </w:rPr>
      </w:pPr>
      <w:bookmarkStart w:id="63" w:name="_Toc13771"/>
      <w:bookmarkStart w:id="64" w:name="_Toc139139612"/>
      <w:r>
        <w:rPr>
          <w:rFonts w:eastAsia="黑体"/>
          <w:b w:val="0"/>
          <w:bCs w:val="0"/>
          <w:sz w:val="28"/>
          <w:szCs w:val="28"/>
        </w:rPr>
        <w:t>附录C</w:t>
      </w:r>
      <w:bookmarkEnd w:id="63"/>
      <w:bookmarkEnd w:id="64"/>
    </w:p>
    <w:p w14:paraId="3B58E26D">
      <w:pPr>
        <w:spacing w:line="360" w:lineRule="auto"/>
        <w:jc w:val="center"/>
        <w:rPr>
          <w:rFonts w:hint="default" w:eastAsia="黑体"/>
          <w:bCs/>
          <w:kern w:val="0"/>
          <w:sz w:val="28"/>
          <w:szCs w:val="28"/>
          <w:lang w:val="en-US" w:eastAsia="zh-CN"/>
        </w:rPr>
      </w:pPr>
      <w:r>
        <w:rPr>
          <w:rFonts w:hint="eastAsia" w:eastAsia="黑体"/>
          <w:bCs/>
          <w:kern w:val="0"/>
          <w:sz w:val="28"/>
          <w:szCs w:val="28"/>
          <w:lang w:val="en-US" w:eastAsia="zh-CN"/>
        </w:rPr>
        <w:t>测量</w:t>
      </w:r>
      <w:r>
        <w:rPr>
          <w:rFonts w:hint="eastAsia" w:eastAsia="黑体"/>
          <w:bCs/>
          <w:kern w:val="0"/>
          <w:sz w:val="28"/>
          <w:szCs w:val="28"/>
          <w:lang w:val="zh-CN"/>
        </w:rPr>
        <w:t>不确定度</w:t>
      </w:r>
      <w:r>
        <w:rPr>
          <w:rFonts w:hint="eastAsia" w:eastAsia="黑体"/>
          <w:bCs/>
          <w:kern w:val="0"/>
          <w:sz w:val="28"/>
          <w:szCs w:val="28"/>
          <w:lang w:val="en-US" w:eastAsia="zh-CN"/>
        </w:rPr>
        <w:t>评定实例</w:t>
      </w:r>
      <w:bookmarkStart w:id="65" w:name="_GoBack"/>
      <w:bookmarkEnd w:id="65"/>
    </w:p>
    <w:p w14:paraId="4A37D28A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C.1  </w:t>
      </w:r>
      <w:r>
        <w:rPr>
          <w:rFonts w:hint="eastAsia"/>
          <w:sz w:val="24"/>
          <w:szCs w:val="24"/>
        </w:rPr>
        <w:t>机器视觉</w:t>
      </w:r>
      <w:r>
        <w:rPr>
          <w:rFonts w:hint="eastAsia"/>
          <w:sz w:val="24"/>
          <w:szCs w:val="24"/>
          <w:lang w:val="en-US" w:eastAsia="zh-CN"/>
        </w:rPr>
        <w:t>低频</w:t>
      </w:r>
      <w:r>
        <w:rPr>
          <w:rFonts w:hint="eastAsia"/>
          <w:sz w:val="24"/>
          <w:szCs w:val="24"/>
        </w:rPr>
        <w:t>振动测量系统校准的测量不确定度</w:t>
      </w:r>
    </w:p>
    <w:p w14:paraId="27D71A71">
      <w:pPr>
        <w:spacing w:line="360" w:lineRule="auto"/>
        <w:jc w:val="center"/>
        <w:rPr>
          <w:rFonts w:hint="default" w:ascii="Times New Roman" w:hAnsi="Times New Roman" w:eastAsia="黑体" w:cs="Times New Roman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黑体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表</w:t>
      </w:r>
      <w:r>
        <w:rPr>
          <w:rFonts w:hint="eastAsia" w:eastAsia="黑体" w:cs="Times New Roman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C.</w:t>
      </w:r>
      <w:r>
        <w:rPr>
          <w:rFonts w:hint="eastAsia" w:ascii="Times New Roman" w:hAnsi="Times New Roman" w:eastAsia="黑体" w:cs="Times New Roman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default" w:ascii="Times New Roman" w:hAnsi="Times New Roman" w:eastAsia="黑体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 xml:space="preserve"> 机器视觉低频振动测量系统</w:t>
      </w:r>
      <w:r>
        <w:rPr>
          <w:rFonts w:hint="eastAsia" w:ascii="Times New Roman" w:hAnsi="Times New Roman" w:eastAsia="黑体" w:cs="Times New Roman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幅值校准的不确定度</w:t>
      </w:r>
    </w:p>
    <w:tbl>
      <w:tblPr>
        <w:tblStyle w:val="17"/>
        <w:tblW w:w="4659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5"/>
        <w:gridCol w:w="4092"/>
        <w:gridCol w:w="1301"/>
        <w:gridCol w:w="698"/>
        <w:gridCol w:w="623"/>
        <w:gridCol w:w="834"/>
        <w:gridCol w:w="1140"/>
      </w:tblGrid>
      <w:tr w14:paraId="0B52D6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69" w:type="pct"/>
            <w:vAlign w:val="center"/>
          </w:tcPr>
          <w:p w14:paraId="021E2D68">
            <w:pPr>
              <w:jc w:val="center"/>
              <w:rPr>
                <w:rFonts w:hint="default" w:ascii="Times New Roman" w:hAnsi="Times New Roman" w:eastAsia="黑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2228" w:type="pct"/>
            <w:vAlign w:val="center"/>
          </w:tcPr>
          <w:p w14:paraId="5AC0A5C7">
            <w:pPr>
              <w:jc w:val="center"/>
              <w:rPr>
                <w:rFonts w:hint="default" w:ascii="Times New Roman" w:hAnsi="Times New Roman" w:eastAsia="黑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不确定度源</w:t>
            </w:r>
          </w:p>
        </w:tc>
        <w:tc>
          <w:tcPr>
            <w:tcW w:w="708" w:type="pct"/>
            <w:vAlign w:val="center"/>
          </w:tcPr>
          <w:p w14:paraId="2BA4A993">
            <w:pPr>
              <w:jc w:val="center"/>
              <w:rPr>
                <w:rFonts w:hint="default" w:ascii="Times New Roman" w:hAnsi="Times New Roman" w:eastAsia="黑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不确</w:t>
            </w:r>
          </w:p>
          <w:p w14:paraId="670A348E">
            <w:pPr>
              <w:jc w:val="center"/>
              <w:rPr>
                <w:rFonts w:hint="default" w:ascii="Times New Roman" w:hAnsi="Times New Roman" w:eastAsia="黑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定度</w:t>
            </w:r>
          </w:p>
        </w:tc>
        <w:tc>
          <w:tcPr>
            <w:tcW w:w="380" w:type="pct"/>
            <w:vAlign w:val="center"/>
          </w:tcPr>
          <w:p w14:paraId="0D8F28B8">
            <w:pPr>
              <w:jc w:val="center"/>
              <w:rPr>
                <w:rFonts w:hint="default" w:ascii="Times New Roman" w:hAnsi="Times New Roman" w:eastAsia="黑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分布</w:t>
            </w:r>
          </w:p>
        </w:tc>
        <w:tc>
          <w:tcPr>
            <w:tcW w:w="339" w:type="pct"/>
            <w:vAlign w:val="center"/>
          </w:tcPr>
          <w:p w14:paraId="4819DB5B">
            <w:pPr>
              <w:jc w:val="center"/>
              <w:rPr>
                <w:rFonts w:hint="default" w:ascii="Times New Roman" w:hAnsi="Times New Roman" w:eastAsia="黑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因子</w:t>
            </w:r>
          </w:p>
        </w:tc>
        <w:tc>
          <w:tcPr>
            <w:tcW w:w="453" w:type="pct"/>
            <w:vAlign w:val="center"/>
          </w:tcPr>
          <w:p w14:paraId="23011AF6">
            <w:pPr>
              <w:jc w:val="center"/>
              <w:rPr>
                <w:rFonts w:hint="default" w:ascii="Times New Roman" w:hAnsi="Times New Roman" w:eastAsia="黑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灵敏系数</w:t>
            </w:r>
          </w:p>
        </w:tc>
        <w:tc>
          <w:tcPr>
            <w:tcW w:w="620" w:type="pct"/>
            <w:vAlign w:val="center"/>
          </w:tcPr>
          <w:p w14:paraId="7C740E3B">
            <w:pPr>
              <w:jc w:val="center"/>
              <w:rPr>
                <w:rFonts w:hint="default" w:ascii="Times New Roman" w:hAnsi="Times New Roman" w:eastAsia="黑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相对贡献(%)</w:t>
            </w:r>
          </w:p>
        </w:tc>
      </w:tr>
      <w:tr w14:paraId="0E5CBA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69" w:type="pct"/>
            <w:vAlign w:val="center"/>
          </w:tcPr>
          <w:p w14:paraId="03FB20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228" w:type="pct"/>
            <w:vAlign w:val="center"/>
          </w:tcPr>
          <w:p w14:paraId="540768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光照、光电转换及外部环境噪声等对图像采集的影响</w:t>
            </w:r>
          </w:p>
        </w:tc>
        <w:tc>
          <w:tcPr>
            <w:tcW w:w="708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3B3C3C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0.030%</w:t>
            </w:r>
          </w:p>
        </w:tc>
        <w:tc>
          <w:tcPr>
            <w:tcW w:w="380" w:type="pct"/>
            <w:vAlign w:val="center"/>
          </w:tcPr>
          <w:p w14:paraId="10F991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正态</w:t>
            </w:r>
          </w:p>
        </w:tc>
        <w:tc>
          <w:tcPr>
            <w:tcW w:w="339" w:type="pct"/>
            <w:vAlign w:val="center"/>
          </w:tcPr>
          <w:p w14:paraId="514295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453" w:type="pct"/>
            <w:vAlign w:val="center"/>
          </w:tcPr>
          <w:p w14:paraId="027043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620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27D0BF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0.0150</w:t>
            </w:r>
          </w:p>
        </w:tc>
      </w:tr>
      <w:tr w14:paraId="7A7533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69" w:type="pct"/>
            <w:vAlign w:val="center"/>
          </w:tcPr>
          <w:p w14:paraId="166238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2228" w:type="pct"/>
            <w:vAlign w:val="center"/>
          </w:tcPr>
          <w:p w14:paraId="51301E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图像像素点量化误差的影响</w:t>
            </w:r>
          </w:p>
        </w:tc>
        <w:tc>
          <w:tcPr>
            <w:tcW w:w="708" w:type="pct"/>
            <w:tcBorders>
              <w:top w:val="single" w:color="auto" w:sz="4" w:space="0"/>
            </w:tcBorders>
            <w:vAlign w:val="center"/>
          </w:tcPr>
          <w:p w14:paraId="3DFD5C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0.020%</w:t>
            </w:r>
          </w:p>
        </w:tc>
        <w:tc>
          <w:tcPr>
            <w:tcW w:w="380" w:type="pct"/>
            <w:vAlign w:val="center"/>
          </w:tcPr>
          <w:p w14:paraId="3BCB84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矩形</w:t>
            </w:r>
          </w:p>
        </w:tc>
        <w:tc>
          <w:tcPr>
            <w:tcW w:w="339" w:type="pct"/>
            <w:vAlign w:val="center"/>
          </w:tcPr>
          <w:p w14:paraId="09B3F7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1.73</w:t>
            </w:r>
          </w:p>
        </w:tc>
        <w:tc>
          <w:tcPr>
            <w:tcW w:w="453" w:type="pct"/>
            <w:vAlign w:val="center"/>
          </w:tcPr>
          <w:p w14:paraId="58359F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620" w:type="pct"/>
            <w:tcBorders>
              <w:top w:val="single" w:color="auto" w:sz="4" w:space="0"/>
            </w:tcBorders>
            <w:vAlign w:val="center"/>
          </w:tcPr>
          <w:p w14:paraId="1C22B4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0.0115</w:t>
            </w:r>
          </w:p>
        </w:tc>
      </w:tr>
      <w:tr w14:paraId="4669A0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69" w:type="pct"/>
            <w:vAlign w:val="center"/>
          </w:tcPr>
          <w:p w14:paraId="7D3286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2228" w:type="pct"/>
            <w:vAlign w:val="center"/>
          </w:tcPr>
          <w:p w14:paraId="165FC8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图像分辨率的不确定度</w:t>
            </w:r>
          </w:p>
        </w:tc>
        <w:tc>
          <w:tcPr>
            <w:tcW w:w="708" w:type="pct"/>
            <w:vAlign w:val="center"/>
          </w:tcPr>
          <w:p w14:paraId="73AA1F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0.010%</w:t>
            </w:r>
          </w:p>
        </w:tc>
        <w:tc>
          <w:tcPr>
            <w:tcW w:w="380" w:type="pct"/>
            <w:vAlign w:val="center"/>
          </w:tcPr>
          <w:p w14:paraId="608761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矩形</w:t>
            </w:r>
          </w:p>
        </w:tc>
        <w:tc>
          <w:tcPr>
            <w:tcW w:w="339" w:type="pct"/>
            <w:vAlign w:val="center"/>
          </w:tcPr>
          <w:p w14:paraId="44B214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1.73</w:t>
            </w:r>
          </w:p>
        </w:tc>
        <w:tc>
          <w:tcPr>
            <w:tcW w:w="453" w:type="pct"/>
            <w:vAlign w:val="center"/>
          </w:tcPr>
          <w:p w14:paraId="7EC0B4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620" w:type="pct"/>
            <w:vAlign w:val="center"/>
          </w:tcPr>
          <w:p w14:paraId="41DFEB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0.0057</w:t>
            </w:r>
          </w:p>
        </w:tc>
      </w:tr>
      <w:tr w14:paraId="32593C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69" w:type="pct"/>
            <w:vAlign w:val="center"/>
          </w:tcPr>
          <w:p w14:paraId="5D2E40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2228" w:type="pct"/>
            <w:vAlign w:val="center"/>
          </w:tcPr>
          <w:p w14:paraId="526F71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镜头畸变、摄像机成像模型及摄像机光轴与运动目标平面不严格垂直等的影响</w:t>
            </w:r>
          </w:p>
        </w:tc>
        <w:tc>
          <w:tcPr>
            <w:tcW w:w="708" w:type="pct"/>
            <w:vAlign w:val="center"/>
          </w:tcPr>
          <w:p w14:paraId="184F49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0.030%</w:t>
            </w:r>
          </w:p>
        </w:tc>
        <w:tc>
          <w:tcPr>
            <w:tcW w:w="380" w:type="pct"/>
            <w:vAlign w:val="center"/>
          </w:tcPr>
          <w:p w14:paraId="34BE8D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正态</w:t>
            </w:r>
          </w:p>
        </w:tc>
        <w:tc>
          <w:tcPr>
            <w:tcW w:w="339" w:type="pct"/>
            <w:vAlign w:val="center"/>
          </w:tcPr>
          <w:p w14:paraId="0D4F74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453" w:type="pct"/>
            <w:vAlign w:val="center"/>
          </w:tcPr>
          <w:p w14:paraId="3C44B0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620" w:type="pct"/>
            <w:vAlign w:val="center"/>
          </w:tcPr>
          <w:p w14:paraId="32318F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0.0150</w:t>
            </w:r>
          </w:p>
        </w:tc>
      </w:tr>
      <w:tr w14:paraId="249EC1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69" w:type="pct"/>
            <w:vAlign w:val="center"/>
          </w:tcPr>
          <w:p w14:paraId="24604E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2228" w:type="pct"/>
            <w:vAlign w:val="center"/>
          </w:tcPr>
          <w:p w14:paraId="1DAAB7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图像边缘检测算法对位移测量的影响</w:t>
            </w:r>
          </w:p>
        </w:tc>
        <w:tc>
          <w:tcPr>
            <w:tcW w:w="708" w:type="pct"/>
            <w:vAlign w:val="center"/>
          </w:tcPr>
          <w:p w14:paraId="395EC1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0.004%</w:t>
            </w:r>
          </w:p>
        </w:tc>
        <w:tc>
          <w:tcPr>
            <w:tcW w:w="380" w:type="pct"/>
            <w:vAlign w:val="center"/>
          </w:tcPr>
          <w:p w14:paraId="033D08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正态</w:t>
            </w:r>
          </w:p>
        </w:tc>
        <w:tc>
          <w:tcPr>
            <w:tcW w:w="339" w:type="pct"/>
            <w:vAlign w:val="center"/>
          </w:tcPr>
          <w:p w14:paraId="578841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453" w:type="pct"/>
            <w:vAlign w:val="center"/>
          </w:tcPr>
          <w:p w14:paraId="213629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620" w:type="pct"/>
            <w:vAlign w:val="center"/>
          </w:tcPr>
          <w:p w14:paraId="35E81C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0.0020</w:t>
            </w:r>
          </w:p>
        </w:tc>
      </w:tr>
      <w:tr w14:paraId="21217B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69" w:type="pct"/>
            <w:vAlign w:val="center"/>
          </w:tcPr>
          <w:p w14:paraId="796E44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2228" w:type="pct"/>
            <w:vAlign w:val="center"/>
          </w:tcPr>
          <w:p w14:paraId="16427E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最小二乘法拟合直线对位移测量的影响</w:t>
            </w:r>
          </w:p>
        </w:tc>
        <w:tc>
          <w:tcPr>
            <w:tcW w:w="708" w:type="pct"/>
            <w:vAlign w:val="center"/>
          </w:tcPr>
          <w:p w14:paraId="0FEC9A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0.002%</w:t>
            </w:r>
          </w:p>
        </w:tc>
        <w:tc>
          <w:tcPr>
            <w:tcW w:w="380" w:type="pct"/>
            <w:vAlign w:val="center"/>
          </w:tcPr>
          <w:p w14:paraId="02E6EE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正态</w:t>
            </w:r>
          </w:p>
        </w:tc>
        <w:tc>
          <w:tcPr>
            <w:tcW w:w="339" w:type="pct"/>
            <w:vAlign w:val="center"/>
          </w:tcPr>
          <w:p w14:paraId="706AE9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453" w:type="pct"/>
            <w:vAlign w:val="center"/>
          </w:tcPr>
          <w:p w14:paraId="508F96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620" w:type="pct"/>
            <w:vAlign w:val="center"/>
          </w:tcPr>
          <w:p w14:paraId="2F9924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0.0010</w:t>
            </w:r>
          </w:p>
        </w:tc>
      </w:tr>
      <w:tr w14:paraId="26840D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69" w:type="pct"/>
            <w:vAlign w:val="center"/>
          </w:tcPr>
          <w:p w14:paraId="1C8DED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2228" w:type="pct"/>
            <w:vAlign w:val="center"/>
          </w:tcPr>
          <w:p w14:paraId="0BEE44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误差模型修正不完善对位移测量的影响</w:t>
            </w:r>
          </w:p>
        </w:tc>
        <w:tc>
          <w:tcPr>
            <w:tcW w:w="708" w:type="pct"/>
            <w:vAlign w:val="center"/>
          </w:tcPr>
          <w:p w14:paraId="4EBFA4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0.010%</w:t>
            </w:r>
          </w:p>
        </w:tc>
        <w:tc>
          <w:tcPr>
            <w:tcW w:w="380" w:type="pct"/>
            <w:vAlign w:val="center"/>
          </w:tcPr>
          <w:p w14:paraId="2911E5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正态</w:t>
            </w:r>
          </w:p>
        </w:tc>
        <w:tc>
          <w:tcPr>
            <w:tcW w:w="339" w:type="pct"/>
            <w:vAlign w:val="center"/>
          </w:tcPr>
          <w:p w14:paraId="2EA2CA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453" w:type="pct"/>
            <w:vAlign w:val="center"/>
          </w:tcPr>
          <w:p w14:paraId="362EEF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620" w:type="pct"/>
            <w:vAlign w:val="center"/>
          </w:tcPr>
          <w:p w14:paraId="4195AF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0.0050</w:t>
            </w:r>
          </w:p>
        </w:tc>
      </w:tr>
      <w:tr w14:paraId="638F44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69" w:type="pct"/>
            <w:vAlign w:val="center"/>
          </w:tcPr>
          <w:p w14:paraId="32F57D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2228" w:type="pct"/>
            <w:vAlign w:val="center"/>
          </w:tcPr>
          <w:p w14:paraId="0ED585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显示器刷新率的不确定度</w:t>
            </w:r>
          </w:p>
        </w:tc>
        <w:tc>
          <w:tcPr>
            <w:tcW w:w="708" w:type="pct"/>
            <w:vAlign w:val="center"/>
          </w:tcPr>
          <w:p w14:paraId="30643A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%</w:t>
            </w:r>
          </w:p>
        </w:tc>
        <w:tc>
          <w:tcPr>
            <w:tcW w:w="380" w:type="pct"/>
            <w:vAlign w:val="center"/>
          </w:tcPr>
          <w:p w14:paraId="1036E1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矩形</w:t>
            </w:r>
          </w:p>
        </w:tc>
        <w:tc>
          <w:tcPr>
            <w:tcW w:w="339" w:type="pct"/>
            <w:vAlign w:val="center"/>
          </w:tcPr>
          <w:p w14:paraId="2466BE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1.73</w:t>
            </w:r>
          </w:p>
        </w:tc>
        <w:tc>
          <w:tcPr>
            <w:tcW w:w="453" w:type="pct"/>
            <w:vAlign w:val="center"/>
          </w:tcPr>
          <w:p w14:paraId="14AD9B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620" w:type="pct"/>
            <w:vAlign w:val="center"/>
          </w:tcPr>
          <w:p w14:paraId="633782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0.0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578</w:t>
            </w:r>
          </w:p>
        </w:tc>
      </w:tr>
      <w:tr w14:paraId="5D5694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69" w:type="pct"/>
            <w:vAlign w:val="center"/>
          </w:tcPr>
          <w:p w14:paraId="0A4A86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  <w:tc>
          <w:tcPr>
            <w:tcW w:w="2228" w:type="pct"/>
            <w:vAlign w:val="center"/>
          </w:tcPr>
          <w:p w14:paraId="680C2F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显示器像素尺寸误差</w:t>
            </w:r>
          </w:p>
        </w:tc>
        <w:tc>
          <w:tcPr>
            <w:tcW w:w="708" w:type="pct"/>
            <w:vAlign w:val="center"/>
          </w:tcPr>
          <w:p w14:paraId="368E84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0.02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m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m</w:t>
            </w:r>
          </w:p>
        </w:tc>
        <w:tc>
          <w:tcPr>
            <w:tcW w:w="380" w:type="pct"/>
            <w:vAlign w:val="center"/>
          </w:tcPr>
          <w:p w14:paraId="147360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矩形</w:t>
            </w:r>
          </w:p>
        </w:tc>
        <w:tc>
          <w:tcPr>
            <w:tcW w:w="339" w:type="pct"/>
            <w:vAlign w:val="center"/>
          </w:tcPr>
          <w:p w14:paraId="2940D7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1.73</w:t>
            </w:r>
          </w:p>
        </w:tc>
        <w:tc>
          <w:tcPr>
            <w:tcW w:w="453" w:type="pct"/>
            <w:vAlign w:val="center"/>
          </w:tcPr>
          <w:p w14:paraId="378D09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620" w:type="pct"/>
            <w:vAlign w:val="center"/>
          </w:tcPr>
          <w:p w14:paraId="38B39B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0.0001</w:t>
            </w:r>
          </w:p>
        </w:tc>
      </w:tr>
      <w:tr w14:paraId="1E999D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69" w:type="pct"/>
            <w:vAlign w:val="center"/>
          </w:tcPr>
          <w:p w14:paraId="5D78A9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2228" w:type="pct"/>
            <w:vAlign w:val="center"/>
          </w:tcPr>
          <w:p w14:paraId="791DBD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摄像机曝光时间的不确定度</w:t>
            </w:r>
          </w:p>
        </w:tc>
        <w:tc>
          <w:tcPr>
            <w:tcW w:w="708" w:type="pct"/>
            <w:vAlign w:val="center"/>
          </w:tcPr>
          <w:p w14:paraId="050837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1μs</w:t>
            </w:r>
          </w:p>
        </w:tc>
        <w:tc>
          <w:tcPr>
            <w:tcW w:w="380" w:type="pct"/>
            <w:vAlign w:val="center"/>
          </w:tcPr>
          <w:p w14:paraId="275809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矩形</w:t>
            </w:r>
          </w:p>
        </w:tc>
        <w:tc>
          <w:tcPr>
            <w:tcW w:w="339" w:type="pct"/>
            <w:vAlign w:val="center"/>
          </w:tcPr>
          <w:p w14:paraId="7779D5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1.73</w:t>
            </w:r>
          </w:p>
        </w:tc>
        <w:tc>
          <w:tcPr>
            <w:tcW w:w="453" w:type="pct"/>
            <w:vAlign w:val="center"/>
          </w:tcPr>
          <w:p w14:paraId="180EB9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620" w:type="pct"/>
            <w:vAlign w:val="center"/>
          </w:tcPr>
          <w:p w14:paraId="07FA0B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0.0001</w:t>
            </w:r>
          </w:p>
        </w:tc>
      </w:tr>
      <w:tr w14:paraId="3EFFF1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69" w:type="pct"/>
            <w:vAlign w:val="center"/>
          </w:tcPr>
          <w:p w14:paraId="064888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11</w:t>
            </w:r>
          </w:p>
        </w:tc>
        <w:tc>
          <w:tcPr>
            <w:tcW w:w="2228" w:type="pct"/>
            <w:vAlign w:val="center"/>
          </w:tcPr>
          <w:p w14:paraId="27B084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标准正弦振动数字视频数据精度</w:t>
            </w:r>
          </w:p>
        </w:tc>
        <w:tc>
          <w:tcPr>
            <w:tcW w:w="708" w:type="pct"/>
            <w:vAlign w:val="center"/>
          </w:tcPr>
          <w:p w14:paraId="39C5F4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8.8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×10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-13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px</w:t>
            </w:r>
          </w:p>
        </w:tc>
        <w:tc>
          <w:tcPr>
            <w:tcW w:w="380" w:type="pct"/>
            <w:vAlign w:val="center"/>
          </w:tcPr>
          <w:p w14:paraId="7A3A46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矩形</w:t>
            </w:r>
          </w:p>
        </w:tc>
        <w:tc>
          <w:tcPr>
            <w:tcW w:w="339" w:type="pct"/>
            <w:vAlign w:val="center"/>
          </w:tcPr>
          <w:p w14:paraId="28B07B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1.73</w:t>
            </w:r>
          </w:p>
        </w:tc>
        <w:tc>
          <w:tcPr>
            <w:tcW w:w="453" w:type="pct"/>
            <w:vAlign w:val="center"/>
          </w:tcPr>
          <w:p w14:paraId="159175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620" w:type="pct"/>
            <w:vAlign w:val="center"/>
          </w:tcPr>
          <w:p w14:paraId="085EFC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0.0001</w:t>
            </w:r>
          </w:p>
        </w:tc>
      </w:tr>
      <w:tr w14:paraId="025FE4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000" w:type="pct"/>
            <w:gridSpan w:val="7"/>
            <w:vAlign w:val="center"/>
          </w:tcPr>
          <w:p w14:paraId="7BD70175">
            <w:pPr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重复性引入的测量不确定度分量</w:t>
            </w:r>
          </w:p>
        </w:tc>
      </w:tr>
      <w:tr w14:paraId="32C24B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69" w:type="pct"/>
            <w:vAlign w:val="center"/>
          </w:tcPr>
          <w:p w14:paraId="2DD27816">
            <w:pPr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12</w:t>
            </w:r>
          </w:p>
        </w:tc>
        <w:tc>
          <w:tcPr>
            <w:tcW w:w="2228" w:type="pct"/>
            <w:vAlign w:val="center"/>
          </w:tcPr>
          <w:p w14:paraId="7E55BB6E">
            <w:pPr>
              <w:jc w:val="both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重复性</w:t>
            </w:r>
          </w:p>
        </w:tc>
        <w:tc>
          <w:tcPr>
            <w:tcW w:w="708" w:type="pct"/>
            <w:vAlign w:val="center"/>
          </w:tcPr>
          <w:p w14:paraId="3A046A31">
            <w:pPr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0.0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94%</w:t>
            </w:r>
          </w:p>
        </w:tc>
        <w:tc>
          <w:tcPr>
            <w:tcW w:w="380" w:type="pct"/>
            <w:vAlign w:val="center"/>
          </w:tcPr>
          <w:p w14:paraId="566A9DC2">
            <w:pPr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正态</w:t>
            </w:r>
          </w:p>
        </w:tc>
        <w:tc>
          <w:tcPr>
            <w:tcW w:w="339" w:type="pct"/>
            <w:vAlign w:val="center"/>
          </w:tcPr>
          <w:p w14:paraId="53331203">
            <w:pPr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453" w:type="pct"/>
            <w:vAlign w:val="center"/>
          </w:tcPr>
          <w:p w14:paraId="6946E490">
            <w:pPr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620" w:type="pct"/>
            <w:vAlign w:val="center"/>
          </w:tcPr>
          <w:p w14:paraId="5FBB6298">
            <w:pPr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0.0470</w:t>
            </w:r>
          </w:p>
        </w:tc>
      </w:tr>
      <w:tr w14:paraId="3E26A8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69" w:type="pct"/>
            <w:vAlign w:val="center"/>
          </w:tcPr>
          <w:p w14:paraId="78471EB0">
            <w:pPr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28" w:type="pct"/>
            <w:vAlign w:val="center"/>
          </w:tcPr>
          <w:p w14:paraId="5B71338E">
            <w:pPr>
              <w:jc w:val="both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合成测量不确定度</w:t>
            </w:r>
          </w:p>
        </w:tc>
        <w:tc>
          <w:tcPr>
            <w:tcW w:w="708" w:type="pct"/>
            <w:vAlign w:val="center"/>
          </w:tcPr>
          <w:p w14:paraId="20D3C4E6">
            <w:pPr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-</w:t>
            </w:r>
          </w:p>
        </w:tc>
        <w:tc>
          <w:tcPr>
            <w:tcW w:w="380" w:type="pct"/>
            <w:vAlign w:val="center"/>
          </w:tcPr>
          <w:p w14:paraId="77357E1F">
            <w:pPr>
              <w:jc w:val="center"/>
              <w:rPr>
                <w:rFonts w:hint="default" w:ascii="Times New Roman" w:hAnsi="Times New Roman" w:eastAsia="仿宋_GB2312" w:cs="Times New Roman"/>
                <w:i/>
                <w:i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/>
                <w:i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k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= 1</w:t>
            </w:r>
          </w:p>
        </w:tc>
        <w:tc>
          <w:tcPr>
            <w:tcW w:w="339" w:type="pct"/>
            <w:vAlign w:val="center"/>
          </w:tcPr>
          <w:p w14:paraId="5A3471E8">
            <w:pPr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453" w:type="pct"/>
            <w:vAlign w:val="center"/>
          </w:tcPr>
          <w:p w14:paraId="2902BADB">
            <w:pPr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-</w:t>
            </w:r>
          </w:p>
        </w:tc>
        <w:tc>
          <w:tcPr>
            <w:tcW w:w="1069" w:type="dxa"/>
            <w:vAlign w:val="center"/>
          </w:tcPr>
          <w:p w14:paraId="68C73AC6">
            <w:pPr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0787</w:t>
            </w:r>
          </w:p>
        </w:tc>
      </w:tr>
      <w:tr w14:paraId="15FCC3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69" w:type="pct"/>
            <w:vAlign w:val="center"/>
          </w:tcPr>
          <w:p w14:paraId="01F71544">
            <w:pPr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28" w:type="pct"/>
            <w:vAlign w:val="center"/>
          </w:tcPr>
          <w:p w14:paraId="7EF786C0">
            <w:pPr>
              <w:jc w:val="both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扩展测量不确定度</w:t>
            </w:r>
          </w:p>
        </w:tc>
        <w:tc>
          <w:tcPr>
            <w:tcW w:w="708" w:type="pct"/>
            <w:vAlign w:val="center"/>
          </w:tcPr>
          <w:p w14:paraId="78F964AB">
            <w:pPr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-</w:t>
            </w:r>
          </w:p>
        </w:tc>
        <w:tc>
          <w:tcPr>
            <w:tcW w:w="380" w:type="pct"/>
            <w:vAlign w:val="center"/>
          </w:tcPr>
          <w:p w14:paraId="1297DAB3">
            <w:pPr>
              <w:jc w:val="center"/>
              <w:rPr>
                <w:rFonts w:hint="default" w:ascii="Times New Roman" w:hAnsi="Times New Roman" w:eastAsia="仿宋_GB2312" w:cs="Times New Roman"/>
                <w:i/>
                <w:i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/>
                <w:i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k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= 2</w:t>
            </w:r>
          </w:p>
        </w:tc>
        <w:tc>
          <w:tcPr>
            <w:tcW w:w="339" w:type="pct"/>
            <w:vAlign w:val="center"/>
          </w:tcPr>
          <w:p w14:paraId="66ADD220">
            <w:pPr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453" w:type="pct"/>
            <w:vAlign w:val="center"/>
          </w:tcPr>
          <w:p w14:paraId="3563124F">
            <w:pPr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-</w:t>
            </w:r>
          </w:p>
        </w:tc>
        <w:tc>
          <w:tcPr>
            <w:tcW w:w="1069" w:type="dxa"/>
            <w:vAlign w:val="center"/>
          </w:tcPr>
          <w:p w14:paraId="34C21DC4">
            <w:pPr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157</w:t>
            </w:r>
          </w:p>
        </w:tc>
      </w:tr>
    </w:tbl>
    <w:p w14:paraId="68CEDA2A">
      <w:pPr>
        <w:tabs>
          <w:tab w:val="left" w:pos="638"/>
        </w:tabs>
        <w:spacing w:line="300" w:lineRule="auto"/>
        <w:jc w:val="center"/>
        <w:rPr>
          <w:rFonts w:hint="eastAsia" w:eastAsia="黑体"/>
        </w:rPr>
      </w:pPr>
    </w:p>
    <w:p w14:paraId="4423CE4C">
      <w:pPr>
        <w:spacing w:line="360" w:lineRule="auto"/>
        <w:jc w:val="center"/>
        <w:rPr>
          <w:rFonts w:hint="default" w:ascii="Times New Roman" w:hAnsi="Times New Roman" w:eastAsia="黑体" w:cs="Times New Roman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黑体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表</w:t>
      </w:r>
      <w:r>
        <w:rPr>
          <w:rFonts w:hint="eastAsia" w:eastAsia="黑体" w:cs="Times New Roman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C.</w:t>
      </w:r>
      <w:r>
        <w:rPr>
          <w:rFonts w:hint="eastAsia" w:ascii="Times New Roman" w:hAnsi="Times New Roman" w:eastAsia="黑体" w:cs="Times New Roman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 xml:space="preserve">2 </w:t>
      </w:r>
      <w:r>
        <w:rPr>
          <w:rFonts w:hint="default" w:ascii="Times New Roman" w:hAnsi="Times New Roman" w:eastAsia="黑体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机器视觉低频振动测量系统</w:t>
      </w:r>
      <w:r>
        <w:rPr>
          <w:rFonts w:hint="eastAsia" w:ascii="Times New Roman" w:hAnsi="Times New Roman" w:eastAsia="黑体" w:cs="Times New Roman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相位校准的不确定度</w:t>
      </w:r>
    </w:p>
    <w:tbl>
      <w:tblPr>
        <w:tblStyle w:val="17"/>
        <w:tblW w:w="4659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5"/>
        <w:gridCol w:w="4092"/>
        <w:gridCol w:w="1301"/>
        <w:gridCol w:w="698"/>
        <w:gridCol w:w="623"/>
        <w:gridCol w:w="834"/>
        <w:gridCol w:w="1140"/>
      </w:tblGrid>
      <w:tr w14:paraId="35C4BB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69" w:type="pct"/>
            <w:vAlign w:val="center"/>
          </w:tcPr>
          <w:p w14:paraId="0AF2BC48">
            <w:pPr>
              <w:jc w:val="center"/>
              <w:rPr>
                <w:rFonts w:hint="default" w:ascii="Times New Roman" w:hAnsi="Times New Roman" w:eastAsia="黑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2228" w:type="pct"/>
            <w:vAlign w:val="center"/>
          </w:tcPr>
          <w:p w14:paraId="001887D1">
            <w:pPr>
              <w:jc w:val="center"/>
              <w:rPr>
                <w:rFonts w:hint="default" w:ascii="Times New Roman" w:hAnsi="Times New Roman" w:eastAsia="黑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不确定度源</w:t>
            </w:r>
          </w:p>
        </w:tc>
        <w:tc>
          <w:tcPr>
            <w:tcW w:w="708" w:type="pct"/>
            <w:vAlign w:val="center"/>
          </w:tcPr>
          <w:p w14:paraId="2EAA6671">
            <w:pPr>
              <w:jc w:val="center"/>
              <w:rPr>
                <w:rFonts w:hint="default" w:ascii="Times New Roman" w:hAnsi="Times New Roman" w:eastAsia="黑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不确</w:t>
            </w:r>
          </w:p>
          <w:p w14:paraId="3CBFE4E5">
            <w:pPr>
              <w:jc w:val="center"/>
              <w:rPr>
                <w:rFonts w:hint="default" w:ascii="Times New Roman" w:hAnsi="Times New Roman" w:eastAsia="黑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定度</w:t>
            </w:r>
          </w:p>
        </w:tc>
        <w:tc>
          <w:tcPr>
            <w:tcW w:w="380" w:type="pct"/>
            <w:vAlign w:val="center"/>
          </w:tcPr>
          <w:p w14:paraId="22A0A7EE">
            <w:pPr>
              <w:jc w:val="center"/>
              <w:rPr>
                <w:rFonts w:hint="default" w:ascii="Times New Roman" w:hAnsi="Times New Roman" w:eastAsia="黑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分布</w:t>
            </w:r>
          </w:p>
        </w:tc>
        <w:tc>
          <w:tcPr>
            <w:tcW w:w="339" w:type="pct"/>
            <w:vAlign w:val="center"/>
          </w:tcPr>
          <w:p w14:paraId="552DC680">
            <w:pPr>
              <w:jc w:val="center"/>
              <w:rPr>
                <w:rFonts w:hint="default" w:ascii="Times New Roman" w:hAnsi="Times New Roman" w:eastAsia="黑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因子</w:t>
            </w:r>
          </w:p>
        </w:tc>
        <w:tc>
          <w:tcPr>
            <w:tcW w:w="453" w:type="pct"/>
            <w:vAlign w:val="center"/>
          </w:tcPr>
          <w:p w14:paraId="5F65D862">
            <w:pPr>
              <w:jc w:val="center"/>
              <w:rPr>
                <w:rFonts w:hint="default" w:ascii="Times New Roman" w:hAnsi="Times New Roman" w:eastAsia="黑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灵敏系数</w:t>
            </w:r>
          </w:p>
        </w:tc>
        <w:tc>
          <w:tcPr>
            <w:tcW w:w="620" w:type="pct"/>
            <w:vAlign w:val="center"/>
          </w:tcPr>
          <w:p w14:paraId="3079D59D">
            <w:pPr>
              <w:jc w:val="center"/>
              <w:rPr>
                <w:rFonts w:hint="default" w:ascii="Times New Roman" w:hAnsi="Times New Roman" w:eastAsia="黑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相对贡献(</w:t>
            </w:r>
            <w:r>
              <w:rPr>
                <w:rFonts w:hint="eastAsia" w:ascii="Times New Roman" w:hAnsi="Times New Roman" w:eastAsia="黑体" w:cs="Times New Roman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°</w:t>
            </w:r>
            <w:r>
              <w:rPr>
                <w:rFonts w:hint="default" w:ascii="Times New Roman" w:hAnsi="Times New Roman" w:eastAsia="黑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</w:tr>
      <w:tr w14:paraId="66FD66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69" w:type="pct"/>
            <w:vAlign w:val="center"/>
          </w:tcPr>
          <w:p w14:paraId="0A3169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228" w:type="pct"/>
            <w:vAlign w:val="center"/>
          </w:tcPr>
          <w:p w14:paraId="2441FD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光照、光电转换及外部环境噪声等对图像采集的影响</w:t>
            </w:r>
          </w:p>
        </w:tc>
        <w:tc>
          <w:tcPr>
            <w:tcW w:w="708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6D2573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0.030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°</w:t>
            </w:r>
          </w:p>
        </w:tc>
        <w:tc>
          <w:tcPr>
            <w:tcW w:w="380" w:type="pct"/>
            <w:vAlign w:val="center"/>
          </w:tcPr>
          <w:p w14:paraId="22B563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正态</w:t>
            </w:r>
          </w:p>
        </w:tc>
        <w:tc>
          <w:tcPr>
            <w:tcW w:w="339" w:type="pct"/>
            <w:vAlign w:val="center"/>
          </w:tcPr>
          <w:p w14:paraId="758A52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453" w:type="pct"/>
            <w:vAlign w:val="center"/>
          </w:tcPr>
          <w:p w14:paraId="68E71B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620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55FB6E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0.0150</w:t>
            </w:r>
          </w:p>
        </w:tc>
      </w:tr>
      <w:tr w14:paraId="0694A3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69" w:type="pct"/>
            <w:vAlign w:val="center"/>
          </w:tcPr>
          <w:p w14:paraId="438B9C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2228" w:type="pct"/>
            <w:vAlign w:val="center"/>
          </w:tcPr>
          <w:p w14:paraId="05DE74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图像像素点量化误差的影响</w:t>
            </w:r>
          </w:p>
        </w:tc>
        <w:tc>
          <w:tcPr>
            <w:tcW w:w="708" w:type="pct"/>
            <w:tcBorders>
              <w:top w:val="single" w:color="auto" w:sz="4" w:space="0"/>
            </w:tcBorders>
            <w:vAlign w:val="center"/>
          </w:tcPr>
          <w:p w14:paraId="04ACB1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0.020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°</w:t>
            </w:r>
          </w:p>
        </w:tc>
        <w:tc>
          <w:tcPr>
            <w:tcW w:w="380" w:type="pct"/>
            <w:vAlign w:val="center"/>
          </w:tcPr>
          <w:p w14:paraId="1BC8BF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矩形</w:t>
            </w:r>
          </w:p>
        </w:tc>
        <w:tc>
          <w:tcPr>
            <w:tcW w:w="339" w:type="pct"/>
            <w:vAlign w:val="center"/>
          </w:tcPr>
          <w:p w14:paraId="699142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1.73</w:t>
            </w:r>
          </w:p>
        </w:tc>
        <w:tc>
          <w:tcPr>
            <w:tcW w:w="453" w:type="pct"/>
            <w:vAlign w:val="center"/>
          </w:tcPr>
          <w:p w14:paraId="58D0DF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620" w:type="pct"/>
            <w:tcBorders>
              <w:top w:val="single" w:color="auto" w:sz="4" w:space="0"/>
            </w:tcBorders>
            <w:vAlign w:val="center"/>
          </w:tcPr>
          <w:p w14:paraId="3B6998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0.0115</w:t>
            </w:r>
          </w:p>
        </w:tc>
      </w:tr>
      <w:tr w14:paraId="46B7E4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69" w:type="pct"/>
            <w:vAlign w:val="center"/>
          </w:tcPr>
          <w:p w14:paraId="2D13C7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2228" w:type="pct"/>
            <w:vAlign w:val="center"/>
          </w:tcPr>
          <w:p w14:paraId="461197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图像分辨率的不确定度</w:t>
            </w:r>
          </w:p>
        </w:tc>
        <w:tc>
          <w:tcPr>
            <w:tcW w:w="708" w:type="pct"/>
            <w:vAlign w:val="center"/>
          </w:tcPr>
          <w:p w14:paraId="35D786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0.010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°</w:t>
            </w:r>
          </w:p>
        </w:tc>
        <w:tc>
          <w:tcPr>
            <w:tcW w:w="380" w:type="pct"/>
            <w:vAlign w:val="center"/>
          </w:tcPr>
          <w:p w14:paraId="6874BB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矩形</w:t>
            </w:r>
          </w:p>
        </w:tc>
        <w:tc>
          <w:tcPr>
            <w:tcW w:w="339" w:type="pct"/>
            <w:vAlign w:val="center"/>
          </w:tcPr>
          <w:p w14:paraId="62EA78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1.73</w:t>
            </w:r>
          </w:p>
        </w:tc>
        <w:tc>
          <w:tcPr>
            <w:tcW w:w="453" w:type="pct"/>
            <w:vAlign w:val="center"/>
          </w:tcPr>
          <w:p w14:paraId="66BB08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620" w:type="pct"/>
            <w:vAlign w:val="center"/>
          </w:tcPr>
          <w:p w14:paraId="4DADB2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0.0057</w:t>
            </w:r>
          </w:p>
        </w:tc>
      </w:tr>
      <w:tr w14:paraId="30533F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69" w:type="pct"/>
            <w:vAlign w:val="center"/>
          </w:tcPr>
          <w:p w14:paraId="65D0E0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2228" w:type="pct"/>
            <w:vAlign w:val="center"/>
          </w:tcPr>
          <w:p w14:paraId="603A5B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镜头畸变、摄像机成像模型及摄像机光轴与运动目标平面不严格垂直等的影响</w:t>
            </w:r>
          </w:p>
        </w:tc>
        <w:tc>
          <w:tcPr>
            <w:tcW w:w="708" w:type="pct"/>
            <w:vAlign w:val="center"/>
          </w:tcPr>
          <w:p w14:paraId="7364A9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0.030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°</w:t>
            </w:r>
          </w:p>
        </w:tc>
        <w:tc>
          <w:tcPr>
            <w:tcW w:w="380" w:type="pct"/>
            <w:vAlign w:val="center"/>
          </w:tcPr>
          <w:p w14:paraId="6F093B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正态</w:t>
            </w:r>
          </w:p>
        </w:tc>
        <w:tc>
          <w:tcPr>
            <w:tcW w:w="339" w:type="pct"/>
            <w:vAlign w:val="center"/>
          </w:tcPr>
          <w:p w14:paraId="7440EC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453" w:type="pct"/>
            <w:vAlign w:val="center"/>
          </w:tcPr>
          <w:p w14:paraId="05297A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620" w:type="pct"/>
            <w:vAlign w:val="center"/>
          </w:tcPr>
          <w:p w14:paraId="6DD7ED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0.0150</w:t>
            </w:r>
          </w:p>
        </w:tc>
      </w:tr>
      <w:tr w14:paraId="20D4AA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69" w:type="pct"/>
            <w:vAlign w:val="center"/>
          </w:tcPr>
          <w:p w14:paraId="4C008F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2228" w:type="pct"/>
            <w:vAlign w:val="center"/>
          </w:tcPr>
          <w:p w14:paraId="3D340B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图像边缘检测算法对位移测量的影响</w:t>
            </w:r>
          </w:p>
        </w:tc>
        <w:tc>
          <w:tcPr>
            <w:tcW w:w="708" w:type="pct"/>
            <w:vAlign w:val="center"/>
          </w:tcPr>
          <w:p w14:paraId="40922E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0.004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°</w:t>
            </w:r>
          </w:p>
        </w:tc>
        <w:tc>
          <w:tcPr>
            <w:tcW w:w="380" w:type="pct"/>
            <w:vAlign w:val="center"/>
          </w:tcPr>
          <w:p w14:paraId="344255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正态</w:t>
            </w:r>
          </w:p>
        </w:tc>
        <w:tc>
          <w:tcPr>
            <w:tcW w:w="339" w:type="pct"/>
            <w:vAlign w:val="center"/>
          </w:tcPr>
          <w:p w14:paraId="1D4CB9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453" w:type="pct"/>
            <w:vAlign w:val="center"/>
          </w:tcPr>
          <w:p w14:paraId="30A1B8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620" w:type="pct"/>
            <w:vAlign w:val="center"/>
          </w:tcPr>
          <w:p w14:paraId="1435FB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0.0020</w:t>
            </w:r>
          </w:p>
        </w:tc>
      </w:tr>
      <w:tr w14:paraId="7F390B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69" w:type="pct"/>
            <w:vAlign w:val="center"/>
          </w:tcPr>
          <w:p w14:paraId="6C27FB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2228" w:type="pct"/>
            <w:vAlign w:val="center"/>
          </w:tcPr>
          <w:p w14:paraId="69BC46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最小二乘法拟合直线对位移测量的影响</w:t>
            </w:r>
          </w:p>
        </w:tc>
        <w:tc>
          <w:tcPr>
            <w:tcW w:w="708" w:type="pct"/>
            <w:vAlign w:val="center"/>
          </w:tcPr>
          <w:p w14:paraId="5A268F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0.002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°</w:t>
            </w:r>
          </w:p>
        </w:tc>
        <w:tc>
          <w:tcPr>
            <w:tcW w:w="380" w:type="pct"/>
            <w:vAlign w:val="center"/>
          </w:tcPr>
          <w:p w14:paraId="710C20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正态</w:t>
            </w:r>
          </w:p>
        </w:tc>
        <w:tc>
          <w:tcPr>
            <w:tcW w:w="339" w:type="pct"/>
            <w:vAlign w:val="center"/>
          </w:tcPr>
          <w:p w14:paraId="352572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453" w:type="pct"/>
            <w:vAlign w:val="center"/>
          </w:tcPr>
          <w:p w14:paraId="6643CC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620" w:type="pct"/>
            <w:vAlign w:val="center"/>
          </w:tcPr>
          <w:p w14:paraId="5BAFB1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0.0010</w:t>
            </w:r>
          </w:p>
        </w:tc>
      </w:tr>
      <w:tr w14:paraId="6FD373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69" w:type="pct"/>
            <w:vAlign w:val="center"/>
          </w:tcPr>
          <w:p w14:paraId="287CB7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2228" w:type="pct"/>
            <w:vAlign w:val="center"/>
          </w:tcPr>
          <w:p w14:paraId="79FE23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误差模型修正不完善对位移测量的影响</w:t>
            </w:r>
          </w:p>
        </w:tc>
        <w:tc>
          <w:tcPr>
            <w:tcW w:w="708" w:type="pct"/>
            <w:vAlign w:val="center"/>
          </w:tcPr>
          <w:p w14:paraId="43154D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0.010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°</w:t>
            </w:r>
          </w:p>
        </w:tc>
        <w:tc>
          <w:tcPr>
            <w:tcW w:w="380" w:type="pct"/>
            <w:vAlign w:val="center"/>
          </w:tcPr>
          <w:p w14:paraId="4E36EB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正态</w:t>
            </w:r>
          </w:p>
        </w:tc>
        <w:tc>
          <w:tcPr>
            <w:tcW w:w="339" w:type="pct"/>
            <w:vAlign w:val="center"/>
          </w:tcPr>
          <w:p w14:paraId="0C3C7F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453" w:type="pct"/>
            <w:vAlign w:val="center"/>
          </w:tcPr>
          <w:p w14:paraId="218E44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620" w:type="pct"/>
            <w:vAlign w:val="center"/>
          </w:tcPr>
          <w:p w14:paraId="24B5C5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0.0050</w:t>
            </w:r>
          </w:p>
        </w:tc>
      </w:tr>
      <w:tr w14:paraId="6A58B2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69" w:type="pct"/>
            <w:vAlign w:val="center"/>
          </w:tcPr>
          <w:p w14:paraId="78D94C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2228" w:type="pct"/>
            <w:vAlign w:val="center"/>
          </w:tcPr>
          <w:p w14:paraId="38DC87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显示器刷新率的不确定度</w:t>
            </w:r>
          </w:p>
        </w:tc>
        <w:tc>
          <w:tcPr>
            <w:tcW w:w="708" w:type="pct"/>
            <w:vAlign w:val="center"/>
          </w:tcPr>
          <w:p w14:paraId="2A8D1F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%</w:t>
            </w:r>
          </w:p>
        </w:tc>
        <w:tc>
          <w:tcPr>
            <w:tcW w:w="380" w:type="pct"/>
            <w:vAlign w:val="center"/>
          </w:tcPr>
          <w:p w14:paraId="3D5EAB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矩形</w:t>
            </w:r>
          </w:p>
        </w:tc>
        <w:tc>
          <w:tcPr>
            <w:tcW w:w="339" w:type="pct"/>
            <w:vAlign w:val="center"/>
          </w:tcPr>
          <w:p w14:paraId="3985D0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1.73</w:t>
            </w:r>
          </w:p>
        </w:tc>
        <w:tc>
          <w:tcPr>
            <w:tcW w:w="453" w:type="pct"/>
            <w:vAlign w:val="center"/>
          </w:tcPr>
          <w:p w14:paraId="10A63C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620" w:type="pct"/>
            <w:vAlign w:val="center"/>
          </w:tcPr>
          <w:p w14:paraId="7D467F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0.0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578</w:t>
            </w:r>
          </w:p>
        </w:tc>
      </w:tr>
      <w:tr w14:paraId="3FEEB2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69" w:type="pct"/>
            <w:vAlign w:val="center"/>
          </w:tcPr>
          <w:p w14:paraId="7604C9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  <w:tc>
          <w:tcPr>
            <w:tcW w:w="2228" w:type="pct"/>
            <w:vAlign w:val="center"/>
          </w:tcPr>
          <w:p w14:paraId="5A0456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显示器像素尺寸误差</w:t>
            </w:r>
          </w:p>
        </w:tc>
        <w:tc>
          <w:tcPr>
            <w:tcW w:w="708" w:type="pct"/>
            <w:vAlign w:val="center"/>
          </w:tcPr>
          <w:p w14:paraId="26F4D6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0.02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m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m</w:t>
            </w:r>
          </w:p>
        </w:tc>
        <w:tc>
          <w:tcPr>
            <w:tcW w:w="380" w:type="pct"/>
            <w:vAlign w:val="center"/>
          </w:tcPr>
          <w:p w14:paraId="400E89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矩形</w:t>
            </w:r>
          </w:p>
        </w:tc>
        <w:tc>
          <w:tcPr>
            <w:tcW w:w="339" w:type="pct"/>
            <w:vAlign w:val="center"/>
          </w:tcPr>
          <w:p w14:paraId="396396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1.73</w:t>
            </w:r>
          </w:p>
        </w:tc>
        <w:tc>
          <w:tcPr>
            <w:tcW w:w="453" w:type="pct"/>
            <w:vAlign w:val="center"/>
          </w:tcPr>
          <w:p w14:paraId="3359C3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620" w:type="pct"/>
            <w:vAlign w:val="center"/>
          </w:tcPr>
          <w:p w14:paraId="2E9D78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0.0001</w:t>
            </w:r>
          </w:p>
        </w:tc>
      </w:tr>
      <w:tr w14:paraId="1C21B2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69" w:type="pct"/>
            <w:vAlign w:val="center"/>
          </w:tcPr>
          <w:p w14:paraId="7C4B92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2228" w:type="pct"/>
            <w:vAlign w:val="center"/>
          </w:tcPr>
          <w:p w14:paraId="62B987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摄像机曝光时间的不确定度</w:t>
            </w:r>
          </w:p>
        </w:tc>
        <w:tc>
          <w:tcPr>
            <w:tcW w:w="708" w:type="pct"/>
            <w:vAlign w:val="center"/>
          </w:tcPr>
          <w:p w14:paraId="232EEC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1μs</w:t>
            </w:r>
          </w:p>
        </w:tc>
        <w:tc>
          <w:tcPr>
            <w:tcW w:w="380" w:type="pct"/>
            <w:vAlign w:val="center"/>
          </w:tcPr>
          <w:p w14:paraId="2CDD0C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矩形</w:t>
            </w:r>
          </w:p>
        </w:tc>
        <w:tc>
          <w:tcPr>
            <w:tcW w:w="339" w:type="pct"/>
            <w:vAlign w:val="center"/>
          </w:tcPr>
          <w:p w14:paraId="15B961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1.73</w:t>
            </w:r>
          </w:p>
        </w:tc>
        <w:tc>
          <w:tcPr>
            <w:tcW w:w="453" w:type="pct"/>
            <w:vAlign w:val="center"/>
          </w:tcPr>
          <w:p w14:paraId="0586AC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620" w:type="pct"/>
            <w:vAlign w:val="center"/>
          </w:tcPr>
          <w:p w14:paraId="4BA432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0.0001</w:t>
            </w:r>
          </w:p>
        </w:tc>
      </w:tr>
      <w:tr w14:paraId="0829C9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69" w:type="pct"/>
            <w:vAlign w:val="center"/>
          </w:tcPr>
          <w:p w14:paraId="53A83B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11</w:t>
            </w:r>
          </w:p>
        </w:tc>
        <w:tc>
          <w:tcPr>
            <w:tcW w:w="2228" w:type="pct"/>
            <w:vAlign w:val="center"/>
          </w:tcPr>
          <w:p w14:paraId="29FBA7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标准正弦振动数字视频数据精度</w:t>
            </w:r>
          </w:p>
        </w:tc>
        <w:tc>
          <w:tcPr>
            <w:tcW w:w="708" w:type="pct"/>
            <w:vAlign w:val="center"/>
          </w:tcPr>
          <w:p w14:paraId="535233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8.8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×10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-13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px</w:t>
            </w:r>
          </w:p>
        </w:tc>
        <w:tc>
          <w:tcPr>
            <w:tcW w:w="380" w:type="pct"/>
            <w:vAlign w:val="center"/>
          </w:tcPr>
          <w:p w14:paraId="39D5C9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矩形</w:t>
            </w:r>
          </w:p>
        </w:tc>
        <w:tc>
          <w:tcPr>
            <w:tcW w:w="339" w:type="pct"/>
            <w:vAlign w:val="center"/>
          </w:tcPr>
          <w:p w14:paraId="2573C6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1.73</w:t>
            </w:r>
          </w:p>
        </w:tc>
        <w:tc>
          <w:tcPr>
            <w:tcW w:w="453" w:type="pct"/>
            <w:vAlign w:val="center"/>
          </w:tcPr>
          <w:p w14:paraId="145D18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620" w:type="pct"/>
            <w:vAlign w:val="center"/>
          </w:tcPr>
          <w:p w14:paraId="2DD038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0.0001</w:t>
            </w:r>
          </w:p>
        </w:tc>
      </w:tr>
      <w:tr w14:paraId="472EB8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000" w:type="pct"/>
            <w:gridSpan w:val="7"/>
            <w:vAlign w:val="center"/>
          </w:tcPr>
          <w:p w14:paraId="6F26218A">
            <w:pPr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重复性引入的测量不确定度分量</w:t>
            </w:r>
          </w:p>
        </w:tc>
      </w:tr>
      <w:tr w14:paraId="61B24B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69" w:type="pct"/>
            <w:vAlign w:val="center"/>
          </w:tcPr>
          <w:p w14:paraId="60067DB5">
            <w:pPr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12</w:t>
            </w:r>
          </w:p>
        </w:tc>
        <w:tc>
          <w:tcPr>
            <w:tcW w:w="2228" w:type="pct"/>
            <w:vAlign w:val="center"/>
          </w:tcPr>
          <w:p w14:paraId="1E1F8459">
            <w:pPr>
              <w:jc w:val="both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重复性</w:t>
            </w:r>
          </w:p>
        </w:tc>
        <w:tc>
          <w:tcPr>
            <w:tcW w:w="708" w:type="pct"/>
            <w:vAlign w:val="center"/>
          </w:tcPr>
          <w:p w14:paraId="0ACEB28B">
            <w:pPr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0.0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6%</w:t>
            </w:r>
          </w:p>
        </w:tc>
        <w:tc>
          <w:tcPr>
            <w:tcW w:w="380" w:type="pct"/>
            <w:vAlign w:val="center"/>
          </w:tcPr>
          <w:p w14:paraId="3A2F9C9A">
            <w:pPr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正态</w:t>
            </w:r>
          </w:p>
        </w:tc>
        <w:tc>
          <w:tcPr>
            <w:tcW w:w="339" w:type="pct"/>
            <w:vAlign w:val="center"/>
          </w:tcPr>
          <w:p w14:paraId="541BFE94">
            <w:pPr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453" w:type="pct"/>
            <w:vAlign w:val="center"/>
          </w:tcPr>
          <w:p w14:paraId="7BA3927B">
            <w:pPr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620" w:type="pct"/>
            <w:vAlign w:val="center"/>
          </w:tcPr>
          <w:p w14:paraId="21FEE601">
            <w:pPr>
              <w:jc w:val="center"/>
              <w:rPr>
                <w:rFonts w:hint="eastAsia" w:ascii="Times New Roman" w:hAnsi="Times New Roman" w:eastAsia="仿宋_GB2312" w:cs="Times New Roman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0.0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</w:tr>
      <w:tr w14:paraId="7B7740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69" w:type="pct"/>
            <w:vAlign w:val="center"/>
          </w:tcPr>
          <w:p w14:paraId="3756C18C">
            <w:pPr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28" w:type="pct"/>
            <w:vAlign w:val="center"/>
          </w:tcPr>
          <w:p w14:paraId="33710AA8">
            <w:pPr>
              <w:jc w:val="both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合成测量不确定度</w:t>
            </w:r>
          </w:p>
        </w:tc>
        <w:tc>
          <w:tcPr>
            <w:tcW w:w="708" w:type="pct"/>
            <w:vAlign w:val="center"/>
          </w:tcPr>
          <w:p w14:paraId="7F3996DD">
            <w:pPr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-</w:t>
            </w:r>
          </w:p>
        </w:tc>
        <w:tc>
          <w:tcPr>
            <w:tcW w:w="380" w:type="pct"/>
            <w:vAlign w:val="center"/>
          </w:tcPr>
          <w:p w14:paraId="735B1412">
            <w:pPr>
              <w:jc w:val="center"/>
              <w:rPr>
                <w:rFonts w:hint="default" w:ascii="Times New Roman" w:hAnsi="Times New Roman" w:eastAsia="仿宋_GB2312" w:cs="Times New Roman"/>
                <w:i/>
                <w:i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/>
                <w:i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k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= 1</w:t>
            </w:r>
          </w:p>
        </w:tc>
        <w:tc>
          <w:tcPr>
            <w:tcW w:w="339" w:type="pct"/>
            <w:vAlign w:val="center"/>
          </w:tcPr>
          <w:p w14:paraId="58DC9422">
            <w:pPr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453" w:type="pct"/>
            <w:vAlign w:val="center"/>
          </w:tcPr>
          <w:p w14:paraId="07271797">
            <w:pPr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-</w:t>
            </w:r>
          </w:p>
        </w:tc>
        <w:tc>
          <w:tcPr>
            <w:tcW w:w="620" w:type="pct"/>
            <w:vAlign w:val="center"/>
          </w:tcPr>
          <w:p w14:paraId="153724A3">
            <w:pPr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0699</w:t>
            </w:r>
          </w:p>
        </w:tc>
      </w:tr>
      <w:tr w14:paraId="778307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69" w:type="pct"/>
            <w:vAlign w:val="center"/>
          </w:tcPr>
          <w:p w14:paraId="27B751BC">
            <w:pPr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28" w:type="pct"/>
            <w:vAlign w:val="center"/>
          </w:tcPr>
          <w:p w14:paraId="06C4A69E">
            <w:pPr>
              <w:jc w:val="both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扩展测量不确定度</w:t>
            </w:r>
          </w:p>
        </w:tc>
        <w:tc>
          <w:tcPr>
            <w:tcW w:w="708" w:type="pct"/>
            <w:vAlign w:val="center"/>
          </w:tcPr>
          <w:p w14:paraId="31450FA4">
            <w:pPr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-</w:t>
            </w:r>
          </w:p>
        </w:tc>
        <w:tc>
          <w:tcPr>
            <w:tcW w:w="380" w:type="pct"/>
            <w:vAlign w:val="center"/>
          </w:tcPr>
          <w:p w14:paraId="1EF92826">
            <w:pPr>
              <w:jc w:val="center"/>
              <w:rPr>
                <w:rFonts w:hint="default" w:ascii="Times New Roman" w:hAnsi="Times New Roman" w:eastAsia="仿宋_GB2312" w:cs="Times New Roman"/>
                <w:i/>
                <w:i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/>
                <w:i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k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= 2</w:t>
            </w:r>
          </w:p>
        </w:tc>
        <w:tc>
          <w:tcPr>
            <w:tcW w:w="339" w:type="pct"/>
            <w:vAlign w:val="center"/>
          </w:tcPr>
          <w:p w14:paraId="5E5C742C">
            <w:pPr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453" w:type="pct"/>
            <w:vAlign w:val="center"/>
          </w:tcPr>
          <w:p w14:paraId="6385E39E">
            <w:pPr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-</w:t>
            </w:r>
          </w:p>
        </w:tc>
        <w:tc>
          <w:tcPr>
            <w:tcW w:w="620" w:type="pct"/>
            <w:vAlign w:val="center"/>
          </w:tcPr>
          <w:p w14:paraId="479EC2DA">
            <w:pPr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140</w:t>
            </w:r>
          </w:p>
        </w:tc>
      </w:tr>
    </w:tbl>
    <w:p w14:paraId="33DB4B33">
      <w:pPr>
        <w:tabs>
          <w:tab w:val="left" w:pos="638"/>
        </w:tabs>
        <w:spacing w:line="300" w:lineRule="auto"/>
        <w:jc w:val="center"/>
        <w:rPr>
          <w:rFonts w:hint="eastAsia" w:eastAsia="黑体"/>
        </w:rPr>
      </w:pPr>
    </w:p>
    <w:p w14:paraId="3063B039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C.</w:t>
      </w:r>
      <w:r>
        <w:rPr>
          <w:rFonts w:hint="eastAsia"/>
          <w:sz w:val="24"/>
          <w:szCs w:val="24"/>
          <w:lang w:val="en-US" w:eastAsia="zh-CN"/>
        </w:rPr>
        <w:t>2</w:t>
      </w:r>
      <w:r>
        <w:rPr>
          <w:sz w:val="24"/>
          <w:szCs w:val="24"/>
        </w:rPr>
        <w:t xml:space="preserve">  </w:t>
      </w:r>
      <w:r>
        <w:rPr>
          <w:rFonts w:hint="eastAsia"/>
          <w:sz w:val="24"/>
          <w:szCs w:val="24"/>
        </w:rPr>
        <w:t>机器视觉</w:t>
      </w:r>
      <w:r>
        <w:rPr>
          <w:rFonts w:hint="eastAsia"/>
          <w:sz w:val="24"/>
          <w:szCs w:val="24"/>
          <w:lang w:val="en-US" w:eastAsia="zh-CN"/>
        </w:rPr>
        <w:t>低频</w:t>
      </w:r>
      <w:r>
        <w:rPr>
          <w:rFonts w:hint="eastAsia"/>
          <w:sz w:val="24"/>
          <w:szCs w:val="24"/>
        </w:rPr>
        <w:t>振动测量算法/软件校准的测量不确定度</w:t>
      </w:r>
    </w:p>
    <w:p w14:paraId="713DBA5E">
      <w:pPr>
        <w:spacing w:line="360" w:lineRule="auto"/>
        <w:jc w:val="center"/>
        <w:rPr>
          <w:rFonts w:hint="default" w:ascii="Times New Roman" w:hAnsi="Times New Roman" w:eastAsia="黑体" w:cs="Times New Roman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黑体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表</w:t>
      </w:r>
      <w:r>
        <w:rPr>
          <w:rFonts w:hint="eastAsia" w:eastAsia="黑体" w:cs="Times New Roman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C.</w:t>
      </w:r>
      <w:r>
        <w:rPr>
          <w:rFonts w:hint="eastAsia" w:ascii="Times New Roman" w:hAnsi="Times New Roman" w:eastAsia="黑体" w:cs="Times New Roman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hint="default" w:ascii="Times New Roman" w:hAnsi="Times New Roman" w:eastAsia="黑体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 xml:space="preserve"> 机器视觉</w:t>
      </w:r>
      <w:r>
        <w:rPr>
          <w:rFonts w:hint="eastAsia" w:eastAsia="黑体" w:cs="Times New Roman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低频</w:t>
      </w:r>
      <w:r>
        <w:rPr>
          <w:rFonts w:hint="default" w:ascii="Times New Roman" w:hAnsi="Times New Roman" w:eastAsia="黑体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振动测量算法/软件</w:t>
      </w:r>
      <w:r>
        <w:rPr>
          <w:rFonts w:hint="eastAsia" w:ascii="Times New Roman" w:hAnsi="Times New Roman" w:eastAsia="黑体" w:cs="Times New Roman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幅值校准的不确定度</w:t>
      </w:r>
    </w:p>
    <w:tbl>
      <w:tblPr>
        <w:tblStyle w:val="17"/>
        <w:tblW w:w="4659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5"/>
        <w:gridCol w:w="4092"/>
        <w:gridCol w:w="1301"/>
        <w:gridCol w:w="698"/>
        <w:gridCol w:w="623"/>
        <w:gridCol w:w="834"/>
        <w:gridCol w:w="1140"/>
      </w:tblGrid>
      <w:tr w14:paraId="58EF4D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69" w:type="pct"/>
            <w:vAlign w:val="center"/>
          </w:tcPr>
          <w:p w14:paraId="6C5329D0">
            <w:pPr>
              <w:jc w:val="center"/>
              <w:rPr>
                <w:rFonts w:hint="default" w:ascii="Times New Roman" w:hAnsi="Times New Roman" w:eastAsia="黑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2228" w:type="pct"/>
            <w:vAlign w:val="center"/>
          </w:tcPr>
          <w:p w14:paraId="46CAE738">
            <w:pPr>
              <w:jc w:val="center"/>
              <w:rPr>
                <w:rFonts w:hint="default" w:ascii="Times New Roman" w:hAnsi="Times New Roman" w:eastAsia="黑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不确定度源</w:t>
            </w:r>
          </w:p>
        </w:tc>
        <w:tc>
          <w:tcPr>
            <w:tcW w:w="708" w:type="pct"/>
            <w:vAlign w:val="center"/>
          </w:tcPr>
          <w:p w14:paraId="2F98EDAB">
            <w:pPr>
              <w:jc w:val="center"/>
              <w:rPr>
                <w:rFonts w:hint="default" w:ascii="Times New Roman" w:hAnsi="Times New Roman" w:eastAsia="黑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不确</w:t>
            </w:r>
          </w:p>
          <w:p w14:paraId="61E7A49A">
            <w:pPr>
              <w:jc w:val="center"/>
              <w:rPr>
                <w:rFonts w:hint="default" w:ascii="Times New Roman" w:hAnsi="Times New Roman" w:eastAsia="黑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定度</w:t>
            </w:r>
          </w:p>
        </w:tc>
        <w:tc>
          <w:tcPr>
            <w:tcW w:w="380" w:type="pct"/>
            <w:vAlign w:val="center"/>
          </w:tcPr>
          <w:p w14:paraId="3DBCF70B">
            <w:pPr>
              <w:jc w:val="center"/>
              <w:rPr>
                <w:rFonts w:hint="default" w:ascii="Times New Roman" w:hAnsi="Times New Roman" w:eastAsia="黑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分布</w:t>
            </w:r>
          </w:p>
        </w:tc>
        <w:tc>
          <w:tcPr>
            <w:tcW w:w="339" w:type="pct"/>
            <w:vAlign w:val="center"/>
          </w:tcPr>
          <w:p w14:paraId="64BD6225">
            <w:pPr>
              <w:jc w:val="center"/>
              <w:rPr>
                <w:rFonts w:hint="default" w:ascii="Times New Roman" w:hAnsi="Times New Roman" w:eastAsia="黑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因子</w:t>
            </w:r>
          </w:p>
        </w:tc>
        <w:tc>
          <w:tcPr>
            <w:tcW w:w="453" w:type="pct"/>
            <w:vAlign w:val="center"/>
          </w:tcPr>
          <w:p w14:paraId="57F39CE4">
            <w:pPr>
              <w:jc w:val="center"/>
              <w:rPr>
                <w:rFonts w:hint="default" w:ascii="Times New Roman" w:hAnsi="Times New Roman" w:eastAsia="黑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灵敏系数</w:t>
            </w:r>
          </w:p>
        </w:tc>
        <w:tc>
          <w:tcPr>
            <w:tcW w:w="620" w:type="pct"/>
            <w:vAlign w:val="center"/>
          </w:tcPr>
          <w:p w14:paraId="3F15B0B8">
            <w:pPr>
              <w:jc w:val="center"/>
              <w:rPr>
                <w:rFonts w:hint="default" w:ascii="Times New Roman" w:hAnsi="Times New Roman" w:eastAsia="黑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相对贡献(%)</w:t>
            </w:r>
          </w:p>
        </w:tc>
      </w:tr>
      <w:tr w14:paraId="42B560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69" w:type="pct"/>
            <w:vAlign w:val="center"/>
          </w:tcPr>
          <w:p w14:paraId="598FB8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228" w:type="pct"/>
            <w:vAlign w:val="center"/>
          </w:tcPr>
          <w:p w14:paraId="2C1A95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图像像素点量化误差的影响</w:t>
            </w:r>
          </w:p>
        </w:tc>
        <w:tc>
          <w:tcPr>
            <w:tcW w:w="708" w:type="pct"/>
            <w:tcBorders>
              <w:top w:val="single" w:color="auto" w:sz="4" w:space="0"/>
            </w:tcBorders>
            <w:vAlign w:val="center"/>
          </w:tcPr>
          <w:p w14:paraId="285674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0.020%</w:t>
            </w:r>
          </w:p>
        </w:tc>
        <w:tc>
          <w:tcPr>
            <w:tcW w:w="380" w:type="pct"/>
            <w:vAlign w:val="center"/>
          </w:tcPr>
          <w:p w14:paraId="349EEE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矩形</w:t>
            </w:r>
          </w:p>
        </w:tc>
        <w:tc>
          <w:tcPr>
            <w:tcW w:w="339" w:type="pct"/>
            <w:vAlign w:val="center"/>
          </w:tcPr>
          <w:p w14:paraId="423371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1.73</w:t>
            </w:r>
          </w:p>
        </w:tc>
        <w:tc>
          <w:tcPr>
            <w:tcW w:w="453" w:type="pct"/>
            <w:vAlign w:val="center"/>
          </w:tcPr>
          <w:p w14:paraId="69DE1B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620" w:type="pct"/>
            <w:tcBorders>
              <w:top w:val="single" w:color="auto" w:sz="4" w:space="0"/>
            </w:tcBorders>
            <w:vAlign w:val="center"/>
          </w:tcPr>
          <w:p w14:paraId="593BBE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0.0115</w:t>
            </w:r>
          </w:p>
        </w:tc>
      </w:tr>
      <w:tr w14:paraId="3F1D88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69" w:type="pct"/>
            <w:vAlign w:val="center"/>
          </w:tcPr>
          <w:p w14:paraId="41D7AB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2228" w:type="pct"/>
            <w:vAlign w:val="center"/>
          </w:tcPr>
          <w:p w14:paraId="52397E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图像分辨率的不确定度</w:t>
            </w:r>
          </w:p>
        </w:tc>
        <w:tc>
          <w:tcPr>
            <w:tcW w:w="708" w:type="pct"/>
            <w:vAlign w:val="center"/>
          </w:tcPr>
          <w:p w14:paraId="6D44FD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0.010%</w:t>
            </w:r>
          </w:p>
        </w:tc>
        <w:tc>
          <w:tcPr>
            <w:tcW w:w="380" w:type="pct"/>
            <w:vAlign w:val="center"/>
          </w:tcPr>
          <w:p w14:paraId="2163DA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矩形</w:t>
            </w:r>
          </w:p>
        </w:tc>
        <w:tc>
          <w:tcPr>
            <w:tcW w:w="339" w:type="pct"/>
            <w:vAlign w:val="center"/>
          </w:tcPr>
          <w:p w14:paraId="05ECC8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1.73</w:t>
            </w:r>
          </w:p>
        </w:tc>
        <w:tc>
          <w:tcPr>
            <w:tcW w:w="453" w:type="pct"/>
            <w:vAlign w:val="center"/>
          </w:tcPr>
          <w:p w14:paraId="5D4FED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620" w:type="pct"/>
            <w:vAlign w:val="center"/>
          </w:tcPr>
          <w:p w14:paraId="402153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0.0057</w:t>
            </w:r>
          </w:p>
        </w:tc>
      </w:tr>
      <w:tr w14:paraId="5F1DB4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69" w:type="pct"/>
            <w:vAlign w:val="center"/>
          </w:tcPr>
          <w:p w14:paraId="4C2EF0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2228" w:type="pct"/>
            <w:vAlign w:val="center"/>
          </w:tcPr>
          <w:p w14:paraId="53B5F0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图像边缘检测算法对位移测量的影响</w:t>
            </w:r>
          </w:p>
        </w:tc>
        <w:tc>
          <w:tcPr>
            <w:tcW w:w="708" w:type="pct"/>
            <w:vAlign w:val="center"/>
          </w:tcPr>
          <w:p w14:paraId="600EAC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0.004%</w:t>
            </w:r>
          </w:p>
        </w:tc>
        <w:tc>
          <w:tcPr>
            <w:tcW w:w="380" w:type="pct"/>
            <w:vAlign w:val="center"/>
          </w:tcPr>
          <w:p w14:paraId="0BE079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正态</w:t>
            </w:r>
          </w:p>
        </w:tc>
        <w:tc>
          <w:tcPr>
            <w:tcW w:w="339" w:type="pct"/>
            <w:vAlign w:val="center"/>
          </w:tcPr>
          <w:p w14:paraId="5CBBE9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453" w:type="pct"/>
            <w:vAlign w:val="center"/>
          </w:tcPr>
          <w:p w14:paraId="39078E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620" w:type="pct"/>
            <w:vAlign w:val="center"/>
          </w:tcPr>
          <w:p w14:paraId="46CFF8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0.0020</w:t>
            </w:r>
          </w:p>
        </w:tc>
      </w:tr>
      <w:tr w14:paraId="46CC6E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69" w:type="pct"/>
            <w:vAlign w:val="center"/>
          </w:tcPr>
          <w:p w14:paraId="69B241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2228" w:type="pct"/>
            <w:vAlign w:val="center"/>
          </w:tcPr>
          <w:p w14:paraId="265F3C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最小二乘法拟合直线对位移测量的影响</w:t>
            </w:r>
          </w:p>
        </w:tc>
        <w:tc>
          <w:tcPr>
            <w:tcW w:w="708" w:type="pct"/>
            <w:vAlign w:val="center"/>
          </w:tcPr>
          <w:p w14:paraId="050CB7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0.002%</w:t>
            </w:r>
          </w:p>
        </w:tc>
        <w:tc>
          <w:tcPr>
            <w:tcW w:w="380" w:type="pct"/>
            <w:vAlign w:val="center"/>
          </w:tcPr>
          <w:p w14:paraId="67CBF9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正态</w:t>
            </w:r>
          </w:p>
        </w:tc>
        <w:tc>
          <w:tcPr>
            <w:tcW w:w="339" w:type="pct"/>
            <w:vAlign w:val="center"/>
          </w:tcPr>
          <w:p w14:paraId="58FE66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453" w:type="pct"/>
            <w:vAlign w:val="center"/>
          </w:tcPr>
          <w:p w14:paraId="5E5E44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620" w:type="pct"/>
            <w:vAlign w:val="center"/>
          </w:tcPr>
          <w:p w14:paraId="3B7F4B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0.0010</w:t>
            </w:r>
          </w:p>
        </w:tc>
      </w:tr>
      <w:tr w14:paraId="5B7E69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69" w:type="pct"/>
            <w:vAlign w:val="center"/>
          </w:tcPr>
          <w:p w14:paraId="2413A2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2228" w:type="pct"/>
            <w:vAlign w:val="center"/>
          </w:tcPr>
          <w:p w14:paraId="621A55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误差模型修正不完善对位移测量的影响</w:t>
            </w:r>
          </w:p>
        </w:tc>
        <w:tc>
          <w:tcPr>
            <w:tcW w:w="708" w:type="pct"/>
            <w:vAlign w:val="center"/>
          </w:tcPr>
          <w:p w14:paraId="389279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0.010%</w:t>
            </w:r>
          </w:p>
        </w:tc>
        <w:tc>
          <w:tcPr>
            <w:tcW w:w="380" w:type="pct"/>
            <w:vAlign w:val="center"/>
          </w:tcPr>
          <w:p w14:paraId="36CF4B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正态</w:t>
            </w:r>
          </w:p>
        </w:tc>
        <w:tc>
          <w:tcPr>
            <w:tcW w:w="339" w:type="pct"/>
            <w:vAlign w:val="center"/>
          </w:tcPr>
          <w:p w14:paraId="6D5CBB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453" w:type="pct"/>
            <w:vAlign w:val="center"/>
          </w:tcPr>
          <w:p w14:paraId="62F7F4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620" w:type="pct"/>
            <w:vAlign w:val="center"/>
          </w:tcPr>
          <w:p w14:paraId="6955F1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0.0050</w:t>
            </w:r>
          </w:p>
        </w:tc>
      </w:tr>
      <w:tr w14:paraId="5B372C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69" w:type="pct"/>
            <w:vAlign w:val="center"/>
          </w:tcPr>
          <w:p w14:paraId="639806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2228" w:type="pct"/>
            <w:vAlign w:val="center"/>
          </w:tcPr>
          <w:p w14:paraId="662212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标准正弦振动数字视频数据精度</w:t>
            </w:r>
          </w:p>
        </w:tc>
        <w:tc>
          <w:tcPr>
            <w:tcW w:w="708" w:type="pct"/>
            <w:vAlign w:val="center"/>
          </w:tcPr>
          <w:p w14:paraId="43FFBC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8.8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×10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-13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px</w:t>
            </w:r>
          </w:p>
        </w:tc>
        <w:tc>
          <w:tcPr>
            <w:tcW w:w="380" w:type="pct"/>
            <w:vAlign w:val="center"/>
          </w:tcPr>
          <w:p w14:paraId="18C962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矩形</w:t>
            </w:r>
          </w:p>
        </w:tc>
        <w:tc>
          <w:tcPr>
            <w:tcW w:w="339" w:type="pct"/>
            <w:vAlign w:val="center"/>
          </w:tcPr>
          <w:p w14:paraId="3C367F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1.73</w:t>
            </w:r>
          </w:p>
        </w:tc>
        <w:tc>
          <w:tcPr>
            <w:tcW w:w="453" w:type="pct"/>
            <w:vAlign w:val="center"/>
          </w:tcPr>
          <w:p w14:paraId="38F67C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620" w:type="pct"/>
            <w:vAlign w:val="center"/>
          </w:tcPr>
          <w:p w14:paraId="64C33E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0.0001</w:t>
            </w:r>
          </w:p>
        </w:tc>
      </w:tr>
      <w:tr w14:paraId="0EFF1B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000" w:type="pct"/>
            <w:gridSpan w:val="7"/>
            <w:vAlign w:val="center"/>
          </w:tcPr>
          <w:p w14:paraId="259B600E">
            <w:pPr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重复性引入的测量不确定度分量</w:t>
            </w:r>
          </w:p>
        </w:tc>
      </w:tr>
      <w:tr w14:paraId="2B6B24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69" w:type="pct"/>
            <w:vAlign w:val="center"/>
          </w:tcPr>
          <w:p w14:paraId="28D6E5EE">
            <w:pPr>
              <w:jc w:val="center"/>
              <w:rPr>
                <w:rFonts w:hint="eastAsia" w:ascii="Times New Roman" w:hAnsi="Times New Roman" w:eastAsia="仿宋_GB2312" w:cs="Times New Roman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2228" w:type="pct"/>
            <w:vAlign w:val="center"/>
          </w:tcPr>
          <w:p w14:paraId="6E573C43">
            <w:pPr>
              <w:jc w:val="both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重复性</w:t>
            </w:r>
          </w:p>
        </w:tc>
        <w:tc>
          <w:tcPr>
            <w:tcW w:w="708" w:type="pct"/>
            <w:vAlign w:val="center"/>
          </w:tcPr>
          <w:p w14:paraId="339F6A8D">
            <w:pPr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0.0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2%</w:t>
            </w:r>
          </w:p>
        </w:tc>
        <w:tc>
          <w:tcPr>
            <w:tcW w:w="380" w:type="pct"/>
            <w:vAlign w:val="center"/>
          </w:tcPr>
          <w:p w14:paraId="5E19A70A">
            <w:pPr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正态</w:t>
            </w:r>
          </w:p>
        </w:tc>
        <w:tc>
          <w:tcPr>
            <w:tcW w:w="339" w:type="pct"/>
            <w:vAlign w:val="center"/>
          </w:tcPr>
          <w:p w14:paraId="0B26B26B">
            <w:pPr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453" w:type="pct"/>
            <w:vAlign w:val="center"/>
          </w:tcPr>
          <w:p w14:paraId="6DAA40EC">
            <w:pPr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620" w:type="pct"/>
            <w:vAlign w:val="center"/>
          </w:tcPr>
          <w:p w14:paraId="0F7B63F7">
            <w:pPr>
              <w:jc w:val="center"/>
              <w:rPr>
                <w:rFonts w:hint="eastAsia" w:ascii="Times New Roman" w:hAnsi="Times New Roman" w:eastAsia="仿宋_GB2312" w:cs="Times New Roman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0.0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3C4B8F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69" w:type="pct"/>
            <w:vAlign w:val="center"/>
          </w:tcPr>
          <w:p w14:paraId="66C38E4E">
            <w:pPr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28" w:type="pct"/>
            <w:vAlign w:val="center"/>
          </w:tcPr>
          <w:p w14:paraId="69DC2E43">
            <w:pPr>
              <w:jc w:val="both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合成测量不确定度</w:t>
            </w:r>
          </w:p>
        </w:tc>
        <w:tc>
          <w:tcPr>
            <w:tcW w:w="708" w:type="pct"/>
            <w:vAlign w:val="center"/>
          </w:tcPr>
          <w:p w14:paraId="4373C1FE">
            <w:pPr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-</w:t>
            </w:r>
          </w:p>
        </w:tc>
        <w:tc>
          <w:tcPr>
            <w:tcW w:w="380" w:type="pct"/>
            <w:vAlign w:val="center"/>
          </w:tcPr>
          <w:p w14:paraId="1419C20F">
            <w:pPr>
              <w:jc w:val="center"/>
              <w:rPr>
                <w:rFonts w:hint="default" w:ascii="Times New Roman" w:hAnsi="Times New Roman" w:eastAsia="仿宋_GB2312" w:cs="Times New Roman"/>
                <w:i/>
                <w:i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/>
                <w:i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k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= 1</w:t>
            </w:r>
          </w:p>
        </w:tc>
        <w:tc>
          <w:tcPr>
            <w:tcW w:w="339" w:type="pct"/>
            <w:vAlign w:val="center"/>
          </w:tcPr>
          <w:p w14:paraId="0C4A8353">
            <w:pPr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453" w:type="pct"/>
            <w:vAlign w:val="center"/>
          </w:tcPr>
          <w:p w14:paraId="202B944D">
            <w:pPr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-</w:t>
            </w:r>
          </w:p>
        </w:tc>
        <w:tc>
          <w:tcPr>
            <w:tcW w:w="620" w:type="pct"/>
            <w:vAlign w:val="center"/>
          </w:tcPr>
          <w:p w14:paraId="3D799329">
            <w:pPr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0172</w:t>
            </w:r>
          </w:p>
        </w:tc>
      </w:tr>
      <w:tr w14:paraId="059D43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69" w:type="pct"/>
            <w:vAlign w:val="center"/>
          </w:tcPr>
          <w:p w14:paraId="13ABA60D">
            <w:pPr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28" w:type="pct"/>
            <w:vAlign w:val="center"/>
          </w:tcPr>
          <w:p w14:paraId="691F3327">
            <w:pPr>
              <w:jc w:val="both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扩展测量不确定度</w:t>
            </w:r>
          </w:p>
        </w:tc>
        <w:tc>
          <w:tcPr>
            <w:tcW w:w="708" w:type="pct"/>
            <w:vAlign w:val="center"/>
          </w:tcPr>
          <w:p w14:paraId="69F20BE5">
            <w:pPr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-</w:t>
            </w:r>
          </w:p>
        </w:tc>
        <w:tc>
          <w:tcPr>
            <w:tcW w:w="380" w:type="pct"/>
            <w:vAlign w:val="center"/>
          </w:tcPr>
          <w:p w14:paraId="7AD91C22">
            <w:pPr>
              <w:jc w:val="center"/>
              <w:rPr>
                <w:rFonts w:hint="default" w:ascii="Times New Roman" w:hAnsi="Times New Roman" w:eastAsia="仿宋_GB2312" w:cs="Times New Roman"/>
                <w:i/>
                <w:i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/>
                <w:i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k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= 2</w:t>
            </w:r>
          </w:p>
        </w:tc>
        <w:tc>
          <w:tcPr>
            <w:tcW w:w="339" w:type="pct"/>
            <w:vAlign w:val="center"/>
          </w:tcPr>
          <w:p w14:paraId="4D26256C">
            <w:pPr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453" w:type="pct"/>
            <w:vAlign w:val="center"/>
          </w:tcPr>
          <w:p w14:paraId="38B25AB1">
            <w:pPr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-</w:t>
            </w:r>
          </w:p>
        </w:tc>
        <w:tc>
          <w:tcPr>
            <w:tcW w:w="620" w:type="pct"/>
            <w:vAlign w:val="center"/>
          </w:tcPr>
          <w:p w14:paraId="06552165">
            <w:pPr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0343</w:t>
            </w:r>
          </w:p>
        </w:tc>
      </w:tr>
    </w:tbl>
    <w:p w14:paraId="689DC6D0">
      <w:pPr>
        <w:spacing w:line="360" w:lineRule="auto"/>
        <w:jc w:val="center"/>
        <w:rPr>
          <w:rFonts w:hint="default" w:ascii="Times New Roman" w:hAnsi="Times New Roman" w:eastAsia="黑体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</w:p>
    <w:p w14:paraId="52DC89FD">
      <w:pPr>
        <w:spacing w:line="360" w:lineRule="auto"/>
        <w:jc w:val="center"/>
        <w:rPr>
          <w:rFonts w:hint="default" w:ascii="Times New Roman" w:hAnsi="Times New Roman" w:eastAsia="黑体" w:cs="Times New Roman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黑体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表</w:t>
      </w:r>
      <w:r>
        <w:rPr>
          <w:rFonts w:hint="eastAsia" w:eastAsia="黑体" w:cs="Times New Roman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C.</w:t>
      </w:r>
      <w:r>
        <w:rPr>
          <w:rFonts w:hint="eastAsia" w:ascii="Times New Roman" w:hAnsi="Times New Roman" w:eastAsia="黑体" w:cs="Times New Roman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 xml:space="preserve">4 </w:t>
      </w:r>
      <w:r>
        <w:rPr>
          <w:rFonts w:hint="default" w:ascii="Times New Roman" w:hAnsi="Times New Roman" w:eastAsia="黑体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机器视觉</w:t>
      </w:r>
      <w:r>
        <w:rPr>
          <w:rFonts w:hint="eastAsia" w:eastAsia="黑体" w:cs="Times New Roman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低频</w:t>
      </w:r>
      <w:r>
        <w:rPr>
          <w:rFonts w:hint="default" w:ascii="Times New Roman" w:hAnsi="Times New Roman" w:eastAsia="黑体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振动测量算法/软件</w:t>
      </w:r>
      <w:r>
        <w:rPr>
          <w:rFonts w:hint="eastAsia" w:ascii="Times New Roman" w:hAnsi="Times New Roman" w:eastAsia="黑体" w:cs="Times New Roman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相位校准的不确定度</w:t>
      </w:r>
    </w:p>
    <w:tbl>
      <w:tblPr>
        <w:tblStyle w:val="17"/>
        <w:tblW w:w="4659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5"/>
        <w:gridCol w:w="4092"/>
        <w:gridCol w:w="1301"/>
        <w:gridCol w:w="698"/>
        <w:gridCol w:w="623"/>
        <w:gridCol w:w="834"/>
        <w:gridCol w:w="1140"/>
      </w:tblGrid>
      <w:tr w14:paraId="36A994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69" w:type="pct"/>
            <w:vAlign w:val="center"/>
          </w:tcPr>
          <w:p w14:paraId="686502FC">
            <w:pPr>
              <w:jc w:val="center"/>
              <w:rPr>
                <w:rFonts w:hint="default" w:ascii="Times New Roman" w:hAnsi="Times New Roman" w:eastAsia="黑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2228" w:type="pct"/>
            <w:vAlign w:val="center"/>
          </w:tcPr>
          <w:p w14:paraId="62482877">
            <w:pPr>
              <w:jc w:val="center"/>
              <w:rPr>
                <w:rFonts w:hint="default" w:ascii="Times New Roman" w:hAnsi="Times New Roman" w:eastAsia="黑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不确定度源</w:t>
            </w:r>
          </w:p>
        </w:tc>
        <w:tc>
          <w:tcPr>
            <w:tcW w:w="708" w:type="pct"/>
            <w:vAlign w:val="center"/>
          </w:tcPr>
          <w:p w14:paraId="31DD55BC">
            <w:pPr>
              <w:jc w:val="center"/>
              <w:rPr>
                <w:rFonts w:hint="default" w:ascii="Times New Roman" w:hAnsi="Times New Roman" w:eastAsia="黑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不确</w:t>
            </w:r>
          </w:p>
          <w:p w14:paraId="012B602A">
            <w:pPr>
              <w:jc w:val="center"/>
              <w:rPr>
                <w:rFonts w:hint="default" w:ascii="Times New Roman" w:hAnsi="Times New Roman" w:eastAsia="黑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定度</w:t>
            </w:r>
          </w:p>
        </w:tc>
        <w:tc>
          <w:tcPr>
            <w:tcW w:w="380" w:type="pct"/>
            <w:vAlign w:val="center"/>
          </w:tcPr>
          <w:p w14:paraId="623E6496">
            <w:pPr>
              <w:jc w:val="center"/>
              <w:rPr>
                <w:rFonts w:hint="default" w:ascii="Times New Roman" w:hAnsi="Times New Roman" w:eastAsia="黑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分布</w:t>
            </w:r>
          </w:p>
        </w:tc>
        <w:tc>
          <w:tcPr>
            <w:tcW w:w="339" w:type="pct"/>
            <w:vAlign w:val="center"/>
          </w:tcPr>
          <w:p w14:paraId="686C3E17">
            <w:pPr>
              <w:jc w:val="center"/>
              <w:rPr>
                <w:rFonts w:hint="default" w:ascii="Times New Roman" w:hAnsi="Times New Roman" w:eastAsia="黑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因子</w:t>
            </w:r>
          </w:p>
        </w:tc>
        <w:tc>
          <w:tcPr>
            <w:tcW w:w="453" w:type="pct"/>
            <w:vAlign w:val="center"/>
          </w:tcPr>
          <w:p w14:paraId="6F49E2D5">
            <w:pPr>
              <w:jc w:val="center"/>
              <w:rPr>
                <w:rFonts w:hint="default" w:ascii="Times New Roman" w:hAnsi="Times New Roman" w:eastAsia="黑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灵敏系数</w:t>
            </w:r>
          </w:p>
        </w:tc>
        <w:tc>
          <w:tcPr>
            <w:tcW w:w="620" w:type="pct"/>
            <w:vAlign w:val="center"/>
          </w:tcPr>
          <w:p w14:paraId="293BC47D">
            <w:pPr>
              <w:jc w:val="center"/>
              <w:rPr>
                <w:rFonts w:hint="default" w:ascii="Times New Roman" w:hAnsi="Times New Roman" w:eastAsia="黑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相对贡献(</w:t>
            </w:r>
            <w:r>
              <w:rPr>
                <w:rFonts w:hint="eastAsia" w:ascii="Times New Roman" w:hAnsi="Times New Roman" w:eastAsia="黑体" w:cs="Times New Roman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°</w:t>
            </w:r>
            <w:r>
              <w:rPr>
                <w:rFonts w:hint="default" w:ascii="Times New Roman" w:hAnsi="Times New Roman" w:eastAsia="黑体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</w:tr>
      <w:tr w14:paraId="43E4D1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69" w:type="pct"/>
            <w:vAlign w:val="center"/>
          </w:tcPr>
          <w:p w14:paraId="5715D5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228" w:type="pct"/>
            <w:vAlign w:val="center"/>
          </w:tcPr>
          <w:p w14:paraId="7765F1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图像像素点量化误差的影响</w:t>
            </w:r>
          </w:p>
        </w:tc>
        <w:tc>
          <w:tcPr>
            <w:tcW w:w="708" w:type="pct"/>
            <w:tcBorders>
              <w:top w:val="single" w:color="auto" w:sz="4" w:space="0"/>
            </w:tcBorders>
            <w:vAlign w:val="center"/>
          </w:tcPr>
          <w:p w14:paraId="1ECFA2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0.020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°</w:t>
            </w:r>
          </w:p>
        </w:tc>
        <w:tc>
          <w:tcPr>
            <w:tcW w:w="380" w:type="pct"/>
            <w:vAlign w:val="center"/>
          </w:tcPr>
          <w:p w14:paraId="3DED0D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矩形</w:t>
            </w:r>
          </w:p>
        </w:tc>
        <w:tc>
          <w:tcPr>
            <w:tcW w:w="339" w:type="pct"/>
            <w:vAlign w:val="center"/>
          </w:tcPr>
          <w:p w14:paraId="4A8342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1.73</w:t>
            </w:r>
          </w:p>
        </w:tc>
        <w:tc>
          <w:tcPr>
            <w:tcW w:w="453" w:type="pct"/>
            <w:vAlign w:val="center"/>
          </w:tcPr>
          <w:p w14:paraId="0AE5D0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620" w:type="pct"/>
            <w:tcBorders>
              <w:top w:val="single" w:color="auto" w:sz="4" w:space="0"/>
            </w:tcBorders>
            <w:vAlign w:val="center"/>
          </w:tcPr>
          <w:p w14:paraId="23D0D1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0.0115</w:t>
            </w:r>
          </w:p>
        </w:tc>
      </w:tr>
      <w:tr w14:paraId="5726FA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69" w:type="pct"/>
            <w:vAlign w:val="center"/>
          </w:tcPr>
          <w:p w14:paraId="499D73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2228" w:type="pct"/>
            <w:vAlign w:val="center"/>
          </w:tcPr>
          <w:p w14:paraId="140161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图像分辨率的不确定度</w:t>
            </w:r>
          </w:p>
        </w:tc>
        <w:tc>
          <w:tcPr>
            <w:tcW w:w="708" w:type="pct"/>
            <w:vAlign w:val="center"/>
          </w:tcPr>
          <w:p w14:paraId="7D81E2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0.010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°</w:t>
            </w:r>
          </w:p>
        </w:tc>
        <w:tc>
          <w:tcPr>
            <w:tcW w:w="380" w:type="pct"/>
            <w:vAlign w:val="center"/>
          </w:tcPr>
          <w:p w14:paraId="455A1A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矩形</w:t>
            </w:r>
          </w:p>
        </w:tc>
        <w:tc>
          <w:tcPr>
            <w:tcW w:w="339" w:type="pct"/>
            <w:vAlign w:val="center"/>
          </w:tcPr>
          <w:p w14:paraId="68FD52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1.73</w:t>
            </w:r>
          </w:p>
        </w:tc>
        <w:tc>
          <w:tcPr>
            <w:tcW w:w="453" w:type="pct"/>
            <w:vAlign w:val="center"/>
          </w:tcPr>
          <w:p w14:paraId="2F1DE7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620" w:type="pct"/>
            <w:vAlign w:val="center"/>
          </w:tcPr>
          <w:p w14:paraId="4AB1C3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0.0057</w:t>
            </w:r>
          </w:p>
        </w:tc>
      </w:tr>
      <w:tr w14:paraId="69925A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69" w:type="pct"/>
            <w:vAlign w:val="center"/>
          </w:tcPr>
          <w:p w14:paraId="18E787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2228" w:type="pct"/>
            <w:vAlign w:val="center"/>
          </w:tcPr>
          <w:p w14:paraId="2A1471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图像边缘检测算法对位移测量的影响</w:t>
            </w:r>
          </w:p>
        </w:tc>
        <w:tc>
          <w:tcPr>
            <w:tcW w:w="708" w:type="pct"/>
            <w:vAlign w:val="center"/>
          </w:tcPr>
          <w:p w14:paraId="2E5C7D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0.004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°</w:t>
            </w:r>
          </w:p>
        </w:tc>
        <w:tc>
          <w:tcPr>
            <w:tcW w:w="380" w:type="pct"/>
            <w:vAlign w:val="center"/>
          </w:tcPr>
          <w:p w14:paraId="17434C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正态</w:t>
            </w:r>
          </w:p>
        </w:tc>
        <w:tc>
          <w:tcPr>
            <w:tcW w:w="339" w:type="pct"/>
            <w:vAlign w:val="center"/>
          </w:tcPr>
          <w:p w14:paraId="50C936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453" w:type="pct"/>
            <w:vAlign w:val="center"/>
          </w:tcPr>
          <w:p w14:paraId="642D47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620" w:type="pct"/>
            <w:vAlign w:val="center"/>
          </w:tcPr>
          <w:p w14:paraId="131EA3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0.0020</w:t>
            </w:r>
          </w:p>
        </w:tc>
      </w:tr>
      <w:tr w14:paraId="5990FC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69" w:type="pct"/>
            <w:vAlign w:val="center"/>
          </w:tcPr>
          <w:p w14:paraId="537E9B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2228" w:type="pct"/>
            <w:vAlign w:val="center"/>
          </w:tcPr>
          <w:p w14:paraId="49A33C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最小二乘法拟合直线对位移测量的影响</w:t>
            </w:r>
          </w:p>
        </w:tc>
        <w:tc>
          <w:tcPr>
            <w:tcW w:w="708" w:type="pct"/>
            <w:vAlign w:val="center"/>
          </w:tcPr>
          <w:p w14:paraId="47DC79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0.002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°</w:t>
            </w:r>
          </w:p>
        </w:tc>
        <w:tc>
          <w:tcPr>
            <w:tcW w:w="380" w:type="pct"/>
            <w:vAlign w:val="center"/>
          </w:tcPr>
          <w:p w14:paraId="317DFA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正态</w:t>
            </w:r>
          </w:p>
        </w:tc>
        <w:tc>
          <w:tcPr>
            <w:tcW w:w="339" w:type="pct"/>
            <w:vAlign w:val="center"/>
          </w:tcPr>
          <w:p w14:paraId="2B0E45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453" w:type="pct"/>
            <w:vAlign w:val="center"/>
          </w:tcPr>
          <w:p w14:paraId="0CE403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620" w:type="pct"/>
            <w:vAlign w:val="center"/>
          </w:tcPr>
          <w:p w14:paraId="111D40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0.0010</w:t>
            </w:r>
          </w:p>
        </w:tc>
      </w:tr>
      <w:tr w14:paraId="14B15D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69" w:type="pct"/>
            <w:vAlign w:val="center"/>
          </w:tcPr>
          <w:p w14:paraId="136280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2228" w:type="pct"/>
            <w:vAlign w:val="center"/>
          </w:tcPr>
          <w:p w14:paraId="6233EE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误差模型修正不完善对位移测量的影响</w:t>
            </w:r>
          </w:p>
        </w:tc>
        <w:tc>
          <w:tcPr>
            <w:tcW w:w="708" w:type="pct"/>
            <w:vAlign w:val="center"/>
          </w:tcPr>
          <w:p w14:paraId="7B1732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0.010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°</w:t>
            </w:r>
          </w:p>
        </w:tc>
        <w:tc>
          <w:tcPr>
            <w:tcW w:w="380" w:type="pct"/>
            <w:vAlign w:val="center"/>
          </w:tcPr>
          <w:p w14:paraId="6C9524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正态</w:t>
            </w:r>
          </w:p>
        </w:tc>
        <w:tc>
          <w:tcPr>
            <w:tcW w:w="339" w:type="pct"/>
            <w:vAlign w:val="center"/>
          </w:tcPr>
          <w:p w14:paraId="252CE0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453" w:type="pct"/>
            <w:vAlign w:val="center"/>
          </w:tcPr>
          <w:p w14:paraId="3E1F95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620" w:type="pct"/>
            <w:vAlign w:val="center"/>
          </w:tcPr>
          <w:p w14:paraId="4CA30A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0.0050</w:t>
            </w:r>
          </w:p>
        </w:tc>
      </w:tr>
      <w:tr w14:paraId="63AB2C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69" w:type="pct"/>
            <w:vAlign w:val="center"/>
          </w:tcPr>
          <w:p w14:paraId="5B7023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2228" w:type="pct"/>
            <w:vAlign w:val="center"/>
          </w:tcPr>
          <w:p w14:paraId="10433F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标准正弦振动数字视频数据精度</w:t>
            </w:r>
          </w:p>
        </w:tc>
        <w:tc>
          <w:tcPr>
            <w:tcW w:w="708" w:type="pct"/>
            <w:vAlign w:val="center"/>
          </w:tcPr>
          <w:p w14:paraId="50CBC2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8.8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×10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-13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px</w:t>
            </w:r>
          </w:p>
        </w:tc>
        <w:tc>
          <w:tcPr>
            <w:tcW w:w="380" w:type="pct"/>
            <w:vAlign w:val="center"/>
          </w:tcPr>
          <w:p w14:paraId="36B452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矩形</w:t>
            </w:r>
          </w:p>
        </w:tc>
        <w:tc>
          <w:tcPr>
            <w:tcW w:w="339" w:type="pct"/>
            <w:vAlign w:val="center"/>
          </w:tcPr>
          <w:p w14:paraId="0C6C09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1.73</w:t>
            </w:r>
          </w:p>
        </w:tc>
        <w:tc>
          <w:tcPr>
            <w:tcW w:w="453" w:type="pct"/>
            <w:vAlign w:val="center"/>
          </w:tcPr>
          <w:p w14:paraId="390A78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620" w:type="pct"/>
            <w:vAlign w:val="center"/>
          </w:tcPr>
          <w:p w14:paraId="4ECDA4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0.0001</w:t>
            </w:r>
          </w:p>
        </w:tc>
      </w:tr>
      <w:tr w14:paraId="1D0BE3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000" w:type="pct"/>
            <w:gridSpan w:val="7"/>
            <w:vAlign w:val="center"/>
          </w:tcPr>
          <w:p w14:paraId="79CAE7C2">
            <w:pPr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重复性引入的测量不确定度分量</w:t>
            </w:r>
          </w:p>
        </w:tc>
      </w:tr>
      <w:tr w14:paraId="294332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69" w:type="pct"/>
            <w:vAlign w:val="center"/>
          </w:tcPr>
          <w:p w14:paraId="0764668E">
            <w:pPr>
              <w:jc w:val="center"/>
              <w:rPr>
                <w:rFonts w:hint="eastAsia" w:ascii="Times New Roman" w:hAnsi="Times New Roman" w:eastAsia="仿宋_GB2312" w:cs="Times New Roman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2228" w:type="pct"/>
            <w:vAlign w:val="center"/>
          </w:tcPr>
          <w:p w14:paraId="58E22950">
            <w:pPr>
              <w:jc w:val="both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重复性</w:t>
            </w:r>
          </w:p>
        </w:tc>
        <w:tc>
          <w:tcPr>
            <w:tcW w:w="708" w:type="pct"/>
            <w:vAlign w:val="center"/>
          </w:tcPr>
          <w:p w14:paraId="7B92BD7E">
            <w:pPr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0.0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1°</w:t>
            </w:r>
          </w:p>
        </w:tc>
        <w:tc>
          <w:tcPr>
            <w:tcW w:w="380" w:type="pct"/>
            <w:vAlign w:val="center"/>
          </w:tcPr>
          <w:p w14:paraId="02167E1A">
            <w:pPr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正态</w:t>
            </w:r>
          </w:p>
        </w:tc>
        <w:tc>
          <w:tcPr>
            <w:tcW w:w="339" w:type="pct"/>
            <w:vAlign w:val="center"/>
          </w:tcPr>
          <w:p w14:paraId="4F7879B0">
            <w:pPr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453" w:type="pct"/>
            <w:vAlign w:val="center"/>
          </w:tcPr>
          <w:p w14:paraId="533D6CD0">
            <w:pPr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620" w:type="pct"/>
            <w:vAlign w:val="center"/>
          </w:tcPr>
          <w:p w14:paraId="497D3CCE">
            <w:pPr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0.0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05</w:t>
            </w:r>
          </w:p>
        </w:tc>
      </w:tr>
      <w:tr w14:paraId="68B54A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69" w:type="pct"/>
            <w:vAlign w:val="center"/>
          </w:tcPr>
          <w:p w14:paraId="554EE94D">
            <w:pPr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28" w:type="pct"/>
            <w:vAlign w:val="center"/>
          </w:tcPr>
          <w:p w14:paraId="11866A97">
            <w:pPr>
              <w:jc w:val="both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合成测量不确定度</w:t>
            </w:r>
          </w:p>
        </w:tc>
        <w:tc>
          <w:tcPr>
            <w:tcW w:w="708" w:type="pct"/>
            <w:vAlign w:val="center"/>
          </w:tcPr>
          <w:p w14:paraId="36DBF66D">
            <w:pPr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-</w:t>
            </w:r>
          </w:p>
        </w:tc>
        <w:tc>
          <w:tcPr>
            <w:tcW w:w="380" w:type="pct"/>
            <w:vAlign w:val="center"/>
          </w:tcPr>
          <w:p w14:paraId="413B9093">
            <w:pPr>
              <w:jc w:val="center"/>
              <w:rPr>
                <w:rFonts w:hint="default" w:ascii="Times New Roman" w:hAnsi="Times New Roman" w:eastAsia="仿宋_GB2312" w:cs="Times New Roman"/>
                <w:i/>
                <w:i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/>
                <w:i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k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= 1</w:t>
            </w:r>
          </w:p>
        </w:tc>
        <w:tc>
          <w:tcPr>
            <w:tcW w:w="339" w:type="pct"/>
            <w:vAlign w:val="center"/>
          </w:tcPr>
          <w:p w14:paraId="1E094EBD">
            <w:pPr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453" w:type="pct"/>
            <w:vAlign w:val="center"/>
          </w:tcPr>
          <w:p w14:paraId="5B7814F3">
            <w:pPr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-</w:t>
            </w:r>
          </w:p>
        </w:tc>
        <w:tc>
          <w:tcPr>
            <w:tcW w:w="620" w:type="pct"/>
            <w:vAlign w:val="center"/>
          </w:tcPr>
          <w:p w14:paraId="2F3EF42E">
            <w:pPr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0148</w:t>
            </w:r>
          </w:p>
        </w:tc>
      </w:tr>
      <w:tr w14:paraId="3CAC7F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69" w:type="pct"/>
            <w:vAlign w:val="center"/>
          </w:tcPr>
          <w:p w14:paraId="6150A84E">
            <w:pPr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28" w:type="pct"/>
            <w:vAlign w:val="center"/>
          </w:tcPr>
          <w:p w14:paraId="19573FC7">
            <w:pPr>
              <w:jc w:val="both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扩展测量不确定度</w:t>
            </w:r>
          </w:p>
        </w:tc>
        <w:tc>
          <w:tcPr>
            <w:tcW w:w="708" w:type="pct"/>
            <w:vAlign w:val="center"/>
          </w:tcPr>
          <w:p w14:paraId="67903810">
            <w:pPr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-</w:t>
            </w:r>
          </w:p>
        </w:tc>
        <w:tc>
          <w:tcPr>
            <w:tcW w:w="380" w:type="pct"/>
            <w:vAlign w:val="center"/>
          </w:tcPr>
          <w:p w14:paraId="398FAAF0">
            <w:pPr>
              <w:jc w:val="center"/>
              <w:rPr>
                <w:rFonts w:hint="default" w:ascii="Times New Roman" w:hAnsi="Times New Roman" w:eastAsia="仿宋_GB2312" w:cs="Times New Roman"/>
                <w:i/>
                <w:i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/>
                <w:i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k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= 2</w:t>
            </w:r>
          </w:p>
        </w:tc>
        <w:tc>
          <w:tcPr>
            <w:tcW w:w="339" w:type="pct"/>
            <w:vAlign w:val="center"/>
          </w:tcPr>
          <w:p w14:paraId="560C58CC">
            <w:pPr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453" w:type="pct"/>
            <w:vAlign w:val="center"/>
          </w:tcPr>
          <w:p w14:paraId="436AADE9">
            <w:pPr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-</w:t>
            </w:r>
          </w:p>
        </w:tc>
        <w:tc>
          <w:tcPr>
            <w:tcW w:w="620" w:type="pct"/>
            <w:vAlign w:val="center"/>
          </w:tcPr>
          <w:p w14:paraId="6F22E212">
            <w:pPr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0296</w:t>
            </w:r>
          </w:p>
        </w:tc>
      </w:tr>
    </w:tbl>
    <w:p w14:paraId="5D3F46D7">
      <w:pPr>
        <w:spacing w:line="240" w:lineRule="auto"/>
        <w:jc w:val="left"/>
        <w:rPr>
          <w:rFonts w:hint="eastAsia"/>
          <w:b/>
          <w:bCs/>
          <w:sz w:val="24"/>
          <w:szCs w:val="24"/>
          <w:lang w:val="en-GB"/>
        </w:rPr>
      </w:pPr>
    </w:p>
    <w:p w14:paraId="7CAAC75E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C.</w:t>
      </w:r>
      <w:r>
        <w:rPr>
          <w:rFonts w:hint="eastAsia"/>
          <w:sz w:val="24"/>
          <w:szCs w:val="24"/>
          <w:lang w:val="en-US" w:eastAsia="zh-CN"/>
        </w:rPr>
        <w:t>3</w:t>
      </w:r>
      <w:r>
        <w:rPr>
          <w:sz w:val="24"/>
          <w:szCs w:val="24"/>
        </w:rPr>
        <w:t xml:space="preserve">  </w:t>
      </w:r>
      <w:r>
        <w:rPr>
          <w:rFonts w:hint="eastAsia"/>
          <w:sz w:val="24"/>
          <w:szCs w:val="24"/>
          <w:lang w:val="en-US" w:eastAsia="zh-CN"/>
        </w:rPr>
        <w:t>低频</w:t>
      </w:r>
      <w:r>
        <w:rPr>
          <w:rFonts w:hint="eastAsia"/>
          <w:sz w:val="24"/>
          <w:szCs w:val="24"/>
        </w:rPr>
        <w:t>振动传感器灵敏度和</w:t>
      </w:r>
      <w:r>
        <w:rPr>
          <w:rFonts w:hint="eastAsia"/>
          <w:sz w:val="24"/>
          <w:szCs w:val="24"/>
          <w:lang w:val="en-US" w:eastAsia="zh-CN"/>
        </w:rPr>
        <w:t>低频振动测量系统</w:t>
      </w:r>
      <w:r>
        <w:rPr>
          <w:rFonts w:hint="eastAsia"/>
          <w:sz w:val="24"/>
          <w:szCs w:val="24"/>
        </w:rPr>
        <w:t>校准的不确定度</w:t>
      </w:r>
    </w:p>
    <w:p w14:paraId="7B0AAD1B">
      <w:pPr>
        <w:spacing w:before="156" w:beforeLines="50"/>
        <w:jc w:val="center"/>
        <w:rPr>
          <w:rFonts w:hint="default" w:ascii="Times New Roman" w:hAnsi="Times New Roman" w:eastAsia="黑体" w:cs="Times New Roman"/>
          <w:b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/>
          <w:b/>
          <w:bCs/>
          <w:sz w:val="24"/>
          <w:szCs w:val="24"/>
          <w:lang w:val="en-GB"/>
        </w:rPr>
        <w:br w:type="page"/>
      </w:r>
      <w:r>
        <w:rPr>
          <w:rFonts w:hint="default" w:ascii="Times New Roman" w:hAnsi="Times New Roman" w:eastAsia="黑体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表</w:t>
      </w:r>
      <w:r>
        <w:rPr>
          <w:rFonts w:hint="eastAsia" w:eastAsia="黑体" w:cs="Times New Roman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C.</w:t>
      </w:r>
      <w:r>
        <w:rPr>
          <w:rFonts w:hint="eastAsia" w:ascii="Times New Roman" w:hAnsi="Times New Roman" w:eastAsia="黑体" w:cs="Times New Roman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hint="default" w:ascii="Times New Roman" w:hAnsi="Times New Roman" w:eastAsia="黑体" w:cs="Times New Roman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eastAsia="黑体" w:cs="Times New Roman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低频</w:t>
      </w:r>
      <w:r>
        <w:rPr>
          <w:rFonts w:hint="default" w:ascii="Times New Roman" w:hAnsi="Times New Roman" w:eastAsia="黑体" w:cs="Times New Roman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振动传感器灵敏度幅值和和</w:t>
      </w:r>
      <w:r>
        <w:rPr>
          <w:rFonts w:hint="eastAsia" w:eastAsia="黑体" w:cs="Times New Roman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低频</w:t>
      </w:r>
      <w:r>
        <w:rPr>
          <w:rFonts w:hint="default" w:ascii="Times New Roman" w:hAnsi="Times New Roman" w:eastAsia="黑体" w:cs="Times New Roman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振动测量</w:t>
      </w:r>
      <w:r>
        <w:rPr>
          <w:rFonts w:hint="eastAsia" w:eastAsia="黑体" w:cs="Times New Roman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系统</w:t>
      </w:r>
      <w:r>
        <w:rPr>
          <w:rFonts w:hint="default" w:ascii="Times New Roman" w:hAnsi="Times New Roman" w:eastAsia="黑体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机器视觉</w:t>
      </w:r>
      <w:r>
        <w:rPr>
          <w:rFonts w:hint="eastAsia" w:ascii="Times New Roman" w:hAnsi="Times New Roman" w:eastAsia="黑体" w:cs="Times New Roman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校准</w:t>
      </w:r>
      <w:r>
        <w:rPr>
          <w:rFonts w:hint="default" w:ascii="Times New Roman" w:hAnsi="Times New Roman" w:eastAsia="黑体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的</w:t>
      </w:r>
      <w:r>
        <w:rPr>
          <w:rFonts w:hint="eastAsia" w:ascii="Times New Roman" w:hAnsi="Times New Roman" w:eastAsia="黑体" w:cs="Times New Roman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测量</w:t>
      </w:r>
      <w:r>
        <w:rPr>
          <w:rFonts w:hint="default" w:ascii="Times New Roman" w:hAnsi="Times New Roman" w:eastAsia="黑体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不确定度</w:t>
      </w:r>
    </w:p>
    <w:tbl>
      <w:tblPr>
        <w:tblStyle w:val="17"/>
        <w:tblW w:w="4785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7"/>
        <w:gridCol w:w="4085"/>
        <w:gridCol w:w="1301"/>
        <w:gridCol w:w="941"/>
        <w:gridCol w:w="720"/>
        <w:gridCol w:w="860"/>
        <w:gridCol w:w="1006"/>
      </w:tblGrid>
      <w:tr w14:paraId="686897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74" w:type="pct"/>
            <w:vAlign w:val="center"/>
          </w:tcPr>
          <w:p w14:paraId="3C152124">
            <w:pPr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szCs w:val="21"/>
              </w:rPr>
              <w:t>序号</w:t>
            </w:r>
          </w:p>
        </w:tc>
        <w:tc>
          <w:tcPr>
            <w:tcW w:w="2166" w:type="pct"/>
            <w:vAlign w:val="center"/>
          </w:tcPr>
          <w:p w14:paraId="11A53E65">
            <w:pPr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szCs w:val="21"/>
              </w:rPr>
              <w:t>不确定度源</w:t>
            </w:r>
          </w:p>
        </w:tc>
        <w:tc>
          <w:tcPr>
            <w:tcW w:w="690" w:type="pct"/>
            <w:vAlign w:val="center"/>
          </w:tcPr>
          <w:p w14:paraId="0B5753C7">
            <w:pPr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szCs w:val="21"/>
              </w:rPr>
              <w:t>不确定度</w:t>
            </w:r>
          </w:p>
        </w:tc>
        <w:tc>
          <w:tcPr>
            <w:tcW w:w="499" w:type="pct"/>
            <w:vAlign w:val="center"/>
          </w:tcPr>
          <w:p w14:paraId="3035BDC7">
            <w:pPr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szCs w:val="21"/>
              </w:rPr>
              <w:t>分布</w:t>
            </w:r>
          </w:p>
        </w:tc>
        <w:tc>
          <w:tcPr>
            <w:tcW w:w="382" w:type="pct"/>
            <w:vAlign w:val="center"/>
          </w:tcPr>
          <w:p w14:paraId="18BE55E2">
            <w:pPr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szCs w:val="21"/>
              </w:rPr>
              <w:t>因子</w:t>
            </w:r>
          </w:p>
        </w:tc>
        <w:tc>
          <w:tcPr>
            <w:tcW w:w="456" w:type="pct"/>
            <w:vAlign w:val="center"/>
          </w:tcPr>
          <w:p w14:paraId="58F189BB">
            <w:pPr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szCs w:val="21"/>
              </w:rPr>
              <w:t>灵敏系数</w:t>
            </w:r>
          </w:p>
        </w:tc>
        <w:tc>
          <w:tcPr>
            <w:tcW w:w="530" w:type="pct"/>
            <w:vAlign w:val="center"/>
          </w:tcPr>
          <w:p w14:paraId="453DA17A">
            <w:pPr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szCs w:val="21"/>
              </w:rPr>
              <w:t>相对贡献(%)</w:t>
            </w:r>
          </w:p>
        </w:tc>
      </w:tr>
      <w:tr w14:paraId="5F305A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000" w:type="pct"/>
            <w:gridSpan w:val="7"/>
            <w:vAlign w:val="center"/>
          </w:tcPr>
          <w:p w14:paraId="0F80E726">
            <w:pPr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机器视觉振动测量系统引入的测量不确定度分量</w:t>
            </w:r>
          </w:p>
        </w:tc>
      </w:tr>
      <w:tr w14:paraId="39E8FC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74" w:type="pct"/>
            <w:vAlign w:val="center"/>
          </w:tcPr>
          <w:p w14:paraId="5D0E7A1C">
            <w:pPr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1</w:t>
            </w:r>
          </w:p>
        </w:tc>
        <w:tc>
          <w:tcPr>
            <w:tcW w:w="2166" w:type="pct"/>
            <w:vAlign w:val="center"/>
          </w:tcPr>
          <w:p w14:paraId="0F6F686E">
            <w:pPr>
              <w:jc w:val="center"/>
              <w:rPr>
                <w:rFonts w:hint="eastAsia" w:ascii="Times New Roman" w:hAnsi="Times New Roman" w:eastAsia="仿宋_GB2312" w:cs="Times New Roman"/>
                <w:szCs w:val="21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机器视觉振动测量</w:t>
            </w:r>
            <w:r>
              <w:rPr>
                <w:rFonts w:hint="eastAsia" w:ascii="Times New Roman" w:hAnsi="Times New Roman" w:eastAsia="仿宋_GB2312" w:cs="Times New Roman"/>
                <w:szCs w:val="21"/>
                <w:lang w:val="en-US" w:eastAsia="zh-CN"/>
              </w:rPr>
              <w:t>不确定度</w:t>
            </w:r>
          </w:p>
        </w:tc>
        <w:tc>
          <w:tcPr>
            <w:tcW w:w="690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4005F8C9">
            <w:pPr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0.</w:t>
            </w:r>
            <w:r>
              <w:rPr>
                <w:rFonts w:hint="eastAsia" w:ascii="Times New Roman" w:hAnsi="Times New Roman" w:eastAsia="仿宋_GB2312" w:cs="Times New Roman"/>
                <w:szCs w:val="21"/>
                <w:lang w:val="en-US" w:eastAsia="zh-CN"/>
              </w:rPr>
              <w:t>2</w:t>
            </w:r>
            <w:r>
              <w:rPr>
                <w:rFonts w:hint="default" w:ascii="Times New Roman" w:hAnsi="Times New Roman" w:eastAsia="仿宋_GB2312" w:cs="Times New Roman"/>
                <w:szCs w:val="21"/>
              </w:rPr>
              <w:t>%</w:t>
            </w:r>
          </w:p>
        </w:tc>
        <w:tc>
          <w:tcPr>
            <w:tcW w:w="499" w:type="pct"/>
            <w:vAlign w:val="center"/>
          </w:tcPr>
          <w:p w14:paraId="40261308">
            <w:pPr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正态</w:t>
            </w:r>
          </w:p>
        </w:tc>
        <w:tc>
          <w:tcPr>
            <w:tcW w:w="382" w:type="pct"/>
            <w:vAlign w:val="center"/>
          </w:tcPr>
          <w:p w14:paraId="0FB4F5D9">
            <w:pPr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2</w:t>
            </w:r>
          </w:p>
        </w:tc>
        <w:tc>
          <w:tcPr>
            <w:tcW w:w="456" w:type="pct"/>
            <w:vAlign w:val="center"/>
          </w:tcPr>
          <w:p w14:paraId="2C483470">
            <w:pPr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1</w:t>
            </w:r>
          </w:p>
        </w:tc>
        <w:tc>
          <w:tcPr>
            <w:tcW w:w="530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691085C6">
            <w:pPr>
              <w:jc w:val="center"/>
              <w:rPr>
                <w:rFonts w:hint="eastAsia" w:ascii="Times New Roman" w:hAnsi="Times New Roman" w:eastAsia="仿宋_GB2312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0.</w:t>
            </w:r>
            <w:r>
              <w:rPr>
                <w:rFonts w:hint="eastAsia" w:ascii="Times New Roman" w:hAnsi="Times New Roman" w:eastAsia="仿宋_GB2312" w:cs="Times New Roman"/>
                <w:szCs w:val="21"/>
                <w:lang w:val="en-US" w:eastAsia="zh-CN"/>
              </w:rPr>
              <w:t>1</w:t>
            </w:r>
          </w:p>
        </w:tc>
      </w:tr>
      <w:tr w14:paraId="2E25FB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74" w:type="pct"/>
            <w:vAlign w:val="center"/>
          </w:tcPr>
          <w:p w14:paraId="0E7F5C47">
            <w:pPr>
              <w:jc w:val="center"/>
              <w:rPr>
                <w:rFonts w:hint="default" w:ascii="Times New Roman" w:hAnsi="Times New Roman" w:eastAsia="仿宋_GB2312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  <w:lang w:val="en-US" w:eastAsia="zh-CN"/>
              </w:rPr>
              <w:t>2</w:t>
            </w:r>
          </w:p>
        </w:tc>
        <w:tc>
          <w:tcPr>
            <w:tcW w:w="2166" w:type="pct"/>
            <w:shd w:val="clear" w:color="auto" w:fill="auto"/>
            <w:vAlign w:val="center"/>
          </w:tcPr>
          <w:p w14:paraId="220F4B6E">
            <w:pPr>
              <w:jc w:val="center"/>
              <w:rPr>
                <w:rFonts w:hint="default" w:ascii="Times New Roman" w:hAnsi="Times New Roman" w:eastAsia="仿宋_GB2312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机器视觉振动</w:t>
            </w:r>
            <w:r>
              <w:rPr>
                <w:rFonts w:hint="default" w:ascii="Times New Roman" w:hAnsi="Times New Roman" w:eastAsia="仿宋_GB2312" w:cs="Times New Roman"/>
                <w:szCs w:val="21"/>
                <w:lang w:val="en-US" w:eastAsia="zh-CN"/>
              </w:rPr>
              <w:t>测量分辨力</w:t>
            </w:r>
          </w:p>
        </w:tc>
        <w:tc>
          <w:tcPr>
            <w:tcW w:w="690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4073DB67">
            <w:pPr>
              <w:jc w:val="center"/>
              <w:rPr>
                <w:rFonts w:hint="default" w:ascii="Times New Roman" w:hAnsi="Times New Roman" w:eastAsia="仿宋_GB2312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Cs w:val="21"/>
                <w:lang w:val="en-US" w:eastAsia="zh-CN"/>
              </w:rPr>
              <w:t>0.2%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3D2B0326">
            <w:pPr>
              <w:jc w:val="center"/>
              <w:rPr>
                <w:rFonts w:hint="default" w:ascii="Times New Roman" w:hAnsi="Times New Roman" w:eastAsia="仿宋_GB2312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矩形</w:t>
            </w:r>
          </w:p>
        </w:tc>
        <w:tc>
          <w:tcPr>
            <w:tcW w:w="382" w:type="pct"/>
            <w:shd w:val="clear" w:color="auto" w:fill="auto"/>
            <w:vAlign w:val="center"/>
          </w:tcPr>
          <w:p w14:paraId="4EBE01B7">
            <w:pPr>
              <w:jc w:val="center"/>
              <w:rPr>
                <w:rFonts w:hint="default" w:ascii="Times New Roman" w:hAnsi="Times New Roman" w:eastAsia="仿宋_GB2312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1.73</w:t>
            </w:r>
          </w:p>
        </w:tc>
        <w:tc>
          <w:tcPr>
            <w:tcW w:w="456" w:type="pct"/>
            <w:shd w:val="clear" w:color="auto" w:fill="auto"/>
            <w:vAlign w:val="center"/>
          </w:tcPr>
          <w:p w14:paraId="5356AFC6">
            <w:pPr>
              <w:jc w:val="center"/>
              <w:rPr>
                <w:rFonts w:hint="default" w:ascii="Times New Roman" w:hAnsi="Times New Roman" w:eastAsia="仿宋_GB2312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1</w:t>
            </w:r>
          </w:p>
        </w:tc>
        <w:tc>
          <w:tcPr>
            <w:tcW w:w="530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63D35C10">
            <w:pPr>
              <w:jc w:val="center"/>
              <w:rPr>
                <w:rFonts w:hint="default" w:ascii="Times New Roman" w:hAnsi="Times New Roman" w:eastAsia="仿宋_GB2312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0.1</w:t>
            </w:r>
            <w:r>
              <w:rPr>
                <w:rFonts w:hint="eastAsia" w:ascii="Times New Roman" w:hAnsi="Times New Roman" w:eastAsia="仿宋_GB2312" w:cs="Times New Roman"/>
                <w:szCs w:val="21"/>
                <w:lang w:val="en-US" w:eastAsia="zh-CN"/>
              </w:rPr>
              <w:t>16</w:t>
            </w:r>
          </w:p>
        </w:tc>
      </w:tr>
      <w:tr w14:paraId="60E332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000" w:type="pct"/>
            <w:gridSpan w:val="7"/>
            <w:vAlign w:val="center"/>
          </w:tcPr>
          <w:p w14:paraId="3A18B4F7">
            <w:pPr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标准振动台与高对比度特征标志引入的测量不确定度分量</w:t>
            </w:r>
          </w:p>
        </w:tc>
      </w:tr>
      <w:tr w14:paraId="13A82C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74" w:type="pct"/>
            <w:vAlign w:val="center"/>
          </w:tcPr>
          <w:p w14:paraId="070A0A3A">
            <w:pPr>
              <w:jc w:val="center"/>
              <w:rPr>
                <w:rFonts w:hint="default" w:ascii="Times New Roman" w:hAnsi="Times New Roman" w:eastAsia="仿宋_GB2312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  <w:lang w:val="en-US" w:eastAsia="zh-CN"/>
              </w:rPr>
              <w:t>3</w:t>
            </w:r>
          </w:p>
        </w:tc>
        <w:tc>
          <w:tcPr>
            <w:tcW w:w="2166" w:type="pct"/>
            <w:vAlign w:val="center"/>
          </w:tcPr>
          <w:p w14:paraId="273706EC">
            <w:pPr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振动发生装置振动频率的不确定度</w:t>
            </w:r>
          </w:p>
        </w:tc>
        <w:tc>
          <w:tcPr>
            <w:tcW w:w="690" w:type="pct"/>
            <w:vAlign w:val="center"/>
          </w:tcPr>
          <w:p w14:paraId="051159E3">
            <w:pPr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0.12%</w:t>
            </w:r>
          </w:p>
        </w:tc>
        <w:tc>
          <w:tcPr>
            <w:tcW w:w="499" w:type="pct"/>
            <w:vAlign w:val="center"/>
          </w:tcPr>
          <w:p w14:paraId="05B21E41">
            <w:pPr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矩形</w:t>
            </w:r>
          </w:p>
        </w:tc>
        <w:tc>
          <w:tcPr>
            <w:tcW w:w="382" w:type="pct"/>
            <w:vAlign w:val="center"/>
          </w:tcPr>
          <w:p w14:paraId="1D3F4D5A">
            <w:pPr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1.73</w:t>
            </w:r>
          </w:p>
        </w:tc>
        <w:tc>
          <w:tcPr>
            <w:tcW w:w="456" w:type="pct"/>
            <w:vAlign w:val="center"/>
          </w:tcPr>
          <w:p w14:paraId="20872FD8">
            <w:pPr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1</w:t>
            </w:r>
          </w:p>
        </w:tc>
        <w:tc>
          <w:tcPr>
            <w:tcW w:w="530" w:type="pct"/>
            <w:vAlign w:val="center"/>
          </w:tcPr>
          <w:p w14:paraId="7D432325">
            <w:pPr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0.069</w:t>
            </w:r>
          </w:p>
        </w:tc>
      </w:tr>
      <w:tr w14:paraId="0B87BE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74" w:type="pct"/>
            <w:vAlign w:val="center"/>
          </w:tcPr>
          <w:p w14:paraId="35C74BA8">
            <w:pPr>
              <w:jc w:val="center"/>
              <w:rPr>
                <w:rFonts w:hint="default" w:ascii="Times New Roman" w:hAnsi="Times New Roman" w:eastAsia="仿宋_GB2312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  <w:lang w:val="en-US" w:eastAsia="zh-CN"/>
              </w:rPr>
              <w:t>4</w:t>
            </w:r>
          </w:p>
        </w:tc>
        <w:tc>
          <w:tcPr>
            <w:tcW w:w="2166" w:type="pct"/>
            <w:vAlign w:val="center"/>
          </w:tcPr>
          <w:p w14:paraId="39AE3F34">
            <w:pPr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振动发生装置横向运动对图像信号测量的影响</w:t>
            </w:r>
          </w:p>
        </w:tc>
        <w:tc>
          <w:tcPr>
            <w:tcW w:w="690" w:type="pct"/>
            <w:vAlign w:val="center"/>
          </w:tcPr>
          <w:p w14:paraId="6CBB7931">
            <w:pPr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0.15%</w:t>
            </w:r>
          </w:p>
        </w:tc>
        <w:tc>
          <w:tcPr>
            <w:tcW w:w="499" w:type="pct"/>
            <w:vAlign w:val="center"/>
          </w:tcPr>
          <w:p w14:paraId="6F253BB1">
            <w:pPr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矩形</w:t>
            </w:r>
          </w:p>
        </w:tc>
        <w:tc>
          <w:tcPr>
            <w:tcW w:w="382" w:type="pct"/>
            <w:vAlign w:val="center"/>
          </w:tcPr>
          <w:p w14:paraId="026FEEEA">
            <w:pPr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1.73</w:t>
            </w:r>
          </w:p>
        </w:tc>
        <w:tc>
          <w:tcPr>
            <w:tcW w:w="456" w:type="pct"/>
            <w:vAlign w:val="center"/>
          </w:tcPr>
          <w:p w14:paraId="1B2D32FE">
            <w:pPr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1</w:t>
            </w:r>
          </w:p>
        </w:tc>
        <w:tc>
          <w:tcPr>
            <w:tcW w:w="530" w:type="pct"/>
            <w:vAlign w:val="center"/>
          </w:tcPr>
          <w:p w14:paraId="300A05A8">
            <w:pPr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0.087</w:t>
            </w:r>
          </w:p>
        </w:tc>
      </w:tr>
      <w:tr w14:paraId="46795C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74" w:type="pct"/>
            <w:vAlign w:val="center"/>
          </w:tcPr>
          <w:p w14:paraId="7197640A">
            <w:pPr>
              <w:jc w:val="center"/>
              <w:rPr>
                <w:rFonts w:hint="default" w:ascii="Times New Roman" w:hAnsi="Times New Roman" w:eastAsia="仿宋_GB2312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  <w:lang w:val="en-US" w:eastAsia="zh-CN"/>
              </w:rPr>
              <w:t>5</w:t>
            </w:r>
          </w:p>
        </w:tc>
        <w:tc>
          <w:tcPr>
            <w:tcW w:w="2166" w:type="pct"/>
            <w:vAlign w:val="center"/>
          </w:tcPr>
          <w:p w14:paraId="57E5CD77">
            <w:pPr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棋盘格标定点加工精度的不确定度</w:t>
            </w:r>
          </w:p>
        </w:tc>
        <w:tc>
          <w:tcPr>
            <w:tcW w:w="690" w:type="pct"/>
            <w:vAlign w:val="center"/>
          </w:tcPr>
          <w:p w14:paraId="2608358F">
            <w:pPr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0.1μm</w:t>
            </w:r>
          </w:p>
        </w:tc>
        <w:tc>
          <w:tcPr>
            <w:tcW w:w="499" w:type="pct"/>
            <w:vAlign w:val="center"/>
          </w:tcPr>
          <w:p w14:paraId="23FB74EF">
            <w:pPr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矩形</w:t>
            </w:r>
          </w:p>
        </w:tc>
        <w:tc>
          <w:tcPr>
            <w:tcW w:w="382" w:type="pct"/>
            <w:vAlign w:val="center"/>
          </w:tcPr>
          <w:p w14:paraId="00C1C155">
            <w:pPr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1.73</w:t>
            </w:r>
          </w:p>
        </w:tc>
        <w:tc>
          <w:tcPr>
            <w:tcW w:w="456" w:type="pct"/>
            <w:vAlign w:val="center"/>
          </w:tcPr>
          <w:p w14:paraId="24227874">
            <w:pPr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1</w:t>
            </w:r>
          </w:p>
        </w:tc>
        <w:tc>
          <w:tcPr>
            <w:tcW w:w="530" w:type="pct"/>
            <w:vAlign w:val="center"/>
          </w:tcPr>
          <w:p w14:paraId="5973B1D0">
            <w:pPr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0.001</w:t>
            </w:r>
          </w:p>
        </w:tc>
      </w:tr>
      <w:tr w14:paraId="7686E9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74" w:type="pct"/>
            <w:vAlign w:val="center"/>
          </w:tcPr>
          <w:p w14:paraId="38D7E9EB">
            <w:pPr>
              <w:jc w:val="center"/>
              <w:rPr>
                <w:rFonts w:hint="default" w:ascii="Times New Roman" w:hAnsi="Times New Roman" w:eastAsia="仿宋_GB2312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  <w:lang w:val="en-US" w:eastAsia="zh-CN"/>
              </w:rPr>
              <w:t>6</w:t>
            </w:r>
          </w:p>
        </w:tc>
        <w:tc>
          <w:tcPr>
            <w:tcW w:w="2166" w:type="pct"/>
            <w:vAlign w:val="center"/>
          </w:tcPr>
          <w:p w14:paraId="4E35A952">
            <w:pPr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特征标志加工精度的不确定度</w:t>
            </w:r>
          </w:p>
        </w:tc>
        <w:tc>
          <w:tcPr>
            <w:tcW w:w="690" w:type="pct"/>
            <w:vAlign w:val="center"/>
          </w:tcPr>
          <w:p w14:paraId="7BAD9D88">
            <w:pPr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0.1μm</w:t>
            </w:r>
          </w:p>
        </w:tc>
        <w:tc>
          <w:tcPr>
            <w:tcW w:w="499" w:type="pct"/>
            <w:vAlign w:val="center"/>
          </w:tcPr>
          <w:p w14:paraId="4E815614">
            <w:pPr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矩形</w:t>
            </w:r>
          </w:p>
        </w:tc>
        <w:tc>
          <w:tcPr>
            <w:tcW w:w="382" w:type="pct"/>
            <w:vAlign w:val="center"/>
          </w:tcPr>
          <w:p w14:paraId="52D017DA">
            <w:pPr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1.73</w:t>
            </w:r>
          </w:p>
        </w:tc>
        <w:tc>
          <w:tcPr>
            <w:tcW w:w="456" w:type="pct"/>
            <w:vAlign w:val="center"/>
          </w:tcPr>
          <w:p w14:paraId="142FF731">
            <w:pPr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1</w:t>
            </w:r>
          </w:p>
        </w:tc>
        <w:tc>
          <w:tcPr>
            <w:tcW w:w="530" w:type="pct"/>
            <w:vAlign w:val="center"/>
          </w:tcPr>
          <w:p w14:paraId="0F2AC2FC">
            <w:pPr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0.001</w:t>
            </w:r>
          </w:p>
        </w:tc>
      </w:tr>
      <w:tr w14:paraId="5655E8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74" w:type="pct"/>
            <w:vAlign w:val="center"/>
          </w:tcPr>
          <w:p w14:paraId="30AB726F">
            <w:pPr>
              <w:jc w:val="center"/>
              <w:rPr>
                <w:rFonts w:hint="default" w:ascii="Times New Roman" w:hAnsi="Times New Roman" w:eastAsia="仿宋_GB2312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  <w:lang w:val="en-US" w:eastAsia="zh-CN"/>
              </w:rPr>
              <w:t>7</w:t>
            </w:r>
          </w:p>
        </w:tc>
        <w:tc>
          <w:tcPr>
            <w:tcW w:w="2166" w:type="pct"/>
            <w:vAlign w:val="center"/>
          </w:tcPr>
          <w:p w14:paraId="3C51CA24">
            <w:pPr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标志上矩形长边边缘直线度的影响</w:t>
            </w:r>
          </w:p>
        </w:tc>
        <w:tc>
          <w:tcPr>
            <w:tcW w:w="690" w:type="pct"/>
            <w:vAlign w:val="center"/>
          </w:tcPr>
          <w:p w14:paraId="28C49B4D">
            <w:pPr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0.02%</w:t>
            </w:r>
          </w:p>
        </w:tc>
        <w:tc>
          <w:tcPr>
            <w:tcW w:w="499" w:type="pct"/>
            <w:vAlign w:val="center"/>
          </w:tcPr>
          <w:p w14:paraId="198692BF">
            <w:pPr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矩形</w:t>
            </w:r>
          </w:p>
        </w:tc>
        <w:tc>
          <w:tcPr>
            <w:tcW w:w="382" w:type="pct"/>
            <w:vAlign w:val="center"/>
          </w:tcPr>
          <w:p w14:paraId="5AB85E96">
            <w:pPr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1.73</w:t>
            </w:r>
          </w:p>
        </w:tc>
        <w:tc>
          <w:tcPr>
            <w:tcW w:w="456" w:type="pct"/>
            <w:vAlign w:val="center"/>
          </w:tcPr>
          <w:p w14:paraId="6E1178FB">
            <w:pPr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1</w:t>
            </w:r>
          </w:p>
        </w:tc>
        <w:tc>
          <w:tcPr>
            <w:tcW w:w="530" w:type="pct"/>
            <w:vAlign w:val="center"/>
          </w:tcPr>
          <w:p w14:paraId="2F5B22E1">
            <w:pPr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0.012</w:t>
            </w:r>
          </w:p>
        </w:tc>
      </w:tr>
      <w:tr w14:paraId="50E122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000" w:type="pct"/>
            <w:gridSpan w:val="7"/>
            <w:vAlign w:val="center"/>
          </w:tcPr>
          <w:p w14:paraId="64BFEEB0">
            <w:pPr>
              <w:jc w:val="center"/>
              <w:rPr>
                <w:rFonts w:hint="default" w:ascii="Times New Roman" w:hAnsi="Times New Roman" w:eastAsia="仿宋_GB2312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Cs w:val="21"/>
                <w:lang w:val="en-US" w:eastAsia="zh-CN"/>
              </w:rPr>
              <w:t>电压测量仪器引入的</w:t>
            </w:r>
            <w:r>
              <w:rPr>
                <w:rFonts w:hint="default" w:ascii="Times New Roman" w:hAnsi="Times New Roman" w:eastAsia="仿宋_GB2312" w:cs="Times New Roman"/>
                <w:szCs w:val="21"/>
              </w:rPr>
              <w:t>测量不确定度分量</w:t>
            </w:r>
          </w:p>
        </w:tc>
      </w:tr>
      <w:tr w14:paraId="01E423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74" w:type="pct"/>
            <w:vAlign w:val="center"/>
          </w:tcPr>
          <w:p w14:paraId="69264F2E">
            <w:pPr>
              <w:jc w:val="center"/>
              <w:rPr>
                <w:rFonts w:hint="default" w:ascii="Times New Roman" w:hAnsi="Times New Roman" w:eastAsia="仿宋_GB2312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Cs w:val="21"/>
                <w:lang w:val="en-US" w:eastAsia="zh-CN"/>
              </w:rPr>
              <w:t>8</w:t>
            </w:r>
          </w:p>
        </w:tc>
        <w:tc>
          <w:tcPr>
            <w:tcW w:w="2166" w:type="pct"/>
            <w:vAlign w:val="center"/>
          </w:tcPr>
          <w:p w14:paraId="03F3F2CE">
            <w:pPr>
              <w:jc w:val="center"/>
              <w:rPr>
                <w:rFonts w:hint="default" w:ascii="Times New Roman" w:hAnsi="Times New Roman" w:eastAsia="仿宋_GB2312" w:cs="Times New Roman"/>
                <w:szCs w:val="21"/>
                <w:lang w:val="en-US"/>
              </w:rPr>
            </w:pPr>
            <w:r>
              <w:rPr>
                <w:rFonts w:hint="eastAsia" w:ascii="Times New Roman" w:hAnsi="Times New Roman" w:eastAsia="仿宋_GB2312" w:cs="Times New Roman"/>
                <w:szCs w:val="21"/>
                <w:lang w:val="en-US" w:eastAsia="zh-CN"/>
              </w:rPr>
              <w:t>电压测量误差</w:t>
            </w:r>
          </w:p>
        </w:tc>
        <w:tc>
          <w:tcPr>
            <w:tcW w:w="690" w:type="pct"/>
            <w:vAlign w:val="center"/>
          </w:tcPr>
          <w:p w14:paraId="7BF8A960">
            <w:pPr>
              <w:jc w:val="center"/>
              <w:rPr>
                <w:rFonts w:hint="default" w:ascii="Times New Roman" w:hAnsi="Times New Roman" w:eastAsia="仿宋_GB2312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Cs w:val="21"/>
                <w:lang w:val="en-US" w:eastAsia="zh-CN"/>
              </w:rPr>
              <w:t>0.2%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7EEEA034">
            <w:pPr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矩形</w:t>
            </w:r>
          </w:p>
        </w:tc>
        <w:tc>
          <w:tcPr>
            <w:tcW w:w="382" w:type="pct"/>
            <w:shd w:val="clear" w:color="auto" w:fill="auto"/>
            <w:vAlign w:val="center"/>
          </w:tcPr>
          <w:p w14:paraId="761925A4">
            <w:pPr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1.73</w:t>
            </w:r>
          </w:p>
        </w:tc>
        <w:tc>
          <w:tcPr>
            <w:tcW w:w="456" w:type="pct"/>
            <w:shd w:val="clear" w:color="auto" w:fill="auto"/>
            <w:vAlign w:val="center"/>
          </w:tcPr>
          <w:p w14:paraId="358FD40E">
            <w:pPr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1</w:t>
            </w:r>
          </w:p>
        </w:tc>
        <w:tc>
          <w:tcPr>
            <w:tcW w:w="530" w:type="pct"/>
            <w:vAlign w:val="center"/>
          </w:tcPr>
          <w:p w14:paraId="19D5529D">
            <w:pPr>
              <w:jc w:val="center"/>
              <w:rPr>
                <w:rFonts w:hint="default" w:ascii="Times New Roman" w:hAnsi="Times New Roman" w:eastAsia="仿宋_GB2312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Cs w:val="21"/>
                <w:lang w:val="en-US" w:eastAsia="zh-CN"/>
              </w:rPr>
              <w:t>0.116</w:t>
            </w:r>
          </w:p>
        </w:tc>
      </w:tr>
      <w:tr w14:paraId="65CFB5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000" w:type="pct"/>
            <w:gridSpan w:val="7"/>
            <w:vAlign w:val="center"/>
          </w:tcPr>
          <w:p w14:paraId="09811327">
            <w:pPr>
              <w:jc w:val="center"/>
              <w:rPr>
                <w:rFonts w:hint="default" w:ascii="Times New Roman" w:hAnsi="Times New Roman" w:eastAsia="仿宋_GB2312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Cs w:val="21"/>
                <w:lang w:val="en-US" w:eastAsia="zh-CN"/>
              </w:rPr>
              <w:t>振动传感器引入的</w:t>
            </w:r>
            <w:r>
              <w:rPr>
                <w:rFonts w:hint="default" w:ascii="Times New Roman" w:hAnsi="Times New Roman" w:eastAsia="仿宋_GB2312" w:cs="Times New Roman"/>
                <w:szCs w:val="21"/>
              </w:rPr>
              <w:t>测量不确定度分量</w:t>
            </w:r>
          </w:p>
        </w:tc>
      </w:tr>
      <w:tr w14:paraId="48945E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74" w:type="pct"/>
            <w:vAlign w:val="center"/>
          </w:tcPr>
          <w:p w14:paraId="49CFB190">
            <w:pPr>
              <w:jc w:val="center"/>
              <w:rPr>
                <w:rFonts w:hint="default" w:ascii="Times New Roman" w:hAnsi="Times New Roman" w:eastAsia="仿宋_GB2312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Cs w:val="21"/>
                <w:lang w:val="en-US" w:eastAsia="zh-CN"/>
              </w:rPr>
              <w:t>9</w:t>
            </w:r>
          </w:p>
        </w:tc>
        <w:tc>
          <w:tcPr>
            <w:tcW w:w="2166" w:type="pct"/>
            <w:vAlign w:val="center"/>
          </w:tcPr>
          <w:p w14:paraId="15C5EC8F">
            <w:pPr>
              <w:jc w:val="center"/>
              <w:rPr>
                <w:rFonts w:hint="default" w:ascii="Times New Roman" w:hAnsi="Times New Roman" w:eastAsia="仿宋_GB2312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Cs w:val="21"/>
                <w:lang w:val="en-US" w:eastAsia="zh-CN"/>
              </w:rPr>
              <w:t>横向灵敏度引入的测量不确定度</w:t>
            </w:r>
          </w:p>
        </w:tc>
        <w:tc>
          <w:tcPr>
            <w:tcW w:w="690" w:type="pct"/>
            <w:vAlign w:val="center"/>
          </w:tcPr>
          <w:p w14:paraId="43F2E4E8">
            <w:pPr>
              <w:jc w:val="center"/>
              <w:rPr>
                <w:rFonts w:hint="default" w:ascii="Times New Roman" w:hAnsi="Times New Roman" w:eastAsia="仿宋_GB2312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Cs w:val="21"/>
                <w:lang w:val="en-US" w:eastAsia="zh-CN"/>
              </w:rPr>
              <w:t>0.1%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627C8A62">
            <w:pPr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矩形</w:t>
            </w:r>
          </w:p>
        </w:tc>
        <w:tc>
          <w:tcPr>
            <w:tcW w:w="382" w:type="pct"/>
            <w:shd w:val="clear" w:color="auto" w:fill="auto"/>
            <w:vAlign w:val="center"/>
          </w:tcPr>
          <w:p w14:paraId="1E58D91F">
            <w:pPr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1.73</w:t>
            </w:r>
          </w:p>
        </w:tc>
        <w:tc>
          <w:tcPr>
            <w:tcW w:w="456" w:type="pct"/>
            <w:shd w:val="clear" w:color="auto" w:fill="auto"/>
            <w:vAlign w:val="center"/>
          </w:tcPr>
          <w:p w14:paraId="7703D15E">
            <w:pPr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1</w:t>
            </w:r>
          </w:p>
        </w:tc>
        <w:tc>
          <w:tcPr>
            <w:tcW w:w="530" w:type="pct"/>
            <w:vAlign w:val="center"/>
          </w:tcPr>
          <w:p w14:paraId="2EE8F8E2">
            <w:pPr>
              <w:jc w:val="center"/>
              <w:rPr>
                <w:rFonts w:hint="default" w:ascii="Times New Roman" w:hAnsi="Times New Roman" w:eastAsia="仿宋_GB2312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Cs w:val="21"/>
                <w:lang w:val="en-US" w:eastAsia="zh-CN"/>
              </w:rPr>
              <w:t>0.0578</w:t>
            </w:r>
          </w:p>
        </w:tc>
      </w:tr>
      <w:tr w14:paraId="7AA23C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000" w:type="pct"/>
            <w:gridSpan w:val="7"/>
            <w:vAlign w:val="center"/>
          </w:tcPr>
          <w:p w14:paraId="38C8639C">
            <w:pPr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重复性引入的测量不确定度分量</w:t>
            </w:r>
          </w:p>
        </w:tc>
      </w:tr>
      <w:tr w14:paraId="63CAF6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74" w:type="pct"/>
            <w:vAlign w:val="center"/>
          </w:tcPr>
          <w:p w14:paraId="3CF5ED61">
            <w:pPr>
              <w:jc w:val="center"/>
              <w:rPr>
                <w:rFonts w:hint="default" w:ascii="Times New Roman" w:hAnsi="Times New Roman" w:eastAsia="仿宋_GB2312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Cs w:val="21"/>
                <w:lang w:val="en-US" w:eastAsia="zh-CN"/>
              </w:rPr>
              <w:t>10</w:t>
            </w:r>
          </w:p>
        </w:tc>
        <w:tc>
          <w:tcPr>
            <w:tcW w:w="2166" w:type="pct"/>
            <w:vAlign w:val="center"/>
          </w:tcPr>
          <w:p w14:paraId="41A087C4">
            <w:pPr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重复性</w:t>
            </w:r>
          </w:p>
        </w:tc>
        <w:tc>
          <w:tcPr>
            <w:tcW w:w="690" w:type="pct"/>
            <w:vAlign w:val="center"/>
          </w:tcPr>
          <w:p w14:paraId="468548C3">
            <w:pPr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0.09</w:t>
            </w:r>
          </w:p>
        </w:tc>
        <w:tc>
          <w:tcPr>
            <w:tcW w:w="499" w:type="pct"/>
            <w:vAlign w:val="center"/>
          </w:tcPr>
          <w:p w14:paraId="02454386">
            <w:pPr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正态</w:t>
            </w:r>
          </w:p>
        </w:tc>
        <w:tc>
          <w:tcPr>
            <w:tcW w:w="382" w:type="pct"/>
            <w:vAlign w:val="center"/>
          </w:tcPr>
          <w:p w14:paraId="363C27A0">
            <w:pPr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2</w:t>
            </w:r>
          </w:p>
        </w:tc>
        <w:tc>
          <w:tcPr>
            <w:tcW w:w="456" w:type="pct"/>
            <w:vAlign w:val="center"/>
          </w:tcPr>
          <w:p w14:paraId="3CC8E498">
            <w:pPr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1</w:t>
            </w:r>
          </w:p>
        </w:tc>
        <w:tc>
          <w:tcPr>
            <w:tcW w:w="530" w:type="pct"/>
            <w:shd w:val="clear" w:color="auto" w:fill="auto"/>
            <w:vAlign w:val="center"/>
          </w:tcPr>
          <w:p w14:paraId="01F65FEF">
            <w:pPr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Cs w:val="21"/>
              </w:rPr>
              <w:t>0.045</w:t>
            </w:r>
          </w:p>
        </w:tc>
      </w:tr>
      <w:tr w14:paraId="11D777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74" w:type="pct"/>
            <w:vAlign w:val="center"/>
          </w:tcPr>
          <w:p w14:paraId="79A696A1">
            <w:pPr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2166" w:type="pct"/>
          </w:tcPr>
          <w:p w14:paraId="06ED8D9C">
            <w:pPr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合成测量不确定度</w:t>
            </w:r>
          </w:p>
        </w:tc>
        <w:tc>
          <w:tcPr>
            <w:tcW w:w="690" w:type="pct"/>
            <w:vAlign w:val="center"/>
          </w:tcPr>
          <w:p w14:paraId="625E5B88">
            <w:pPr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-</w:t>
            </w:r>
          </w:p>
        </w:tc>
        <w:tc>
          <w:tcPr>
            <w:tcW w:w="499" w:type="pct"/>
            <w:vAlign w:val="center"/>
          </w:tcPr>
          <w:p w14:paraId="58EA63A5">
            <w:pPr>
              <w:jc w:val="center"/>
              <w:rPr>
                <w:rFonts w:hint="default" w:ascii="Times New Roman" w:hAnsi="Times New Roman" w:eastAsia="仿宋_GB2312" w:cs="Times New Roman"/>
                <w:i/>
                <w:iCs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i/>
                <w:iCs/>
                <w:szCs w:val="21"/>
              </w:rPr>
              <w:t>k</w:t>
            </w:r>
            <w:r>
              <w:rPr>
                <w:rFonts w:hint="default" w:ascii="Times New Roman" w:hAnsi="Times New Roman" w:eastAsia="仿宋_GB2312" w:cs="Times New Roman"/>
                <w:szCs w:val="21"/>
              </w:rPr>
              <w:t xml:space="preserve"> = 1</w:t>
            </w:r>
          </w:p>
        </w:tc>
        <w:tc>
          <w:tcPr>
            <w:tcW w:w="382" w:type="pct"/>
            <w:vAlign w:val="center"/>
          </w:tcPr>
          <w:p w14:paraId="32FD98B8">
            <w:pPr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1</w:t>
            </w:r>
          </w:p>
        </w:tc>
        <w:tc>
          <w:tcPr>
            <w:tcW w:w="456" w:type="pct"/>
            <w:vAlign w:val="center"/>
          </w:tcPr>
          <w:p w14:paraId="45D89446">
            <w:pPr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-</w:t>
            </w:r>
          </w:p>
        </w:tc>
        <w:tc>
          <w:tcPr>
            <w:tcW w:w="530" w:type="pct"/>
            <w:vAlign w:val="center"/>
          </w:tcPr>
          <w:p w14:paraId="20BD1B92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Cs w:val="21"/>
              </w:rPr>
              <w:t>0.</w:t>
            </w:r>
            <w:r>
              <w:rPr>
                <w:rFonts w:hint="eastAsia" w:ascii="Times New Roman" w:hAnsi="Times New Roman" w:eastAsia="仿宋_GB2312" w:cs="Times New Roman"/>
                <w:color w:val="000000"/>
                <w:szCs w:val="21"/>
                <w:lang w:val="en-US" w:eastAsia="zh-CN"/>
              </w:rPr>
              <w:t>234</w:t>
            </w:r>
          </w:p>
        </w:tc>
      </w:tr>
      <w:tr w14:paraId="7107ED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74" w:type="pct"/>
            <w:vAlign w:val="center"/>
          </w:tcPr>
          <w:p w14:paraId="19D92108">
            <w:pPr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2166" w:type="pct"/>
          </w:tcPr>
          <w:p w14:paraId="39D4EB7A">
            <w:pPr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扩展测量不确定度</w:t>
            </w:r>
          </w:p>
        </w:tc>
        <w:tc>
          <w:tcPr>
            <w:tcW w:w="690" w:type="pct"/>
            <w:vAlign w:val="center"/>
          </w:tcPr>
          <w:p w14:paraId="385A6A4F">
            <w:pPr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-</w:t>
            </w:r>
          </w:p>
        </w:tc>
        <w:tc>
          <w:tcPr>
            <w:tcW w:w="499" w:type="pct"/>
            <w:vAlign w:val="center"/>
          </w:tcPr>
          <w:p w14:paraId="7FAD1B02">
            <w:pPr>
              <w:jc w:val="center"/>
              <w:rPr>
                <w:rFonts w:hint="default" w:ascii="Times New Roman" w:hAnsi="Times New Roman" w:eastAsia="仿宋_GB2312" w:cs="Times New Roman"/>
                <w:i/>
                <w:iCs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i/>
                <w:iCs/>
                <w:szCs w:val="21"/>
              </w:rPr>
              <w:t>k</w:t>
            </w:r>
            <w:r>
              <w:rPr>
                <w:rFonts w:hint="default" w:ascii="Times New Roman" w:hAnsi="Times New Roman" w:eastAsia="仿宋_GB2312" w:cs="Times New Roman"/>
                <w:szCs w:val="21"/>
              </w:rPr>
              <w:t xml:space="preserve"> = 2</w:t>
            </w:r>
          </w:p>
        </w:tc>
        <w:tc>
          <w:tcPr>
            <w:tcW w:w="382" w:type="pct"/>
            <w:vAlign w:val="center"/>
          </w:tcPr>
          <w:p w14:paraId="2EF2126A">
            <w:pPr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2</w:t>
            </w:r>
          </w:p>
        </w:tc>
        <w:tc>
          <w:tcPr>
            <w:tcW w:w="456" w:type="pct"/>
            <w:vAlign w:val="center"/>
          </w:tcPr>
          <w:p w14:paraId="17B93B8F">
            <w:pPr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-</w:t>
            </w:r>
          </w:p>
        </w:tc>
        <w:tc>
          <w:tcPr>
            <w:tcW w:w="530" w:type="pct"/>
            <w:vAlign w:val="center"/>
          </w:tcPr>
          <w:p w14:paraId="382EA8A1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Cs w:val="21"/>
              </w:rPr>
              <w:t>0.</w:t>
            </w:r>
            <w:r>
              <w:rPr>
                <w:rFonts w:hint="eastAsia" w:ascii="Times New Roman" w:hAnsi="Times New Roman" w:eastAsia="仿宋_GB2312" w:cs="Times New Roman"/>
                <w:color w:val="000000"/>
                <w:szCs w:val="21"/>
                <w:lang w:val="en-US" w:eastAsia="zh-CN"/>
              </w:rPr>
              <w:t>468</w:t>
            </w:r>
          </w:p>
        </w:tc>
      </w:tr>
    </w:tbl>
    <w:p w14:paraId="3AC3BF82">
      <w:pPr>
        <w:spacing w:before="156" w:beforeLines="50"/>
        <w:jc w:val="center"/>
        <w:rPr>
          <w:rFonts w:hint="default" w:ascii="Times New Roman" w:hAnsi="Times New Roman" w:eastAsia="黑体" w:cs="Times New Roman"/>
          <w:b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黑体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表</w:t>
      </w:r>
      <w:r>
        <w:rPr>
          <w:rFonts w:hint="eastAsia" w:eastAsia="黑体" w:cs="Times New Roman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C.</w:t>
      </w:r>
      <w:r>
        <w:rPr>
          <w:rFonts w:hint="eastAsia" w:ascii="Times New Roman" w:hAnsi="Times New Roman" w:eastAsia="黑体" w:cs="Times New Roman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default" w:ascii="Times New Roman" w:hAnsi="Times New Roman" w:eastAsia="黑体" w:cs="Times New Roman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eastAsia="黑体" w:cs="Times New Roman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低频</w:t>
      </w:r>
      <w:r>
        <w:rPr>
          <w:rFonts w:hint="default" w:ascii="Times New Roman" w:hAnsi="Times New Roman" w:eastAsia="黑体" w:cs="Times New Roman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振动传感器灵敏度</w:t>
      </w:r>
      <w:r>
        <w:rPr>
          <w:rFonts w:hint="eastAsia" w:ascii="Times New Roman" w:hAnsi="Times New Roman" w:eastAsia="黑体" w:cs="Times New Roman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相位</w:t>
      </w:r>
      <w:r>
        <w:rPr>
          <w:rFonts w:hint="default" w:ascii="Times New Roman" w:hAnsi="Times New Roman" w:eastAsia="黑体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机器视觉</w:t>
      </w:r>
      <w:r>
        <w:rPr>
          <w:rFonts w:hint="eastAsia" w:ascii="Times New Roman" w:hAnsi="Times New Roman" w:eastAsia="黑体" w:cs="Times New Roman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校准</w:t>
      </w:r>
      <w:r>
        <w:rPr>
          <w:rFonts w:hint="default" w:ascii="Times New Roman" w:hAnsi="Times New Roman" w:eastAsia="黑体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的</w:t>
      </w:r>
      <w:r>
        <w:rPr>
          <w:rFonts w:hint="eastAsia" w:ascii="Times New Roman" w:hAnsi="Times New Roman" w:eastAsia="黑体" w:cs="Times New Roman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测量</w:t>
      </w:r>
      <w:r>
        <w:rPr>
          <w:rFonts w:hint="default" w:ascii="Times New Roman" w:hAnsi="Times New Roman" w:eastAsia="黑体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不确定度</w:t>
      </w:r>
    </w:p>
    <w:tbl>
      <w:tblPr>
        <w:tblStyle w:val="17"/>
        <w:tblW w:w="4785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7"/>
        <w:gridCol w:w="4085"/>
        <w:gridCol w:w="1301"/>
        <w:gridCol w:w="941"/>
        <w:gridCol w:w="720"/>
        <w:gridCol w:w="860"/>
        <w:gridCol w:w="1006"/>
      </w:tblGrid>
      <w:tr w14:paraId="3A1024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74" w:type="pct"/>
            <w:vAlign w:val="center"/>
          </w:tcPr>
          <w:p w14:paraId="365CFDE8">
            <w:pPr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szCs w:val="21"/>
              </w:rPr>
              <w:t>序号</w:t>
            </w:r>
          </w:p>
        </w:tc>
        <w:tc>
          <w:tcPr>
            <w:tcW w:w="2166" w:type="pct"/>
            <w:vAlign w:val="center"/>
          </w:tcPr>
          <w:p w14:paraId="5C0B1629">
            <w:pPr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szCs w:val="21"/>
              </w:rPr>
              <w:t>不确定度源</w:t>
            </w:r>
          </w:p>
        </w:tc>
        <w:tc>
          <w:tcPr>
            <w:tcW w:w="690" w:type="pct"/>
            <w:vAlign w:val="center"/>
          </w:tcPr>
          <w:p w14:paraId="663E4B58">
            <w:pPr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szCs w:val="21"/>
              </w:rPr>
              <w:t>不确定度</w:t>
            </w:r>
          </w:p>
        </w:tc>
        <w:tc>
          <w:tcPr>
            <w:tcW w:w="499" w:type="pct"/>
            <w:vAlign w:val="center"/>
          </w:tcPr>
          <w:p w14:paraId="66958AA7">
            <w:pPr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szCs w:val="21"/>
              </w:rPr>
              <w:t>分布</w:t>
            </w:r>
          </w:p>
        </w:tc>
        <w:tc>
          <w:tcPr>
            <w:tcW w:w="382" w:type="pct"/>
            <w:vAlign w:val="center"/>
          </w:tcPr>
          <w:p w14:paraId="1392E6CC">
            <w:pPr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szCs w:val="21"/>
              </w:rPr>
              <w:t>因子</w:t>
            </w:r>
          </w:p>
        </w:tc>
        <w:tc>
          <w:tcPr>
            <w:tcW w:w="456" w:type="pct"/>
            <w:vAlign w:val="center"/>
          </w:tcPr>
          <w:p w14:paraId="14F57EB5">
            <w:pPr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szCs w:val="21"/>
              </w:rPr>
              <w:t>灵敏系数</w:t>
            </w:r>
          </w:p>
        </w:tc>
        <w:tc>
          <w:tcPr>
            <w:tcW w:w="530" w:type="pct"/>
            <w:vAlign w:val="center"/>
          </w:tcPr>
          <w:p w14:paraId="6896EB3E">
            <w:pPr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szCs w:val="21"/>
              </w:rPr>
              <w:t>相对贡献(%)</w:t>
            </w:r>
          </w:p>
        </w:tc>
      </w:tr>
      <w:tr w14:paraId="563CA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000" w:type="pct"/>
            <w:gridSpan w:val="7"/>
            <w:vAlign w:val="center"/>
          </w:tcPr>
          <w:p w14:paraId="088463DC">
            <w:pPr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机器视觉振动测量系统引入的测量不确定度分量</w:t>
            </w:r>
          </w:p>
        </w:tc>
      </w:tr>
      <w:tr w14:paraId="706607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74" w:type="pct"/>
            <w:vAlign w:val="center"/>
          </w:tcPr>
          <w:p w14:paraId="6F0BFDA0">
            <w:pPr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1</w:t>
            </w:r>
          </w:p>
        </w:tc>
        <w:tc>
          <w:tcPr>
            <w:tcW w:w="2166" w:type="pct"/>
            <w:vAlign w:val="center"/>
          </w:tcPr>
          <w:p w14:paraId="4BA68349">
            <w:pPr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机器视觉振动测量</w:t>
            </w:r>
            <w:r>
              <w:rPr>
                <w:rFonts w:hint="eastAsia" w:ascii="Times New Roman" w:hAnsi="Times New Roman" w:eastAsia="仿宋_GB2312" w:cs="Times New Roman"/>
                <w:szCs w:val="21"/>
                <w:lang w:val="en-US" w:eastAsia="zh-CN"/>
              </w:rPr>
              <w:t>不确定</w:t>
            </w:r>
          </w:p>
        </w:tc>
        <w:tc>
          <w:tcPr>
            <w:tcW w:w="690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654250D">
            <w:pPr>
              <w:jc w:val="center"/>
              <w:rPr>
                <w:rFonts w:hint="eastAsia" w:ascii="Times New Roman" w:hAnsi="Times New Roman" w:eastAsia="仿宋_GB2312" w:cs="Times New Roman"/>
                <w:szCs w:val="21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0.</w:t>
            </w:r>
            <w:r>
              <w:rPr>
                <w:rFonts w:hint="eastAsia" w:ascii="Times New Roman" w:hAnsi="Times New Roman" w:eastAsia="仿宋_GB2312" w:cs="Times New Roman"/>
                <w:szCs w:val="21"/>
                <w:lang w:val="en-US" w:eastAsia="zh-CN"/>
              </w:rPr>
              <w:t>2°</w:t>
            </w:r>
          </w:p>
        </w:tc>
        <w:tc>
          <w:tcPr>
            <w:tcW w:w="499" w:type="pct"/>
            <w:vAlign w:val="center"/>
          </w:tcPr>
          <w:p w14:paraId="1F122F64">
            <w:pPr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正态</w:t>
            </w:r>
          </w:p>
        </w:tc>
        <w:tc>
          <w:tcPr>
            <w:tcW w:w="382" w:type="pct"/>
            <w:vAlign w:val="center"/>
          </w:tcPr>
          <w:p w14:paraId="6B2904B7">
            <w:pPr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2</w:t>
            </w:r>
          </w:p>
        </w:tc>
        <w:tc>
          <w:tcPr>
            <w:tcW w:w="456" w:type="pct"/>
            <w:vAlign w:val="center"/>
          </w:tcPr>
          <w:p w14:paraId="4FFCB3CB">
            <w:pPr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1</w:t>
            </w:r>
          </w:p>
        </w:tc>
        <w:tc>
          <w:tcPr>
            <w:tcW w:w="530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432636A0">
            <w:pPr>
              <w:jc w:val="center"/>
              <w:rPr>
                <w:rFonts w:hint="eastAsia" w:ascii="Times New Roman" w:hAnsi="Times New Roman" w:eastAsia="仿宋_GB2312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0.</w:t>
            </w:r>
            <w:r>
              <w:rPr>
                <w:rFonts w:hint="eastAsia" w:ascii="Times New Roman" w:hAnsi="Times New Roman" w:eastAsia="仿宋_GB2312" w:cs="Times New Roman"/>
                <w:szCs w:val="21"/>
                <w:lang w:val="en-US" w:eastAsia="zh-CN"/>
              </w:rPr>
              <w:t>1</w:t>
            </w:r>
          </w:p>
        </w:tc>
      </w:tr>
      <w:tr w14:paraId="12693A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74" w:type="pct"/>
            <w:vAlign w:val="center"/>
          </w:tcPr>
          <w:p w14:paraId="4CBC7A24">
            <w:pPr>
              <w:jc w:val="center"/>
              <w:rPr>
                <w:rFonts w:hint="default" w:ascii="Times New Roman" w:hAnsi="Times New Roman" w:eastAsia="仿宋_GB2312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  <w:lang w:val="en-US" w:eastAsia="zh-CN"/>
              </w:rPr>
              <w:t>2</w:t>
            </w:r>
          </w:p>
        </w:tc>
        <w:tc>
          <w:tcPr>
            <w:tcW w:w="2166" w:type="pct"/>
            <w:shd w:val="clear" w:color="auto" w:fill="auto"/>
            <w:vAlign w:val="center"/>
          </w:tcPr>
          <w:p w14:paraId="6E49DB3A">
            <w:pPr>
              <w:jc w:val="center"/>
              <w:rPr>
                <w:rFonts w:hint="default" w:ascii="Times New Roman" w:hAnsi="Times New Roman" w:eastAsia="仿宋_GB2312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机器视觉振动</w:t>
            </w:r>
            <w:r>
              <w:rPr>
                <w:rFonts w:hint="default" w:ascii="Times New Roman" w:hAnsi="Times New Roman" w:eastAsia="仿宋_GB2312" w:cs="Times New Roman"/>
                <w:szCs w:val="21"/>
                <w:lang w:val="en-US" w:eastAsia="zh-CN"/>
              </w:rPr>
              <w:t>测量分辨力</w:t>
            </w:r>
          </w:p>
        </w:tc>
        <w:tc>
          <w:tcPr>
            <w:tcW w:w="690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1D39EEC7">
            <w:pPr>
              <w:jc w:val="center"/>
              <w:rPr>
                <w:rFonts w:hint="default" w:ascii="Times New Roman" w:hAnsi="Times New Roman" w:eastAsia="仿宋_GB2312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Cs w:val="21"/>
                <w:lang w:val="en-US" w:eastAsia="zh-CN"/>
              </w:rPr>
              <w:t>0.2°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25975CA8">
            <w:pPr>
              <w:jc w:val="center"/>
              <w:rPr>
                <w:rFonts w:hint="default" w:ascii="Times New Roman" w:hAnsi="Times New Roman" w:eastAsia="仿宋_GB2312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矩形</w:t>
            </w:r>
          </w:p>
        </w:tc>
        <w:tc>
          <w:tcPr>
            <w:tcW w:w="382" w:type="pct"/>
            <w:shd w:val="clear" w:color="auto" w:fill="auto"/>
            <w:vAlign w:val="center"/>
          </w:tcPr>
          <w:p w14:paraId="119AE42C">
            <w:pPr>
              <w:jc w:val="center"/>
              <w:rPr>
                <w:rFonts w:hint="default" w:ascii="Times New Roman" w:hAnsi="Times New Roman" w:eastAsia="仿宋_GB2312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1.73</w:t>
            </w:r>
          </w:p>
        </w:tc>
        <w:tc>
          <w:tcPr>
            <w:tcW w:w="456" w:type="pct"/>
            <w:shd w:val="clear" w:color="auto" w:fill="auto"/>
            <w:vAlign w:val="center"/>
          </w:tcPr>
          <w:p w14:paraId="12CC57DC">
            <w:pPr>
              <w:jc w:val="center"/>
              <w:rPr>
                <w:rFonts w:hint="default" w:ascii="Times New Roman" w:hAnsi="Times New Roman" w:eastAsia="仿宋_GB2312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1</w:t>
            </w:r>
          </w:p>
        </w:tc>
        <w:tc>
          <w:tcPr>
            <w:tcW w:w="530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4979F821">
            <w:pPr>
              <w:jc w:val="center"/>
              <w:rPr>
                <w:rFonts w:hint="default" w:ascii="Times New Roman" w:hAnsi="Times New Roman" w:eastAsia="仿宋_GB2312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0.1</w:t>
            </w:r>
            <w:r>
              <w:rPr>
                <w:rFonts w:hint="eastAsia" w:ascii="Times New Roman" w:hAnsi="Times New Roman" w:eastAsia="仿宋_GB2312" w:cs="Times New Roman"/>
                <w:szCs w:val="21"/>
                <w:lang w:val="en-US" w:eastAsia="zh-CN"/>
              </w:rPr>
              <w:t>16</w:t>
            </w:r>
          </w:p>
        </w:tc>
      </w:tr>
      <w:tr w14:paraId="27B33A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000" w:type="pct"/>
            <w:gridSpan w:val="7"/>
            <w:vAlign w:val="center"/>
          </w:tcPr>
          <w:p w14:paraId="104FBD7A">
            <w:pPr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标准振动台与高对比度特征标志引入的测量不确定度分量</w:t>
            </w:r>
          </w:p>
        </w:tc>
      </w:tr>
      <w:tr w14:paraId="618365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74" w:type="pct"/>
            <w:vAlign w:val="center"/>
          </w:tcPr>
          <w:p w14:paraId="580529D4">
            <w:pPr>
              <w:jc w:val="center"/>
              <w:rPr>
                <w:rFonts w:hint="default" w:ascii="Times New Roman" w:hAnsi="Times New Roman" w:eastAsia="仿宋_GB2312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  <w:lang w:val="en-US" w:eastAsia="zh-CN"/>
              </w:rPr>
              <w:t>3</w:t>
            </w:r>
          </w:p>
        </w:tc>
        <w:tc>
          <w:tcPr>
            <w:tcW w:w="2166" w:type="pct"/>
            <w:vAlign w:val="center"/>
          </w:tcPr>
          <w:p w14:paraId="6B97FAEF">
            <w:pPr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振动发生装置振动频率的不确定度</w:t>
            </w:r>
          </w:p>
        </w:tc>
        <w:tc>
          <w:tcPr>
            <w:tcW w:w="690" w:type="pct"/>
            <w:vAlign w:val="center"/>
          </w:tcPr>
          <w:p w14:paraId="5D6F111E">
            <w:pPr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0.12</w:t>
            </w:r>
            <w:r>
              <w:rPr>
                <w:rFonts w:hint="eastAsia" w:ascii="Times New Roman" w:hAnsi="Times New Roman" w:eastAsia="仿宋_GB2312" w:cs="Times New Roman"/>
                <w:szCs w:val="21"/>
                <w:lang w:val="en-US" w:eastAsia="zh-CN"/>
              </w:rPr>
              <w:t>°</w:t>
            </w:r>
          </w:p>
        </w:tc>
        <w:tc>
          <w:tcPr>
            <w:tcW w:w="499" w:type="pct"/>
            <w:vAlign w:val="center"/>
          </w:tcPr>
          <w:p w14:paraId="5DA43366">
            <w:pPr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矩形</w:t>
            </w:r>
          </w:p>
        </w:tc>
        <w:tc>
          <w:tcPr>
            <w:tcW w:w="382" w:type="pct"/>
            <w:vAlign w:val="center"/>
          </w:tcPr>
          <w:p w14:paraId="1ECC1CB4">
            <w:pPr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1.73</w:t>
            </w:r>
          </w:p>
        </w:tc>
        <w:tc>
          <w:tcPr>
            <w:tcW w:w="456" w:type="pct"/>
            <w:vAlign w:val="center"/>
          </w:tcPr>
          <w:p w14:paraId="56A2BB94">
            <w:pPr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1</w:t>
            </w:r>
          </w:p>
        </w:tc>
        <w:tc>
          <w:tcPr>
            <w:tcW w:w="530" w:type="pct"/>
            <w:vAlign w:val="center"/>
          </w:tcPr>
          <w:p w14:paraId="475DBFEE">
            <w:pPr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0.069</w:t>
            </w:r>
          </w:p>
        </w:tc>
      </w:tr>
      <w:tr w14:paraId="22AC1A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74" w:type="pct"/>
            <w:vAlign w:val="center"/>
          </w:tcPr>
          <w:p w14:paraId="59AB8C74">
            <w:pPr>
              <w:jc w:val="center"/>
              <w:rPr>
                <w:rFonts w:hint="default" w:ascii="Times New Roman" w:hAnsi="Times New Roman" w:eastAsia="仿宋_GB2312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  <w:lang w:val="en-US" w:eastAsia="zh-CN"/>
              </w:rPr>
              <w:t>4</w:t>
            </w:r>
          </w:p>
        </w:tc>
        <w:tc>
          <w:tcPr>
            <w:tcW w:w="2166" w:type="pct"/>
            <w:vAlign w:val="center"/>
          </w:tcPr>
          <w:p w14:paraId="5BA95247">
            <w:pPr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振动发生装置横向运动对图像信号测量的影响</w:t>
            </w:r>
          </w:p>
        </w:tc>
        <w:tc>
          <w:tcPr>
            <w:tcW w:w="690" w:type="pct"/>
            <w:vAlign w:val="center"/>
          </w:tcPr>
          <w:p w14:paraId="38D99790">
            <w:pPr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0.15</w:t>
            </w:r>
            <w:r>
              <w:rPr>
                <w:rFonts w:hint="eastAsia" w:ascii="Times New Roman" w:hAnsi="Times New Roman" w:eastAsia="仿宋_GB2312" w:cs="Times New Roman"/>
                <w:szCs w:val="21"/>
                <w:lang w:val="en-US" w:eastAsia="zh-CN"/>
              </w:rPr>
              <w:t>°</w:t>
            </w:r>
          </w:p>
        </w:tc>
        <w:tc>
          <w:tcPr>
            <w:tcW w:w="499" w:type="pct"/>
            <w:vAlign w:val="center"/>
          </w:tcPr>
          <w:p w14:paraId="66ED24B3">
            <w:pPr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矩形</w:t>
            </w:r>
          </w:p>
        </w:tc>
        <w:tc>
          <w:tcPr>
            <w:tcW w:w="382" w:type="pct"/>
            <w:vAlign w:val="center"/>
          </w:tcPr>
          <w:p w14:paraId="2416684E">
            <w:pPr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1.73</w:t>
            </w:r>
          </w:p>
        </w:tc>
        <w:tc>
          <w:tcPr>
            <w:tcW w:w="456" w:type="pct"/>
            <w:vAlign w:val="center"/>
          </w:tcPr>
          <w:p w14:paraId="1CF226FD">
            <w:pPr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1</w:t>
            </w:r>
          </w:p>
        </w:tc>
        <w:tc>
          <w:tcPr>
            <w:tcW w:w="530" w:type="pct"/>
            <w:vAlign w:val="center"/>
          </w:tcPr>
          <w:p w14:paraId="3E6F0B78">
            <w:pPr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0.087</w:t>
            </w:r>
          </w:p>
        </w:tc>
      </w:tr>
      <w:tr w14:paraId="5569CD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74" w:type="pct"/>
            <w:vAlign w:val="center"/>
          </w:tcPr>
          <w:p w14:paraId="52EE60DA">
            <w:pPr>
              <w:jc w:val="center"/>
              <w:rPr>
                <w:rFonts w:hint="default" w:ascii="Times New Roman" w:hAnsi="Times New Roman" w:eastAsia="仿宋_GB2312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  <w:lang w:val="en-US" w:eastAsia="zh-CN"/>
              </w:rPr>
              <w:t>5</w:t>
            </w:r>
          </w:p>
        </w:tc>
        <w:tc>
          <w:tcPr>
            <w:tcW w:w="2166" w:type="pct"/>
            <w:vAlign w:val="center"/>
          </w:tcPr>
          <w:p w14:paraId="73917196">
            <w:pPr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棋盘格标定点加工精度的不确定度</w:t>
            </w:r>
          </w:p>
        </w:tc>
        <w:tc>
          <w:tcPr>
            <w:tcW w:w="690" w:type="pct"/>
            <w:vAlign w:val="center"/>
          </w:tcPr>
          <w:p w14:paraId="56C96632">
            <w:pPr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0.1μm</w:t>
            </w:r>
          </w:p>
        </w:tc>
        <w:tc>
          <w:tcPr>
            <w:tcW w:w="499" w:type="pct"/>
            <w:vAlign w:val="center"/>
          </w:tcPr>
          <w:p w14:paraId="061D86CC">
            <w:pPr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矩形</w:t>
            </w:r>
          </w:p>
        </w:tc>
        <w:tc>
          <w:tcPr>
            <w:tcW w:w="382" w:type="pct"/>
            <w:vAlign w:val="center"/>
          </w:tcPr>
          <w:p w14:paraId="0F1E34A7">
            <w:pPr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1.73</w:t>
            </w:r>
          </w:p>
        </w:tc>
        <w:tc>
          <w:tcPr>
            <w:tcW w:w="456" w:type="pct"/>
            <w:vAlign w:val="center"/>
          </w:tcPr>
          <w:p w14:paraId="1C023D45">
            <w:pPr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1</w:t>
            </w:r>
          </w:p>
        </w:tc>
        <w:tc>
          <w:tcPr>
            <w:tcW w:w="530" w:type="pct"/>
            <w:vAlign w:val="center"/>
          </w:tcPr>
          <w:p w14:paraId="0952CDBC">
            <w:pPr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0.001</w:t>
            </w:r>
          </w:p>
        </w:tc>
      </w:tr>
      <w:tr w14:paraId="578D82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74" w:type="pct"/>
            <w:vAlign w:val="center"/>
          </w:tcPr>
          <w:p w14:paraId="206A8310">
            <w:pPr>
              <w:jc w:val="center"/>
              <w:rPr>
                <w:rFonts w:hint="default" w:ascii="Times New Roman" w:hAnsi="Times New Roman" w:eastAsia="仿宋_GB2312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  <w:lang w:val="en-US" w:eastAsia="zh-CN"/>
              </w:rPr>
              <w:t>6</w:t>
            </w:r>
          </w:p>
        </w:tc>
        <w:tc>
          <w:tcPr>
            <w:tcW w:w="2166" w:type="pct"/>
            <w:vAlign w:val="center"/>
          </w:tcPr>
          <w:p w14:paraId="7FED799B">
            <w:pPr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特征标志加工精度的不确定度</w:t>
            </w:r>
          </w:p>
        </w:tc>
        <w:tc>
          <w:tcPr>
            <w:tcW w:w="690" w:type="pct"/>
            <w:vAlign w:val="center"/>
          </w:tcPr>
          <w:p w14:paraId="3AE5B0F7">
            <w:pPr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0.1μm</w:t>
            </w:r>
          </w:p>
        </w:tc>
        <w:tc>
          <w:tcPr>
            <w:tcW w:w="499" w:type="pct"/>
            <w:vAlign w:val="center"/>
          </w:tcPr>
          <w:p w14:paraId="0AC831B5">
            <w:pPr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矩形</w:t>
            </w:r>
          </w:p>
        </w:tc>
        <w:tc>
          <w:tcPr>
            <w:tcW w:w="382" w:type="pct"/>
            <w:vAlign w:val="center"/>
          </w:tcPr>
          <w:p w14:paraId="6A16D561">
            <w:pPr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1.73</w:t>
            </w:r>
          </w:p>
        </w:tc>
        <w:tc>
          <w:tcPr>
            <w:tcW w:w="456" w:type="pct"/>
            <w:vAlign w:val="center"/>
          </w:tcPr>
          <w:p w14:paraId="69BB360C">
            <w:pPr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1</w:t>
            </w:r>
          </w:p>
        </w:tc>
        <w:tc>
          <w:tcPr>
            <w:tcW w:w="530" w:type="pct"/>
            <w:vAlign w:val="center"/>
          </w:tcPr>
          <w:p w14:paraId="140E2DD3">
            <w:pPr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0.001</w:t>
            </w:r>
          </w:p>
        </w:tc>
      </w:tr>
      <w:tr w14:paraId="4B2BB3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74" w:type="pct"/>
            <w:vAlign w:val="center"/>
          </w:tcPr>
          <w:p w14:paraId="77FAE0C4">
            <w:pPr>
              <w:jc w:val="center"/>
              <w:rPr>
                <w:rFonts w:hint="default" w:ascii="Times New Roman" w:hAnsi="Times New Roman" w:eastAsia="仿宋_GB2312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  <w:lang w:val="en-US" w:eastAsia="zh-CN"/>
              </w:rPr>
              <w:t>7</w:t>
            </w:r>
          </w:p>
        </w:tc>
        <w:tc>
          <w:tcPr>
            <w:tcW w:w="2166" w:type="pct"/>
            <w:vAlign w:val="center"/>
          </w:tcPr>
          <w:p w14:paraId="4BBAEA91">
            <w:pPr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标志上矩形长边边缘直线度的影响</w:t>
            </w:r>
          </w:p>
        </w:tc>
        <w:tc>
          <w:tcPr>
            <w:tcW w:w="690" w:type="pct"/>
            <w:vAlign w:val="center"/>
          </w:tcPr>
          <w:p w14:paraId="6DD60230">
            <w:pPr>
              <w:jc w:val="center"/>
              <w:rPr>
                <w:rFonts w:hint="eastAsia" w:ascii="Times New Roman" w:hAnsi="Times New Roman" w:eastAsia="仿宋_GB2312" w:cs="Times New Roman"/>
                <w:szCs w:val="21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0.02</w:t>
            </w:r>
            <w:r>
              <w:rPr>
                <w:rFonts w:hint="eastAsia" w:ascii="Times New Roman" w:hAnsi="Times New Roman" w:eastAsia="仿宋_GB2312" w:cs="Times New Roman"/>
                <w:szCs w:val="21"/>
                <w:lang w:val="en-US" w:eastAsia="zh-CN"/>
              </w:rPr>
              <w:t>°</w:t>
            </w:r>
          </w:p>
        </w:tc>
        <w:tc>
          <w:tcPr>
            <w:tcW w:w="499" w:type="pct"/>
            <w:vAlign w:val="center"/>
          </w:tcPr>
          <w:p w14:paraId="43DD91F0">
            <w:pPr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矩形</w:t>
            </w:r>
          </w:p>
        </w:tc>
        <w:tc>
          <w:tcPr>
            <w:tcW w:w="382" w:type="pct"/>
            <w:vAlign w:val="center"/>
          </w:tcPr>
          <w:p w14:paraId="2F04EB0E">
            <w:pPr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1.73</w:t>
            </w:r>
          </w:p>
        </w:tc>
        <w:tc>
          <w:tcPr>
            <w:tcW w:w="456" w:type="pct"/>
            <w:vAlign w:val="center"/>
          </w:tcPr>
          <w:p w14:paraId="54673786">
            <w:pPr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1</w:t>
            </w:r>
          </w:p>
        </w:tc>
        <w:tc>
          <w:tcPr>
            <w:tcW w:w="530" w:type="pct"/>
            <w:vAlign w:val="center"/>
          </w:tcPr>
          <w:p w14:paraId="720BBEDD">
            <w:pPr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0.012</w:t>
            </w:r>
          </w:p>
        </w:tc>
      </w:tr>
      <w:tr w14:paraId="2C916C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000" w:type="pct"/>
            <w:gridSpan w:val="7"/>
            <w:vAlign w:val="center"/>
          </w:tcPr>
          <w:p w14:paraId="5BAF824C">
            <w:pPr>
              <w:jc w:val="center"/>
              <w:rPr>
                <w:rFonts w:hint="default" w:ascii="Times New Roman" w:hAnsi="Times New Roman" w:eastAsia="仿宋_GB2312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Cs w:val="21"/>
                <w:lang w:val="en-US" w:eastAsia="zh-CN"/>
              </w:rPr>
              <w:t>电压测量仪器引入的</w:t>
            </w:r>
            <w:r>
              <w:rPr>
                <w:rFonts w:hint="default" w:ascii="Times New Roman" w:hAnsi="Times New Roman" w:eastAsia="仿宋_GB2312" w:cs="Times New Roman"/>
                <w:szCs w:val="21"/>
              </w:rPr>
              <w:t>测量不确定度分量</w:t>
            </w:r>
          </w:p>
        </w:tc>
      </w:tr>
      <w:tr w14:paraId="407FFC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74" w:type="pct"/>
            <w:vAlign w:val="center"/>
          </w:tcPr>
          <w:p w14:paraId="1F489B21">
            <w:pPr>
              <w:jc w:val="center"/>
              <w:rPr>
                <w:rFonts w:hint="default" w:ascii="Times New Roman" w:hAnsi="Times New Roman" w:eastAsia="仿宋_GB2312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Cs w:val="21"/>
                <w:lang w:val="en-US" w:eastAsia="zh-CN"/>
              </w:rPr>
              <w:t>8</w:t>
            </w:r>
          </w:p>
        </w:tc>
        <w:tc>
          <w:tcPr>
            <w:tcW w:w="2166" w:type="pct"/>
            <w:vAlign w:val="center"/>
          </w:tcPr>
          <w:p w14:paraId="67F73D14">
            <w:pPr>
              <w:jc w:val="center"/>
              <w:rPr>
                <w:rFonts w:hint="default" w:ascii="Times New Roman" w:hAnsi="Times New Roman" w:eastAsia="仿宋_GB2312" w:cs="Times New Roman"/>
                <w:szCs w:val="21"/>
                <w:lang w:val="en-US"/>
              </w:rPr>
            </w:pPr>
            <w:r>
              <w:rPr>
                <w:rFonts w:hint="eastAsia" w:ascii="Times New Roman" w:hAnsi="Times New Roman" w:eastAsia="仿宋_GB2312" w:cs="Times New Roman"/>
                <w:szCs w:val="21"/>
                <w:lang w:val="en-US" w:eastAsia="zh-CN"/>
              </w:rPr>
              <w:t>电压测量误差</w:t>
            </w:r>
          </w:p>
        </w:tc>
        <w:tc>
          <w:tcPr>
            <w:tcW w:w="690" w:type="pct"/>
            <w:vAlign w:val="center"/>
          </w:tcPr>
          <w:p w14:paraId="428CF82F">
            <w:pPr>
              <w:jc w:val="center"/>
              <w:rPr>
                <w:rFonts w:hint="default" w:ascii="Times New Roman" w:hAnsi="Times New Roman" w:eastAsia="仿宋_GB2312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Cs w:val="21"/>
                <w:lang w:val="en-US" w:eastAsia="zh-CN"/>
              </w:rPr>
              <w:t>0.2%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4632F053">
            <w:pPr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矩形</w:t>
            </w:r>
          </w:p>
        </w:tc>
        <w:tc>
          <w:tcPr>
            <w:tcW w:w="382" w:type="pct"/>
            <w:shd w:val="clear" w:color="auto" w:fill="auto"/>
            <w:vAlign w:val="center"/>
          </w:tcPr>
          <w:p w14:paraId="30577505">
            <w:pPr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1.73</w:t>
            </w:r>
          </w:p>
        </w:tc>
        <w:tc>
          <w:tcPr>
            <w:tcW w:w="456" w:type="pct"/>
            <w:shd w:val="clear" w:color="auto" w:fill="auto"/>
            <w:vAlign w:val="center"/>
          </w:tcPr>
          <w:p w14:paraId="0A53655D">
            <w:pPr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1</w:t>
            </w:r>
          </w:p>
        </w:tc>
        <w:tc>
          <w:tcPr>
            <w:tcW w:w="530" w:type="pct"/>
            <w:vAlign w:val="center"/>
          </w:tcPr>
          <w:p w14:paraId="474AA46C">
            <w:pPr>
              <w:jc w:val="center"/>
              <w:rPr>
                <w:rFonts w:hint="default" w:ascii="Times New Roman" w:hAnsi="Times New Roman" w:eastAsia="仿宋_GB2312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Cs w:val="21"/>
                <w:lang w:val="en-US" w:eastAsia="zh-CN"/>
              </w:rPr>
              <w:t>0.116</w:t>
            </w:r>
          </w:p>
        </w:tc>
      </w:tr>
      <w:tr w14:paraId="7EC78E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000" w:type="pct"/>
            <w:gridSpan w:val="7"/>
            <w:vAlign w:val="center"/>
          </w:tcPr>
          <w:p w14:paraId="3856E9F1">
            <w:pPr>
              <w:jc w:val="center"/>
              <w:rPr>
                <w:rFonts w:hint="default" w:ascii="Times New Roman" w:hAnsi="Times New Roman" w:eastAsia="仿宋_GB2312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Cs w:val="21"/>
                <w:lang w:val="en-US" w:eastAsia="zh-CN"/>
              </w:rPr>
              <w:t>振动传感器引入的</w:t>
            </w:r>
            <w:r>
              <w:rPr>
                <w:rFonts w:hint="default" w:ascii="Times New Roman" w:hAnsi="Times New Roman" w:eastAsia="仿宋_GB2312" w:cs="Times New Roman"/>
                <w:szCs w:val="21"/>
              </w:rPr>
              <w:t>测量不确定度分量</w:t>
            </w:r>
          </w:p>
        </w:tc>
      </w:tr>
      <w:tr w14:paraId="3EC0B1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74" w:type="pct"/>
            <w:vAlign w:val="center"/>
          </w:tcPr>
          <w:p w14:paraId="377D0F24">
            <w:pPr>
              <w:jc w:val="center"/>
              <w:rPr>
                <w:rFonts w:hint="default" w:ascii="Times New Roman" w:hAnsi="Times New Roman" w:eastAsia="仿宋_GB2312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Cs w:val="21"/>
                <w:lang w:val="en-US" w:eastAsia="zh-CN"/>
              </w:rPr>
              <w:t>9</w:t>
            </w:r>
          </w:p>
        </w:tc>
        <w:tc>
          <w:tcPr>
            <w:tcW w:w="2166" w:type="pct"/>
            <w:vAlign w:val="center"/>
          </w:tcPr>
          <w:p w14:paraId="266DBBDD">
            <w:pPr>
              <w:jc w:val="center"/>
              <w:rPr>
                <w:rFonts w:hint="default" w:ascii="Times New Roman" w:hAnsi="Times New Roman" w:eastAsia="仿宋_GB2312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Cs w:val="21"/>
                <w:lang w:val="en-US" w:eastAsia="zh-CN"/>
              </w:rPr>
              <w:t>横向灵敏度引入的测量不确定度</w:t>
            </w:r>
          </w:p>
        </w:tc>
        <w:tc>
          <w:tcPr>
            <w:tcW w:w="690" w:type="pct"/>
            <w:vAlign w:val="center"/>
          </w:tcPr>
          <w:p w14:paraId="7CEFA927">
            <w:pPr>
              <w:jc w:val="center"/>
              <w:rPr>
                <w:rFonts w:hint="default" w:ascii="Times New Roman" w:hAnsi="Times New Roman" w:eastAsia="仿宋_GB2312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Cs w:val="21"/>
                <w:lang w:val="en-US" w:eastAsia="zh-CN"/>
              </w:rPr>
              <w:t>0.1°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4CC24E11">
            <w:pPr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矩形</w:t>
            </w:r>
          </w:p>
        </w:tc>
        <w:tc>
          <w:tcPr>
            <w:tcW w:w="382" w:type="pct"/>
            <w:shd w:val="clear" w:color="auto" w:fill="auto"/>
            <w:vAlign w:val="center"/>
          </w:tcPr>
          <w:p w14:paraId="7E0F4E44">
            <w:pPr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1.73</w:t>
            </w:r>
          </w:p>
        </w:tc>
        <w:tc>
          <w:tcPr>
            <w:tcW w:w="456" w:type="pct"/>
            <w:shd w:val="clear" w:color="auto" w:fill="auto"/>
            <w:vAlign w:val="center"/>
          </w:tcPr>
          <w:p w14:paraId="175833EB">
            <w:pPr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1</w:t>
            </w:r>
          </w:p>
        </w:tc>
        <w:tc>
          <w:tcPr>
            <w:tcW w:w="530" w:type="pct"/>
            <w:vAlign w:val="center"/>
          </w:tcPr>
          <w:p w14:paraId="4A8622E1">
            <w:pPr>
              <w:jc w:val="center"/>
              <w:rPr>
                <w:rFonts w:hint="default" w:ascii="Times New Roman" w:hAnsi="Times New Roman" w:eastAsia="仿宋_GB2312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Cs w:val="21"/>
                <w:lang w:val="en-US" w:eastAsia="zh-CN"/>
              </w:rPr>
              <w:t>0.0578</w:t>
            </w:r>
          </w:p>
        </w:tc>
      </w:tr>
      <w:tr w14:paraId="3DA4DE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000" w:type="pct"/>
            <w:gridSpan w:val="7"/>
            <w:vAlign w:val="center"/>
          </w:tcPr>
          <w:p w14:paraId="6069E6CA">
            <w:pPr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重复性引入的测量不确定度分量</w:t>
            </w:r>
          </w:p>
        </w:tc>
      </w:tr>
      <w:tr w14:paraId="6A0951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74" w:type="pct"/>
            <w:vAlign w:val="center"/>
          </w:tcPr>
          <w:p w14:paraId="1DF2D04E">
            <w:pPr>
              <w:jc w:val="center"/>
              <w:rPr>
                <w:rFonts w:hint="default" w:ascii="Times New Roman" w:hAnsi="Times New Roman" w:eastAsia="仿宋_GB2312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Cs w:val="21"/>
                <w:lang w:val="en-US" w:eastAsia="zh-CN"/>
              </w:rPr>
              <w:t>10</w:t>
            </w:r>
          </w:p>
        </w:tc>
        <w:tc>
          <w:tcPr>
            <w:tcW w:w="2166" w:type="pct"/>
            <w:vAlign w:val="center"/>
          </w:tcPr>
          <w:p w14:paraId="3B1B0F8B">
            <w:pPr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重复性</w:t>
            </w:r>
          </w:p>
        </w:tc>
        <w:tc>
          <w:tcPr>
            <w:tcW w:w="690" w:type="pct"/>
            <w:vAlign w:val="center"/>
          </w:tcPr>
          <w:p w14:paraId="5896F270">
            <w:pPr>
              <w:jc w:val="center"/>
              <w:rPr>
                <w:rFonts w:hint="eastAsia" w:ascii="Times New Roman" w:hAnsi="Times New Roman" w:eastAsia="仿宋_GB2312" w:cs="Times New Roman"/>
                <w:szCs w:val="21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0.0</w:t>
            </w:r>
            <w:r>
              <w:rPr>
                <w:rFonts w:hint="eastAsia" w:ascii="Times New Roman" w:hAnsi="Times New Roman" w:eastAsia="仿宋_GB2312" w:cs="Times New Roman"/>
                <w:szCs w:val="21"/>
                <w:lang w:val="en-US" w:eastAsia="zh-CN"/>
              </w:rPr>
              <w:t>6</w:t>
            </w:r>
          </w:p>
        </w:tc>
        <w:tc>
          <w:tcPr>
            <w:tcW w:w="499" w:type="pct"/>
            <w:vAlign w:val="center"/>
          </w:tcPr>
          <w:p w14:paraId="420AC9AB">
            <w:pPr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正态</w:t>
            </w:r>
          </w:p>
        </w:tc>
        <w:tc>
          <w:tcPr>
            <w:tcW w:w="382" w:type="pct"/>
            <w:vAlign w:val="center"/>
          </w:tcPr>
          <w:p w14:paraId="139B7F5F">
            <w:pPr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2</w:t>
            </w:r>
          </w:p>
        </w:tc>
        <w:tc>
          <w:tcPr>
            <w:tcW w:w="456" w:type="pct"/>
            <w:vAlign w:val="center"/>
          </w:tcPr>
          <w:p w14:paraId="16B5255F">
            <w:pPr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1</w:t>
            </w:r>
          </w:p>
        </w:tc>
        <w:tc>
          <w:tcPr>
            <w:tcW w:w="530" w:type="pct"/>
            <w:shd w:val="clear" w:color="auto" w:fill="auto"/>
            <w:vAlign w:val="center"/>
          </w:tcPr>
          <w:p w14:paraId="0BB7DDA3">
            <w:pPr>
              <w:jc w:val="center"/>
              <w:rPr>
                <w:rFonts w:hint="eastAsia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Cs w:val="21"/>
              </w:rPr>
              <w:t>0.0</w:t>
            </w:r>
            <w:r>
              <w:rPr>
                <w:rFonts w:hint="eastAsia" w:ascii="Times New Roman" w:hAnsi="Times New Roman" w:eastAsia="仿宋_GB2312" w:cs="Times New Roman"/>
                <w:color w:val="000000"/>
                <w:szCs w:val="21"/>
                <w:lang w:val="en-US" w:eastAsia="zh-CN"/>
              </w:rPr>
              <w:t>3</w:t>
            </w:r>
          </w:p>
        </w:tc>
      </w:tr>
      <w:tr w14:paraId="54D14C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74" w:type="pct"/>
            <w:vAlign w:val="center"/>
          </w:tcPr>
          <w:p w14:paraId="714DF926">
            <w:pPr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2166" w:type="pct"/>
          </w:tcPr>
          <w:p w14:paraId="1822B433">
            <w:pPr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合成测量不确定度</w:t>
            </w:r>
          </w:p>
        </w:tc>
        <w:tc>
          <w:tcPr>
            <w:tcW w:w="690" w:type="pct"/>
            <w:vAlign w:val="center"/>
          </w:tcPr>
          <w:p w14:paraId="250A5E4A">
            <w:pPr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-</w:t>
            </w:r>
          </w:p>
        </w:tc>
        <w:tc>
          <w:tcPr>
            <w:tcW w:w="499" w:type="pct"/>
            <w:vAlign w:val="center"/>
          </w:tcPr>
          <w:p w14:paraId="4AAE02F4">
            <w:pPr>
              <w:jc w:val="center"/>
              <w:rPr>
                <w:rFonts w:hint="default" w:ascii="Times New Roman" w:hAnsi="Times New Roman" w:eastAsia="仿宋_GB2312" w:cs="Times New Roman"/>
                <w:i/>
                <w:iCs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i/>
                <w:iCs/>
                <w:szCs w:val="21"/>
              </w:rPr>
              <w:t>k</w:t>
            </w:r>
            <w:r>
              <w:rPr>
                <w:rFonts w:hint="default" w:ascii="Times New Roman" w:hAnsi="Times New Roman" w:eastAsia="仿宋_GB2312" w:cs="Times New Roman"/>
                <w:szCs w:val="21"/>
              </w:rPr>
              <w:t xml:space="preserve"> = 1</w:t>
            </w:r>
          </w:p>
        </w:tc>
        <w:tc>
          <w:tcPr>
            <w:tcW w:w="382" w:type="pct"/>
            <w:vAlign w:val="center"/>
          </w:tcPr>
          <w:p w14:paraId="661A9E77">
            <w:pPr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1</w:t>
            </w:r>
          </w:p>
        </w:tc>
        <w:tc>
          <w:tcPr>
            <w:tcW w:w="456" w:type="pct"/>
            <w:vAlign w:val="center"/>
          </w:tcPr>
          <w:p w14:paraId="48F3FE41">
            <w:pPr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-</w:t>
            </w:r>
          </w:p>
        </w:tc>
        <w:tc>
          <w:tcPr>
            <w:tcW w:w="530" w:type="pct"/>
            <w:vAlign w:val="center"/>
          </w:tcPr>
          <w:p w14:paraId="38FF9FC5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Cs w:val="21"/>
              </w:rPr>
              <w:t>0.</w:t>
            </w:r>
            <w:r>
              <w:rPr>
                <w:rFonts w:hint="eastAsia" w:ascii="Times New Roman" w:hAnsi="Times New Roman" w:eastAsia="仿宋_GB2312" w:cs="Times New Roman"/>
                <w:color w:val="000000"/>
                <w:szCs w:val="21"/>
                <w:lang w:val="en-US" w:eastAsia="zh-CN"/>
              </w:rPr>
              <w:t>232</w:t>
            </w:r>
          </w:p>
        </w:tc>
      </w:tr>
      <w:tr w14:paraId="13633E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74" w:type="pct"/>
            <w:vAlign w:val="center"/>
          </w:tcPr>
          <w:p w14:paraId="16EFE5DC">
            <w:pPr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2166" w:type="pct"/>
          </w:tcPr>
          <w:p w14:paraId="3E5A6BD1">
            <w:pPr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扩展测量不确定度</w:t>
            </w:r>
          </w:p>
        </w:tc>
        <w:tc>
          <w:tcPr>
            <w:tcW w:w="690" w:type="pct"/>
            <w:vAlign w:val="center"/>
          </w:tcPr>
          <w:p w14:paraId="6A23A8C2">
            <w:pPr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-</w:t>
            </w:r>
          </w:p>
        </w:tc>
        <w:tc>
          <w:tcPr>
            <w:tcW w:w="499" w:type="pct"/>
            <w:vAlign w:val="center"/>
          </w:tcPr>
          <w:p w14:paraId="129EE265">
            <w:pPr>
              <w:jc w:val="center"/>
              <w:rPr>
                <w:rFonts w:hint="default" w:ascii="Times New Roman" w:hAnsi="Times New Roman" w:eastAsia="仿宋_GB2312" w:cs="Times New Roman"/>
                <w:i/>
                <w:iCs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i/>
                <w:iCs/>
                <w:szCs w:val="21"/>
              </w:rPr>
              <w:t>k</w:t>
            </w:r>
            <w:r>
              <w:rPr>
                <w:rFonts w:hint="default" w:ascii="Times New Roman" w:hAnsi="Times New Roman" w:eastAsia="仿宋_GB2312" w:cs="Times New Roman"/>
                <w:szCs w:val="21"/>
              </w:rPr>
              <w:t xml:space="preserve"> = 2</w:t>
            </w:r>
          </w:p>
        </w:tc>
        <w:tc>
          <w:tcPr>
            <w:tcW w:w="382" w:type="pct"/>
            <w:vAlign w:val="center"/>
          </w:tcPr>
          <w:p w14:paraId="41AA925A">
            <w:pPr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2</w:t>
            </w:r>
          </w:p>
        </w:tc>
        <w:tc>
          <w:tcPr>
            <w:tcW w:w="456" w:type="pct"/>
            <w:vAlign w:val="center"/>
          </w:tcPr>
          <w:p w14:paraId="65F31865">
            <w:pPr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-</w:t>
            </w:r>
          </w:p>
        </w:tc>
        <w:tc>
          <w:tcPr>
            <w:tcW w:w="530" w:type="pct"/>
            <w:vAlign w:val="center"/>
          </w:tcPr>
          <w:p w14:paraId="7BAA9E4D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Cs w:val="21"/>
              </w:rPr>
              <w:t>0.</w:t>
            </w:r>
            <w:r>
              <w:rPr>
                <w:rFonts w:hint="eastAsia" w:ascii="Times New Roman" w:hAnsi="Times New Roman" w:eastAsia="仿宋_GB2312" w:cs="Times New Roman"/>
                <w:color w:val="000000"/>
                <w:szCs w:val="21"/>
                <w:lang w:val="en-US" w:eastAsia="zh-CN"/>
              </w:rPr>
              <w:t>463</w:t>
            </w:r>
          </w:p>
        </w:tc>
      </w:tr>
    </w:tbl>
    <w:p w14:paraId="7A9D1EA8">
      <w:pPr>
        <w:spacing w:line="240" w:lineRule="auto"/>
        <w:jc w:val="left"/>
        <w:rPr>
          <w:rFonts w:hint="eastAsia"/>
          <w:b/>
          <w:bCs/>
          <w:sz w:val="24"/>
          <w:szCs w:val="24"/>
          <w:lang w:val="en-GB"/>
        </w:rPr>
      </w:pPr>
    </w:p>
    <w:p w14:paraId="42B797E2">
      <w:pPr>
        <w:spacing w:line="240" w:lineRule="auto"/>
        <w:jc w:val="left"/>
        <w:rPr>
          <w:sz w:val="24"/>
          <w:szCs w:val="24"/>
          <w:lang w:val="en-GB"/>
        </w:rPr>
      </w:pPr>
    </w:p>
    <w:sectPr>
      <w:footerReference r:id="rId13" w:type="default"/>
      <w:footerReference r:id="rId14" w:type="even"/>
      <w:pgSz w:w="11906" w:h="16838"/>
      <w:pgMar w:top="1134" w:right="1134" w:bottom="1134" w:left="1134" w:header="624" w:footer="624" w:gutter="0"/>
      <w:pgNumType w:start="1"/>
      <w:cols w:space="720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??">
    <w:altName w:val="Times New Roman"/>
    <w:panose1 w:val="00000000000000000000"/>
    <w:charset w:val="00"/>
    <w:family w:val="roman"/>
    <w:pitch w:val="default"/>
    <w:sig w:usb0="00000000" w:usb1="00000000" w:usb2="00000000" w:usb3="00000000" w:csb0="00000001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宋体-方正超大字符集">
    <w:altName w:val="宋体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简宋">
    <w:altName w:val="宋体"/>
    <w:panose1 w:val="00000000000000000000"/>
    <w:charset w:val="86"/>
    <w:family w:val="roman"/>
    <w:pitch w:val="default"/>
    <w:sig w:usb0="00000000" w:usb1="00000000" w:usb2="00000016" w:usb3="00000000" w:csb0="0004000D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ambria Math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MS Mincho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F87258">
    <w:pPr>
      <w:pStyle w:val="12"/>
      <w:wordWrap w:val="0"/>
      <w:jc w:val="righ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48D98C">
    <w:pPr>
      <w:pStyle w:val="12"/>
      <w:wordWrap w:val="0"/>
      <w:jc w:val="righ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4A11C2">
    <w:pPr>
      <w:pStyle w:val="12"/>
      <w:jc w:val="right"/>
    </w:pPr>
    <w:r>
      <w:rPr>
        <w:rStyle w:val="20"/>
      </w:rPr>
      <w:fldChar w:fldCharType="begin"/>
    </w:r>
    <w:r>
      <w:rPr>
        <w:rStyle w:val="20"/>
      </w:rPr>
      <w:instrText xml:space="preserve"> PAGE </w:instrText>
    </w:r>
    <w:r>
      <w:rPr>
        <w:rStyle w:val="20"/>
      </w:rPr>
      <w:fldChar w:fldCharType="separate"/>
    </w:r>
    <w:r>
      <w:rPr>
        <w:rStyle w:val="20"/>
      </w:rPr>
      <w:t>IV</w:t>
    </w:r>
    <w:r>
      <w:rPr>
        <w:rStyle w:val="20"/>
      </w:rPr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41E55B">
    <w:pPr>
      <w:pStyle w:val="12"/>
      <w:wordWrap w:val="0"/>
      <w:jc w:val="left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FCC02E">
    <w:pPr>
      <w:pStyle w:val="12"/>
      <w:jc w:val="left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27946E">
    <w:pPr>
      <w:pStyle w:val="12"/>
      <w:wordWrap w:val="0"/>
      <w:jc w:val="right"/>
    </w:pPr>
    <w:r>
      <w:rPr>
        <w:rStyle w:val="20"/>
      </w:rPr>
      <w:fldChar w:fldCharType="begin"/>
    </w:r>
    <w:r>
      <w:rPr>
        <w:rStyle w:val="20"/>
      </w:rPr>
      <w:instrText xml:space="preserve"> PAGE </w:instrText>
    </w:r>
    <w:r>
      <w:rPr>
        <w:rStyle w:val="20"/>
      </w:rPr>
      <w:fldChar w:fldCharType="separate"/>
    </w:r>
    <w:r>
      <w:rPr>
        <w:rStyle w:val="20"/>
      </w:rPr>
      <w:t>III</w:t>
    </w:r>
    <w:r>
      <w:rPr>
        <w:rStyle w:val="20"/>
      </w:rPr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6F5F4E">
    <w:pPr>
      <w:pStyle w:val="12"/>
      <w:jc w:val="right"/>
    </w:pPr>
    <w:r>
      <w:rPr>
        <w:rStyle w:val="20"/>
      </w:rPr>
      <w:fldChar w:fldCharType="begin"/>
    </w:r>
    <w:r>
      <w:rPr>
        <w:rStyle w:val="20"/>
      </w:rPr>
      <w:instrText xml:space="preserve"> PAGE </w:instrText>
    </w:r>
    <w:r>
      <w:rPr>
        <w:rStyle w:val="20"/>
      </w:rPr>
      <w:fldChar w:fldCharType="separate"/>
    </w:r>
    <w:r>
      <w:rPr>
        <w:rStyle w:val="20"/>
      </w:rPr>
      <w:t>IV</w:t>
    </w:r>
    <w:r>
      <w:rPr>
        <w:rStyle w:val="20"/>
      </w:rPr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F04D64">
    <w:pPr>
      <w:pStyle w:val="12"/>
      <w:wordWrap w:val="0"/>
      <w:jc w:val="right"/>
    </w:pPr>
    <w:r>
      <w:rPr>
        <w:rStyle w:val="20"/>
      </w:rPr>
      <w:fldChar w:fldCharType="begin"/>
    </w:r>
    <w:r>
      <w:rPr>
        <w:rStyle w:val="20"/>
      </w:rPr>
      <w:instrText xml:space="preserve"> PAGE </w:instrText>
    </w:r>
    <w:r>
      <w:rPr>
        <w:rStyle w:val="20"/>
      </w:rPr>
      <w:fldChar w:fldCharType="separate"/>
    </w:r>
    <w:r>
      <w:rPr>
        <w:rStyle w:val="20"/>
      </w:rPr>
      <w:t>1</w:t>
    </w:r>
    <w:r>
      <w:rPr>
        <w:rStyle w:val="20"/>
      </w:rPr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0F182F">
    <w:pPr>
      <w:pStyle w:val="12"/>
    </w:pPr>
    <w:r>
      <w:rPr>
        <w:rStyle w:val="20"/>
      </w:rPr>
      <w:fldChar w:fldCharType="begin"/>
    </w:r>
    <w:r>
      <w:rPr>
        <w:rStyle w:val="20"/>
      </w:rPr>
      <w:instrText xml:space="preserve"> PAGE </w:instrText>
    </w:r>
    <w:r>
      <w:rPr>
        <w:rStyle w:val="20"/>
      </w:rPr>
      <w:fldChar w:fldCharType="separate"/>
    </w:r>
    <w:r>
      <w:rPr>
        <w:rStyle w:val="20"/>
      </w:rPr>
      <w:t>12</w:t>
    </w:r>
    <w:r>
      <w:rPr>
        <w:rStyle w:val="20"/>
      </w:rPr>
      <w:fldChar w:fldCharType="end"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77DA7A">
    <w:pPr>
      <w:pStyle w:val="13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7E9311">
    <w:pPr>
      <w:pStyle w:val="13"/>
      <w:snapToGrid/>
      <w:spacing w:line="360" w:lineRule="auto"/>
    </w:pPr>
    <w:r>
      <w:rPr>
        <w:b/>
        <w:sz w:val="21"/>
        <w:szCs w:val="21"/>
      </w:rPr>
      <w:t>JJF</w:t>
    </w:r>
    <w:r>
      <w:rPr>
        <w:sz w:val="21"/>
        <w:szCs w:val="21"/>
      </w:rPr>
      <w:t xml:space="preserve"> XXXX—202X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8B3756">
    <w:pPr>
      <w:pStyle w:val="13"/>
      <w:rPr>
        <w:rFonts w:ascii="黑体" w:eastAsia="黑体"/>
        <w:sz w:val="21"/>
        <w:szCs w:val="21"/>
      </w:rPr>
    </w:pPr>
    <w:r>
      <w:rPr>
        <w:rFonts w:hint="eastAsia" w:ascii="黑体" w:eastAsia="黑体" w:cs="黑体"/>
        <w:sz w:val="21"/>
        <w:szCs w:val="21"/>
      </w:rPr>
      <w:t>JJF ××</w:t>
    </w:r>
    <w:r>
      <w:rPr>
        <w:rFonts w:hint="eastAsia" w:ascii="黑体" w:eastAsia="黑体"/>
        <w:sz w:val="21"/>
        <w:szCs w:val="21"/>
      </w:rPr>
      <w:t>—</w:t>
    </w:r>
    <w:r>
      <w:rPr>
        <w:rFonts w:hint="eastAsia" w:ascii="黑体" w:eastAsia="黑体" w:cs="黑体"/>
        <w:sz w:val="21"/>
        <w:szCs w:val="21"/>
      </w:rPr>
      <w:t>××××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ADE4F0E"/>
    <w:multiLevelType w:val="multilevel"/>
    <w:tmpl w:val="2ADE4F0E"/>
    <w:lvl w:ilvl="0" w:tentative="0">
      <w:start w:val="1"/>
      <w:numFmt w:val="lowerLetter"/>
      <w:lvlText w:val="%1)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557C2AF5"/>
    <w:multiLevelType w:val="multilevel"/>
    <w:tmpl w:val="557C2AF5"/>
    <w:lvl w:ilvl="0" w:tentative="0">
      <w:start w:val="1"/>
      <w:numFmt w:val="decimal"/>
      <w:pStyle w:val="39"/>
      <w:suff w:val="nothing"/>
      <w:lvlText w:val="图%1　"/>
      <w:lvlJc w:val="left"/>
      <w:pPr>
        <w:ind w:left="3150" w:firstLine="0"/>
      </w:pPr>
      <w:rPr>
        <w:rFonts w:hint="eastAsia" w:ascii="黑体" w:hAnsi="Times New Roman" w:eastAsia="黑体"/>
        <w:b w:val="0"/>
        <w:i w:val="0"/>
        <w:sz w:val="21"/>
      </w:rPr>
    </w:lvl>
    <w:lvl w:ilvl="1" w:tentative="0">
      <w:start w:val="1"/>
      <w:numFmt w:val="decimal"/>
      <w:suff w:val="nothing"/>
      <w:lvlText w:val="%1%2　"/>
      <w:lvlJc w:val="left"/>
      <w:pPr>
        <w:ind w:left="0" w:firstLine="0"/>
      </w:pPr>
      <w:rPr>
        <w:rFonts w:hint="default" w:ascii="Times New Roman" w:hAnsi="Times New Roman" w:eastAsia="黑体"/>
        <w:b w:val="0"/>
        <w:i w:val="0"/>
        <w:sz w:val="21"/>
      </w:rPr>
    </w:lvl>
    <w:lvl w:ilvl="2" w:tentative="0">
      <w:start w:val="1"/>
      <w:numFmt w:val="decimal"/>
      <w:suff w:val="nothing"/>
      <w:lvlText w:val="%1%2.%3　"/>
      <w:lvlJc w:val="left"/>
      <w:pPr>
        <w:ind w:left="0" w:firstLine="0"/>
      </w:pPr>
      <w:rPr>
        <w:rFonts w:hint="default" w:ascii="Times New Roman" w:hAnsi="Times New Roman" w:eastAsia="黑体"/>
        <w:b w:val="0"/>
        <w:i w:val="0"/>
        <w:sz w:val="21"/>
      </w:rPr>
    </w:lvl>
    <w:lvl w:ilvl="3" w:tentative="0">
      <w:start w:val="1"/>
      <w:numFmt w:val="decimal"/>
      <w:suff w:val="nothing"/>
      <w:lvlText w:val="%1%2.%3.%4　"/>
      <w:lvlJc w:val="left"/>
      <w:pPr>
        <w:ind w:left="0" w:firstLine="0"/>
      </w:pPr>
      <w:rPr>
        <w:rFonts w:hint="default" w:ascii="Times New Roman" w:hAnsi="Times New Roman" w:eastAsia="黑体"/>
        <w:b w:val="0"/>
        <w:i w:val="0"/>
        <w:sz w:val="21"/>
      </w:rPr>
    </w:lvl>
    <w:lvl w:ilvl="4" w:tentative="0">
      <w:start w:val="1"/>
      <w:numFmt w:val="decimal"/>
      <w:suff w:val="nothing"/>
      <w:lvlText w:val="%1%2.%3.%4.%5　"/>
      <w:lvlJc w:val="left"/>
      <w:pPr>
        <w:ind w:left="0" w:firstLine="0"/>
      </w:pPr>
      <w:rPr>
        <w:rFonts w:hint="default" w:ascii="Times New Roman" w:hAnsi="Times New Roman" w:eastAsia="黑体"/>
        <w:b w:val="0"/>
        <w:i w:val="0"/>
        <w:sz w:val="21"/>
      </w:rPr>
    </w:lvl>
    <w:lvl w:ilvl="5" w:tentative="0">
      <w:start w:val="1"/>
      <w:numFmt w:val="decimal"/>
      <w:suff w:val="nothing"/>
      <w:lvlText w:val="%1%2.%3.%4.%5.%6　"/>
      <w:lvlJc w:val="left"/>
      <w:pPr>
        <w:ind w:left="0" w:firstLine="0"/>
      </w:pPr>
      <w:rPr>
        <w:rFonts w:hint="default" w:ascii="Times New Roman" w:hAnsi="Times New Roman" w:eastAsia="黑体"/>
        <w:b w:val="0"/>
        <w:i w:val="0"/>
        <w:sz w:val="21"/>
      </w:rPr>
    </w:lvl>
    <w:lvl w:ilvl="6" w:tentative="0">
      <w:start w:val="1"/>
      <w:numFmt w:val="decimal"/>
      <w:suff w:val="nothing"/>
      <w:lvlText w:val="%1%2.%3.%4.%5.%6.%7　"/>
      <w:lvlJc w:val="left"/>
      <w:pPr>
        <w:ind w:left="0" w:firstLine="0"/>
      </w:pPr>
      <w:rPr>
        <w:rFonts w:hint="default" w:ascii="Times New Roman" w:hAnsi="Times New Roman" w:eastAsia="黑体"/>
        <w:b w:val="0"/>
        <w:i w:val="0"/>
        <w:sz w:val="21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51"/>
        </w:tabs>
        <w:ind w:left="3969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4777"/>
        </w:tabs>
        <w:ind w:left="4677" w:hanging="1700"/>
      </w:pPr>
      <w:rPr>
        <w:rFonts w:hint="eastAsia"/>
      </w:rPr>
    </w:lvl>
  </w:abstractNum>
  <w:abstractNum w:abstractNumId="2">
    <w:nsid w:val="5F4B1E1C"/>
    <w:multiLevelType w:val="multilevel"/>
    <w:tmpl w:val="5F4B1E1C"/>
    <w:lvl w:ilvl="0" w:tentative="0">
      <w:start w:val="1"/>
      <w:numFmt w:val="decimal"/>
      <w:lvlText w:val="%1"/>
      <w:lvlJc w:val="left"/>
      <w:pPr>
        <w:tabs>
          <w:tab w:val="left" w:pos="462"/>
        </w:tabs>
        <w:ind w:left="462" w:hanging="420"/>
      </w:pPr>
      <w:rPr>
        <w:rFonts w:hint="eastAsia" w:ascii="黑体" w:hAnsi="Times New Roman" w:eastAsia="黑体"/>
      </w:rPr>
    </w:lvl>
    <w:lvl w:ilvl="1" w:tentative="0">
      <w:start w:val="0"/>
      <w:numFmt w:val="none"/>
      <w:lvlText w:val=""/>
      <w:lvlJc w:val="left"/>
      <w:pPr>
        <w:tabs>
          <w:tab w:val="left" w:pos="360"/>
        </w:tabs>
      </w:pPr>
    </w:lvl>
    <w:lvl w:ilvl="2" w:tentative="0">
      <w:start w:val="0"/>
      <w:numFmt w:val="none"/>
      <w:lvlText w:val=""/>
      <w:lvlJc w:val="left"/>
      <w:pPr>
        <w:tabs>
          <w:tab w:val="left" w:pos="360"/>
        </w:tabs>
      </w:pPr>
    </w:lvl>
    <w:lvl w:ilvl="3" w:tentative="0">
      <w:start w:val="0"/>
      <w:numFmt w:val="none"/>
      <w:lvlText w:val=""/>
      <w:lvlJc w:val="left"/>
      <w:pPr>
        <w:tabs>
          <w:tab w:val="left" w:pos="360"/>
        </w:tabs>
      </w:pPr>
    </w:lvl>
    <w:lvl w:ilvl="4" w:tentative="0">
      <w:start w:val="0"/>
      <w:numFmt w:val="none"/>
      <w:lvlText w:val=""/>
      <w:lvlJc w:val="left"/>
      <w:pPr>
        <w:tabs>
          <w:tab w:val="left" w:pos="360"/>
        </w:tabs>
      </w:pPr>
    </w:lvl>
    <w:lvl w:ilvl="5" w:tentative="0">
      <w:start w:val="0"/>
      <w:numFmt w:val="none"/>
      <w:lvlText w:val=""/>
      <w:lvlJc w:val="left"/>
      <w:pPr>
        <w:tabs>
          <w:tab w:val="left" w:pos="360"/>
        </w:tabs>
      </w:pPr>
    </w:lvl>
    <w:lvl w:ilvl="6" w:tentative="0">
      <w:start w:val="0"/>
      <w:numFmt w:val="none"/>
      <w:lvlText w:val=""/>
      <w:lvlJc w:val="left"/>
      <w:pPr>
        <w:tabs>
          <w:tab w:val="left" w:pos="360"/>
        </w:tabs>
      </w:pPr>
    </w:lvl>
    <w:lvl w:ilvl="7" w:tentative="0">
      <w:start w:val="0"/>
      <w:numFmt w:val="none"/>
      <w:lvlText w:val=""/>
      <w:lvlJc w:val="left"/>
      <w:pPr>
        <w:tabs>
          <w:tab w:val="left" w:pos="360"/>
        </w:tabs>
      </w:pPr>
    </w:lvl>
    <w:lvl w:ilvl="8" w:tentative="0">
      <w:start w:val="0"/>
      <w:numFmt w:val="none"/>
      <w:lvlText w:val=""/>
      <w:lvlJc w:val="left"/>
      <w:pPr>
        <w:tabs>
          <w:tab w:val="left" w:pos="360"/>
        </w:tabs>
      </w:pPr>
    </w:lvl>
  </w:abstractNum>
  <w:abstractNum w:abstractNumId="3">
    <w:nsid w:val="6CEA2025"/>
    <w:multiLevelType w:val="multilevel"/>
    <w:tmpl w:val="6CEA2025"/>
    <w:lvl w:ilvl="0" w:tentative="0">
      <w:start w:val="1"/>
      <w:numFmt w:val="none"/>
      <w:pStyle w:val="45"/>
      <w:suff w:val="nothing"/>
      <w:lvlText w:val="%1"/>
      <w:lvlJc w:val="left"/>
      <w:pPr>
        <w:ind w:left="0" w:firstLine="0"/>
      </w:pPr>
      <w:rPr>
        <w:rFonts w:hint="default" w:ascii="Times New Roman" w:hAnsi="Times New Roman"/>
        <w:b/>
        <w:i w:val="0"/>
        <w:sz w:val="21"/>
      </w:rPr>
    </w:lvl>
    <w:lvl w:ilvl="1" w:tentative="0">
      <w:start w:val="7"/>
      <w:numFmt w:val="decimal"/>
      <w:pStyle w:val="42"/>
      <w:suff w:val="nothing"/>
      <w:lvlText w:val="%1%2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2" w:tentative="0">
      <w:start w:val="1"/>
      <w:numFmt w:val="decimal"/>
      <w:pStyle w:val="43"/>
      <w:suff w:val="nothing"/>
      <w:lvlText w:val="%1%2.%3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3" w:tentative="0">
      <w:start w:val="4"/>
      <w:numFmt w:val="none"/>
      <w:pStyle w:val="44"/>
      <w:suff w:val="nothing"/>
      <w:lvlText w:val="7.4.1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4" w:tentative="0">
      <w:start w:val="1"/>
      <w:numFmt w:val="decimal"/>
      <w:pStyle w:val="46"/>
      <w:suff w:val="nothing"/>
      <w:lvlText w:val="%1%2.%3.%4.%5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5" w:tentative="0">
      <w:start w:val="1"/>
      <w:numFmt w:val="decimal"/>
      <w:pStyle w:val="47"/>
      <w:suff w:val="nothing"/>
      <w:lvlText w:val="%1%2.%3.%4.%5.%6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6" w:tentative="0">
      <w:start w:val="1"/>
      <w:numFmt w:val="decimal"/>
      <w:pStyle w:val="48"/>
      <w:suff w:val="nothing"/>
      <w:lvlText w:val="%1%2.%3.%4.%5.%6.%7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51"/>
        </w:tabs>
        <w:ind w:left="3969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4777"/>
        </w:tabs>
        <w:ind w:left="4677" w:hanging="1700"/>
      </w:pPr>
      <w:rPr>
        <w:rFonts w:hint="eastAsia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trackRevisions w:val="1"/>
  <w:documentProtection w:enforcement="0"/>
  <w:defaultTabStop w:val="420"/>
  <w:doNotHyphenateCaps/>
  <w:evenAndOddHeaders w:val="1"/>
  <w:drawingGridHorizontalSpacing w:val="11"/>
  <w:drawingGridVerticalSpacing w:val="12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zg1Mzg0MWUwOGJmNmRkNzkxNWQ1ODQzZjQ5NjA5OGIifQ=="/>
  </w:docVars>
  <w:rsids>
    <w:rsidRoot w:val="00172A27"/>
    <w:rsid w:val="00002E27"/>
    <w:rsid w:val="000034A0"/>
    <w:rsid w:val="00005453"/>
    <w:rsid w:val="0001338D"/>
    <w:rsid w:val="0001344A"/>
    <w:rsid w:val="0001545B"/>
    <w:rsid w:val="00016038"/>
    <w:rsid w:val="000161FC"/>
    <w:rsid w:val="000203DC"/>
    <w:rsid w:val="00022AC2"/>
    <w:rsid w:val="00027456"/>
    <w:rsid w:val="0002777E"/>
    <w:rsid w:val="00027B7C"/>
    <w:rsid w:val="0003042C"/>
    <w:rsid w:val="0003082D"/>
    <w:rsid w:val="00032512"/>
    <w:rsid w:val="00033FF5"/>
    <w:rsid w:val="00034B3F"/>
    <w:rsid w:val="00036E34"/>
    <w:rsid w:val="00037218"/>
    <w:rsid w:val="00040D98"/>
    <w:rsid w:val="0004247D"/>
    <w:rsid w:val="00043C0D"/>
    <w:rsid w:val="0004522B"/>
    <w:rsid w:val="00052D83"/>
    <w:rsid w:val="0005355C"/>
    <w:rsid w:val="00053C79"/>
    <w:rsid w:val="0005530A"/>
    <w:rsid w:val="000556C1"/>
    <w:rsid w:val="00055AD3"/>
    <w:rsid w:val="00055D62"/>
    <w:rsid w:val="00056398"/>
    <w:rsid w:val="000574C5"/>
    <w:rsid w:val="00060E59"/>
    <w:rsid w:val="00060FF2"/>
    <w:rsid w:val="0006426B"/>
    <w:rsid w:val="0006443B"/>
    <w:rsid w:val="00065842"/>
    <w:rsid w:val="00066B2F"/>
    <w:rsid w:val="00066C9D"/>
    <w:rsid w:val="00066FE4"/>
    <w:rsid w:val="0006705C"/>
    <w:rsid w:val="00067A4B"/>
    <w:rsid w:val="00070FA6"/>
    <w:rsid w:val="000716BC"/>
    <w:rsid w:val="00071E6C"/>
    <w:rsid w:val="00073189"/>
    <w:rsid w:val="00073234"/>
    <w:rsid w:val="0007498A"/>
    <w:rsid w:val="000766C7"/>
    <w:rsid w:val="00076A33"/>
    <w:rsid w:val="000802E4"/>
    <w:rsid w:val="00083609"/>
    <w:rsid w:val="00087E74"/>
    <w:rsid w:val="00091856"/>
    <w:rsid w:val="00092689"/>
    <w:rsid w:val="00092D04"/>
    <w:rsid w:val="00093572"/>
    <w:rsid w:val="000945BA"/>
    <w:rsid w:val="00094C55"/>
    <w:rsid w:val="00097081"/>
    <w:rsid w:val="000A43F2"/>
    <w:rsid w:val="000A4A6F"/>
    <w:rsid w:val="000B1690"/>
    <w:rsid w:val="000B2C54"/>
    <w:rsid w:val="000B2FE5"/>
    <w:rsid w:val="000B3E4C"/>
    <w:rsid w:val="000B3F13"/>
    <w:rsid w:val="000B5098"/>
    <w:rsid w:val="000B7381"/>
    <w:rsid w:val="000C1B09"/>
    <w:rsid w:val="000C3A4E"/>
    <w:rsid w:val="000C53FE"/>
    <w:rsid w:val="000C6104"/>
    <w:rsid w:val="000C6480"/>
    <w:rsid w:val="000C6B13"/>
    <w:rsid w:val="000D529A"/>
    <w:rsid w:val="000D69A7"/>
    <w:rsid w:val="000D69A9"/>
    <w:rsid w:val="000D7234"/>
    <w:rsid w:val="000E239F"/>
    <w:rsid w:val="000E2A5A"/>
    <w:rsid w:val="000E2EFD"/>
    <w:rsid w:val="000F10B1"/>
    <w:rsid w:val="000F2F27"/>
    <w:rsid w:val="000F43D5"/>
    <w:rsid w:val="000F44B5"/>
    <w:rsid w:val="000F4F4E"/>
    <w:rsid w:val="000F4F72"/>
    <w:rsid w:val="000F797F"/>
    <w:rsid w:val="00102BD9"/>
    <w:rsid w:val="00104026"/>
    <w:rsid w:val="00104BEA"/>
    <w:rsid w:val="00105D1E"/>
    <w:rsid w:val="00106853"/>
    <w:rsid w:val="001073D6"/>
    <w:rsid w:val="00107DCF"/>
    <w:rsid w:val="00111114"/>
    <w:rsid w:val="00115884"/>
    <w:rsid w:val="00116729"/>
    <w:rsid w:val="00116AF5"/>
    <w:rsid w:val="0011789F"/>
    <w:rsid w:val="00120744"/>
    <w:rsid w:val="00120DA9"/>
    <w:rsid w:val="00122090"/>
    <w:rsid w:val="0012246A"/>
    <w:rsid w:val="00122D28"/>
    <w:rsid w:val="00123305"/>
    <w:rsid w:val="00123DA6"/>
    <w:rsid w:val="0012685D"/>
    <w:rsid w:val="00126C2A"/>
    <w:rsid w:val="00132C02"/>
    <w:rsid w:val="00133F08"/>
    <w:rsid w:val="001348CC"/>
    <w:rsid w:val="00135B64"/>
    <w:rsid w:val="001373F5"/>
    <w:rsid w:val="0014374A"/>
    <w:rsid w:val="00144878"/>
    <w:rsid w:val="001463B7"/>
    <w:rsid w:val="00151F4C"/>
    <w:rsid w:val="001524E2"/>
    <w:rsid w:val="00153AEE"/>
    <w:rsid w:val="00153E60"/>
    <w:rsid w:val="00154442"/>
    <w:rsid w:val="001567F3"/>
    <w:rsid w:val="00156E48"/>
    <w:rsid w:val="0015786A"/>
    <w:rsid w:val="00161376"/>
    <w:rsid w:val="00161527"/>
    <w:rsid w:val="001618BE"/>
    <w:rsid w:val="001624DC"/>
    <w:rsid w:val="00164BAA"/>
    <w:rsid w:val="00166166"/>
    <w:rsid w:val="00166701"/>
    <w:rsid w:val="001716AD"/>
    <w:rsid w:val="00172A27"/>
    <w:rsid w:val="00174F92"/>
    <w:rsid w:val="001757B4"/>
    <w:rsid w:val="00175BF0"/>
    <w:rsid w:val="00175BFE"/>
    <w:rsid w:val="0018047E"/>
    <w:rsid w:val="00185ACE"/>
    <w:rsid w:val="001876F4"/>
    <w:rsid w:val="0019161E"/>
    <w:rsid w:val="00191F17"/>
    <w:rsid w:val="00192FD5"/>
    <w:rsid w:val="00193000"/>
    <w:rsid w:val="001958E0"/>
    <w:rsid w:val="00195DD1"/>
    <w:rsid w:val="00197C01"/>
    <w:rsid w:val="001A1623"/>
    <w:rsid w:val="001A3440"/>
    <w:rsid w:val="001A3AC5"/>
    <w:rsid w:val="001A4213"/>
    <w:rsid w:val="001A4AEE"/>
    <w:rsid w:val="001A5B67"/>
    <w:rsid w:val="001A5C6A"/>
    <w:rsid w:val="001B4675"/>
    <w:rsid w:val="001B5261"/>
    <w:rsid w:val="001B5580"/>
    <w:rsid w:val="001B7A0F"/>
    <w:rsid w:val="001C0050"/>
    <w:rsid w:val="001C1E4C"/>
    <w:rsid w:val="001C29BD"/>
    <w:rsid w:val="001C3A1F"/>
    <w:rsid w:val="001C4569"/>
    <w:rsid w:val="001C5C20"/>
    <w:rsid w:val="001C67AA"/>
    <w:rsid w:val="001C7C28"/>
    <w:rsid w:val="001D023C"/>
    <w:rsid w:val="001D59EC"/>
    <w:rsid w:val="001E02A9"/>
    <w:rsid w:val="001E067F"/>
    <w:rsid w:val="001E1257"/>
    <w:rsid w:val="001E4B70"/>
    <w:rsid w:val="001E5953"/>
    <w:rsid w:val="001F0C47"/>
    <w:rsid w:val="001F1AEC"/>
    <w:rsid w:val="001F2563"/>
    <w:rsid w:val="001F30D5"/>
    <w:rsid w:val="001F3F4D"/>
    <w:rsid w:val="001F4259"/>
    <w:rsid w:val="001F5829"/>
    <w:rsid w:val="001F5DE7"/>
    <w:rsid w:val="002003F1"/>
    <w:rsid w:val="00200E74"/>
    <w:rsid w:val="0020136A"/>
    <w:rsid w:val="00201517"/>
    <w:rsid w:val="00202272"/>
    <w:rsid w:val="002045A6"/>
    <w:rsid w:val="002047E7"/>
    <w:rsid w:val="0020656E"/>
    <w:rsid w:val="00206D79"/>
    <w:rsid w:val="0020710E"/>
    <w:rsid w:val="00207E82"/>
    <w:rsid w:val="00210EAA"/>
    <w:rsid w:val="00210F19"/>
    <w:rsid w:val="00211B95"/>
    <w:rsid w:val="00211F74"/>
    <w:rsid w:val="0021322A"/>
    <w:rsid w:val="002145DB"/>
    <w:rsid w:val="00214B34"/>
    <w:rsid w:val="0021558A"/>
    <w:rsid w:val="00216591"/>
    <w:rsid w:val="00220349"/>
    <w:rsid w:val="002206CE"/>
    <w:rsid w:val="00220C0A"/>
    <w:rsid w:val="00222E59"/>
    <w:rsid w:val="002326E5"/>
    <w:rsid w:val="00232BB5"/>
    <w:rsid w:val="00232F22"/>
    <w:rsid w:val="00235742"/>
    <w:rsid w:val="00237569"/>
    <w:rsid w:val="00237E2A"/>
    <w:rsid w:val="002403FC"/>
    <w:rsid w:val="00241D0E"/>
    <w:rsid w:val="00243746"/>
    <w:rsid w:val="002445C8"/>
    <w:rsid w:val="002448FC"/>
    <w:rsid w:val="002456A4"/>
    <w:rsid w:val="00246066"/>
    <w:rsid w:val="002468CF"/>
    <w:rsid w:val="00247F17"/>
    <w:rsid w:val="00250C6B"/>
    <w:rsid w:val="002520FF"/>
    <w:rsid w:val="00252AB2"/>
    <w:rsid w:val="002537EF"/>
    <w:rsid w:val="00253B95"/>
    <w:rsid w:val="00254737"/>
    <w:rsid w:val="00254901"/>
    <w:rsid w:val="00254CCE"/>
    <w:rsid w:val="0025533E"/>
    <w:rsid w:val="002565F9"/>
    <w:rsid w:val="0025731E"/>
    <w:rsid w:val="00257C95"/>
    <w:rsid w:val="002613A0"/>
    <w:rsid w:val="00262A33"/>
    <w:rsid w:val="00263A62"/>
    <w:rsid w:val="00264E56"/>
    <w:rsid w:val="002708AC"/>
    <w:rsid w:val="002716DC"/>
    <w:rsid w:val="002720AD"/>
    <w:rsid w:val="00272BA6"/>
    <w:rsid w:val="002751DB"/>
    <w:rsid w:val="002754BA"/>
    <w:rsid w:val="00275EB9"/>
    <w:rsid w:val="00280D23"/>
    <w:rsid w:val="002824B0"/>
    <w:rsid w:val="00284755"/>
    <w:rsid w:val="00284C53"/>
    <w:rsid w:val="0028511E"/>
    <w:rsid w:val="002866FA"/>
    <w:rsid w:val="00290CEE"/>
    <w:rsid w:val="00293ACA"/>
    <w:rsid w:val="00296250"/>
    <w:rsid w:val="0029739D"/>
    <w:rsid w:val="00297E5F"/>
    <w:rsid w:val="002A5232"/>
    <w:rsid w:val="002A559D"/>
    <w:rsid w:val="002B1008"/>
    <w:rsid w:val="002B2FA6"/>
    <w:rsid w:val="002B65BD"/>
    <w:rsid w:val="002B7B67"/>
    <w:rsid w:val="002C090D"/>
    <w:rsid w:val="002C1F3F"/>
    <w:rsid w:val="002C350E"/>
    <w:rsid w:val="002C40BE"/>
    <w:rsid w:val="002C6B78"/>
    <w:rsid w:val="002C6CD9"/>
    <w:rsid w:val="002D3AF7"/>
    <w:rsid w:val="002D5663"/>
    <w:rsid w:val="002D70DD"/>
    <w:rsid w:val="002D73D4"/>
    <w:rsid w:val="002E0097"/>
    <w:rsid w:val="002E1B09"/>
    <w:rsid w:val="002E1DE9"/>
    <w:rsid w:val="002E2842"/>
    <w:rsid w:val="002E3E1A"/>
    <w:rsid w:val="002E4CC0"/>
    <w:rsid w:val="002E7514"/>
    <w:rsid w:val="002F136F"/>
    <w:rsid w:val="002F15B6"/>
    <w:rsid w:val="002F19E8"/>
    <w:rsid w:val="002F22D6"/>
    <w:rsid w:val="002F51BA"/>
    <w:rsid w:val="002F5E07"/>
    <w:rsid w:val="002F72EB"/>
    <w:rsid w:val="003002F4"/>
    <w:rsid w:val="003009AC"/>
    <w:rsid w:val="0030155C"/>
    <w:rsid w:val="00302A15"/>
    <w:rsid w:val="00304061"/>
    <w:rsid w:val="00310143"/>
    <w:rsid w:val="00310D3D"/>
    <w:rsid w:val="00312FC0"/>
    <w:rsid w:val="00313C54"/>
    <w:rsid w:val="003151DD"/>
    <w:rsid w:val="00316270"/>
    <w:rsid w:val="00316395"/>
    <w:rsid w:val="00316EFC"/>
    <w:rsid w:val="003228B7"/>
    <w:rsid w:val="00322FA9"/>
    <w:rsid w:val="00325183"/>
    <w:rsid w:val="00325921"/>
    <w:rsid w:val="00330145"/>
    <w:rsid w:val="003310D9"/>
    <w:rsid w:val="00332E0E"/>
    <w:rsid w:val="0033649B"/>
    <w:rsid w:val="003400FE"/>
    <w:rsid w:val="003431F1"/>
    <w:rsid w:val="00343490"/>
    <w:rsid w:val="00345F87"/>
    <w:rsid w:val="00346416"/>
    <w:rsid w:val="003528F2"/>
    <w:rsid w:val="00354038"/>
    <w:rsid w:val="003544EA"/>
    <w:rsid w:val="0035545D"/>
    <w:rsid w:val="00356B22"/>
    <w:rsid w:val="003570A3"/>
    <w:rsid w:val="00360B79"/>
    <w:rsid w:val="00363BAA"/>
    <w:rsid w:val="0036524B"/>
    <w:rsid w:val="00365EA6"/>
    <w:rsid w:val="003662F7"/>
    <w:rsid w:val="00366C02"/>
    <w:rsid w:val="00370380"/>
    <w:rsid w:val="003714EC"/>
    <w:rsid w:val="00373C69"/>
    <w:rsid w:val="00374196"/>
    <w:rsid w:val="00374705"/>
    <w:rsid w:val="0037648D"/>
    <w:rsid w:val="00377997"/>
    <w:rsid w:val="00381F95"/>
    <w:rsid w:val="003825F8"/>
    <w:rsid w:val="00385298"/>
    <w:rsid w:val="0039062D"/>
    <w:rsid w:val="00391444"/>
    <w:rsid w:val="00393B44"/>
    <w:rsid w:val="0039406B"/>
    <w:rsid w:val="00397873"/>
    <w:rsid w:val="003A0925"/>
    <w:rsid w:val="003A2D71"/>
    <w:rsid w:val="003A43B3"/>
    <w:rsid w:val="003A4723"/>
    <w:rsid w:val="003A7699"/>
    <w:rsid w:val="003A7F04"/>
    <w:rsid w:val="003B0BDE"/>
    <w:rsid w:val="003B10CD"/>
    <w:rsid w:val="003B2258"/>
    <w:rsid w:val="003B7472"/>
    <w:rsid w:val="003C0148"/>
    <w:rsid w:val="003C1EC5"/>
    <w:rsid w:val="003C2747"/>
    <w:rsid w:val="003C2A5F"/>
    <w:rsid w:val="003C4645"/>
    <w:rsid w:val="003C4E7B"/>
    <w:rsid w:val="003C5BB2"/>
    <w:rsid w:val="003C6A58"/>
    <w:rsid w:val="003C7020"/>
    <w:rsid w:val="003D0A12"/>
    <w:rsid w:val="003D257E"/>
    <w:rsid w:val="003D2851"/>
    <w:rsid w:val="003E1FDF"/>
    <w:rsid w:val="003E2D96"/>
    <w:rsid w:val="003E45DE"/>
    <w:rsid w:val="003E5EAC"/>
    <w:rsid w:val="003E6F35"/>
    <w:rsid w:val="003E7B3E"/>
    <w:rsid w:val="003F036F"/>
    <w:rsid w:val="003F128B"/>
    <w:rsid w:val="003F15AA"/>
    <w:rsid w:val="003F190E"/>
    <w:rsid w:val="003F1B5C"/>
    <w:rsid w:val="003F4A3E"/>
    <w:rsid w:val="003F7441"/>
    <w:rsid w:val="003F7886"/>
    <w:rsid w:val="003F7908"/>
    <w:rsid w:val="003F7C0D"/>
    <w:rsid w:val="004010B7"/>
    <w:rsid w:val="00401D11"/>
    <w:rsid w:val="00402BF8"/>
    <w:rsid w:val="00404EFD"/>
    <w:rsid w:val="00405057"/>
    <w:rsid w:val="00412F10"/>
    <w:rsid w:val="00413755"/>
    <w:rsid w:val="004142C5"/>
    <w:rsid w:val="004155FC"/>
    <w:rsid w:val="00416F36"/>
    <w:rsid w:val="004174E9"/>
    <w:rsid w:val="00417FD8"/>
    <w:rsid w:val="0042031F"/>
    <w:rsid w:val="0042033A"/>
    <w:rsid w:val="004203B5"/>
    <w:rsid w:val="00420BF4"/>
    <w:rsid w:val="00421E74"/>
    <w:rsid w:val="00424227"/>
    <w:rsid w:val="00424646"/>
    <w:rsid w:val="00424B9F"/>
    <w:rsid w:val="00425A50"/>
    <w:rsid w:val="00427537"/>
    <w:rsid w:val="00432C83"/>
    <w:rsid w:val="004342D1"/>
    <w:rsid w:val="00434BF6"/>
    <w:rsid w:val="00435E6A"/>
    <w:rsid w:val="0043610E"/>
    <w:rsid w:val="00440D17"/>
    <w:rsid w:val="00442B0E"/>
    <w:rsid w:val="00443AE4"/>
    <w:rsid w:val="00444167"/>
    <w:rsid w:val="0044549E"/>
    <w:rsid w:val="00447180"/>
    <w:rsid w:val="004478DA"/>
    <w:rsid w:val="0045090D"/>
    <w:rsid w:val="00452436"/>
    <w:rsid w:val="00452ACC"/>
    <w:rsid w:val="004544C5"/>
    <w:rsid w:val="00461A0F"/>
    <w:rsid w:val="00463EBC"/>
    <w:rsid w:val="00464550"/>
    <w:rsid w:val="004664C4"/>
    <w:rsid w:val="00467050"/>
    <w:rsid w:val="00467E27"/>
    <w:rsid w:val="00470919"/>
    <w:rsid w:val="00471229"/>
    <w:rsid w:val="004757EA"/>
    <w:rsid w:val="00475974"/>
    <w:rsid w:val="00475FCA"/>
    <w:rsid w:val="0048074C"/>
    <w:rsid w:val="00481487"/>
    <w:rsid w:val="00481FE8"/>
    <w:rsid w:val="00482321"/>
    <w:rsid w:val="00482BF8"/>
    <w:rsid w:val="00484F2B"/>
    <w:rsid w:val="004851B6"/>
    <w:rsid w:val="0048572E"/>
    <w:rsid w:val="00490D73"/>
    <w:rsid w:val="004924AE"/>
    <w:rsid w:val="00493663"/>
    <w:rsid w:val="00495699"/>
    <w:rsid w:val="004956F3"/>
    <w:rsid w:val="00497AEA"/>
    <w:rsid w:val="004A1309"/>
    <w:rsid w:val="004A5404"/>
    <w:rsid w:val="004A6411"/>
    <w:rsid w:val="004A7890"/>
    <w:rsid w:val="004B0397"/>
    <w:rsid w:val="004B2153"/>
    <w:rsid w:val="004B32FD"/>
    <w:rsid w:val="004B34ED"/>
    <w:rsid w:val="004B51C4"/>
    <w:rsid w:val="004B5B14"/>
    <w:rsid w:val="004B5BAC"/>
    <w:rsid w:val="004B658E"/>
    <w:rsid w:val="004B68F8"/>
    <w:rsid w:val="004B6934"/>
    <w:rsid w:val="004B789C"/>
    <w:rsid w:val="004B7B8D"/>
    <w:rsid w:val="004C067D"/>
    <w:rsid w:val="004C0A85"/>
    <w:rsid w:val="004C11E8"/>
    <w:rsid w:val="004C1491"/>
    <w:rsid w:val="004C1F77"/>
    <w:rsid w:val="004C331B"/>
    <w:rsid w:val="004C353A"/>
    <w:rsid w:val="004C3AD7"/>
    <w:rsid w:val="004C5A83"/>
    <w:rsid w:val="004C657B"/>
    <w:rsid w:val="004C7828"/>
    <w:rsid w:val="004C7A49"/>
    <w:rsid w:val="004D22E2"/>
    <w:rsid w:val="004D3736"/>
    <w:rsid w:val="004D37D0"/>
    <w:rsid w:val="004D611B"/>
    <w:rsid w:val="004E384D"/>
    <w:rsid w:val="004E435C"/>
    <w:rsid w:val="004E5013"/>
    <w:rsid w:val="004E61AD"/>
    <w:rsid w:val="004E6D56"/>
    <w:rsid w:val="004F05B2"/>
    <w:rsid w:val="004F360C"/>
    <w:rsid w:val="004F7A2A"/>
    <w:rsid w:val="004F7F61"/>
    <w:rsid w:val="005005FD"/>
    <w:rsid w:val="00500E09"/>
    <w:rsid w:val="005013A4"/>
    <w:rsid w:val="00501955"/>
    <w:rsid w:val="00503391"/>
    <w:rsid w:val="0050342F"/>
    <w:rsid w:val="005061C2"/>
    <w:rsid w:val="00507A09"/>
    <w:rsid w:val="00507FE6"/>
    <w:rsid w:val="00510C39"/>
    <w:rsid w:val="0051109E"/>
    <w:rsid w:val="00512F4E"/>
    <w:rsid w:val="00513100"/>
    <w:rsid w:val="00513949"/>
    <w:rsid w:val="00514996"/>
    <w:rsid w:val="00517D03"/>
    <w:rsid w:val="00523B64"/>
    <w:rsid w:val="005246C2"/>
    <w:rsid w:val="00524F4F"/>
    <w:rsid w:val="0052567A"/>
    <w:rsid w:val="0052605B"/>
    <w:rsid w:val="005274E0"/>
    <w:rsid w:val="00527C08"/>
    <w:rsid w:val="00530B8F"/>
    <w:rsid w:val="0053126D"/>
    <w:rsid w:val="00531989"/>
    <w:rsid w:val="00532F3D"/>
    <w:rsid w:val="00533A8F"/>
    <w:rsid w:val="00533F1F"/>
    <w:rsid w:val="00534917"/>
    <w:rsid w:val="00540FE0"/>
    <w:rsid w:val="00541816"/>
    <w:rsid w:val="00541D8A"/>
    <w:rsid w:val="00542323"/>
    <w:rsid w:val="0054278F"/>
    <w:rsid w:val="005441F4"/>
    <w:rsid w:val="005461C8"/>
    <w:rsid w:val="005556DD"/>
    <w:rsid w:val="00555BD9"/>
    <w:rsid w:val="00561503"/>
    <w:rsid w:val="0056167D"/>
    <w:rsid w:val="005616D0"/>
    <w:rsid w:val="00562283"/>
    <w:rsid w:val="005622F8"/>
    <w:rsid w:val="00562627"/>
    <w:rsid w:val="005645CB"/>
    <w:rsid w:val="00565308"/>
    <w:rsid w:val="005700EC"/>
    <w:rsid w:val="005701D3"/>
    <w:rsid w:val="00570937"/>
    <w:rsid w:val="00571201"/>
    <w:rsid w:val="00571C82"/>
    <w:rsid w:val="00573858"/>
    <w:rsid w:val="00575D97"/>
    <w:rsid w:val="00576615"/>
    <w:rsid w:val="005767D6"/>
    <w:rsid w:val="00577E4E"/>
    <w:rsid w:val="00582442"/>
    <w:rsid w:val="00582F0A"/>
    <w:rsid w:val="0058327D"/>
    <w:rsid w:val="005841A8"/>
    <w:rsid w:val="00584ECB"/>
    <w:rsid w:val="0058592F"/>
    <w:rsid w:val="005861D7"/>
    <w:rsid w:val="00590AA2"/>
    <w:rsid w:val="005911C0"/>
    <w:rsid w:val="0059525A"/>
    <w:rsid w:val="00595FAA"/>
    <w:rsid w:val="00597BB6"/>
    <w:rsid w:val="005A1A9D"/>
    <w:rsid w:val="005A217E"/>
    <w:rsid w:val="005A3A31"/>
    <w:rsid w:val="005A4060"/>
    <w:rsid w:val="005A745D"/>
    <w:rsid w:val="005A7634"/>
    <w:rsid w:val="005B3BE5"/>
    <w:rsid w:val="005B7ABC"/>
    <w:rsid w:val="005C2B51"/>
    <w:rsid w:val="005C32FF"/>
    <w:rsid w:val="005C34F9"/>
    <w:rsid w:val="005C43AA"/>
    <w:rsid w:val="005C5E16"/>
    <w:rsid w:val="005C782D"/>
    <w:rsid w:val="005D178C"/>
    <w:rsid w:val="005D3F68"/>
    <w:rsid w:val="005D5A90"/>
    <w:rsid w:val="005E1540"/>
    <w:rsid w:val="005E1C94"/>
    <w:rsid w:val="005E4526"/>
    <w:rsid w:val="005E61FF"/>
    <w:rsid w:val="005E6691"/>
    <w:rsid w:val="005E6FBB"/>
    <w:rsid w:val="005F0662"/>
    <w:rsid w:val="005F0EF1"/>
    <w:rsid w:val="005F2388"/>
    <w:rsid w:val="005F61F5"/>
    <w:rsid w:val="005F7C9A"/>
    <w:rsid w:val="0060502E"/>
    <w:rsid w:val="00606360"/>
    <w:rsid w:val="00607AF3"/>
    <w:rsid w:val="00610B51"/>
    <w:rsid w:val="00611487"/>
    <w:rsid w:val="00611FA8"/>
    <w:rsid w:val="00614F67"/>
    <w:rsid w:val="00615FE7"/>
    <w:rsid w:val="006162DC"/>
    <w:rsid w:val="00616A41"/>
    <w:rsid w:val="0061707E"/>
    <w:rsid w:val="00621037"/>
    <w:rsid w:val="00621130"/>
    <w:rsid w:val="0062624B"/>
    <w:rsid w:val="006271C8"/>
    <w:rsid w:val="006347F3"/>
    <w:rsid w:val="00635FC0"/>
    <w:rsid w:val="00636D66"/>
    <w:rsid w:val="00636F72"/>
    <w:rsid w:val="00637A61"/>
    <w:rsid w:val="0064139A"/>
    <w:rsid w:val="0064149C"/>
    <w:rsid w:val="00641710"/>
    <w:rsid w:val="00642DEB"/>
    <w:rsid w:val="006432ED"/>
    <w:rsid w:val="006432F7"/>
    <w:rsid w:val="006437D9"/>
    <w:rsid w:val="00645459"/>
    <w:rsid w:val="00645E7A"/>
    <w:rsid w:val="006460FB"/>
    <w:rsid w:val="00646DC8"/>
    <w:rsid w:val="00652FD3"/>
    <w:rsid w:val="0065520F"/>
    <w:rsid w:val="00660949"/>
    <w:rsid w:val="006623E4"/>
    <w:rsid w:val="006626DF"/>
    <w:rsid w:val="00663203"/>
    <w:rsid w:val="006636F1"/>
    <w:rsid w:val="00664FE3"/>
    <w:rsid w:val="006654F4"/>
    <w:rsid w:val="006657DE"/>
    <w:rsid w:val="00666008"/>
    <w:rsid w:val="0066636F"/>
    <w:rsid w:val="006675DE"/>
    <w:rsid w:val="006677AF"/>
    <w:rsid w:val="00667F83"/>
    <w:rsid w:val="00671124"/>
    <w:rsid w:val="00671160"/>
    <w:rsid w:val="00673411"/>
    <w:rsid w:val="00676E20"/>
    <w:rsid w:val="00677C01"/>
    <w:rsid w:val="00682148"/>
    <w:rsid w:val="006828DF"/>
    <w:rsid w:val="00683F75"/>
    <w:rsid w:val="0068418F"/>
    <w:rsid w:val="00686CFA"/>
    <w:rsid w:val="006874AF"/>
    <w:rsid w:val="006921B9"/>
    <w:rsid w:val="00692EFD"/>
    <w:rsid w:val="006949DB"/>
    <w:rsid w:val="006950BF"/>
    <w:rsid w:val="006954E3"/>
    <w:rsid w:val="00695FA0"/>
    <w:rsid w:val="006963FA"/>
    <w:rsid w:val="00696857"/>
    <w:rsid w:val="006A0B80"/>
    <w:rsid w:val="006A2CAD"/>
    <w:rsid w:val="006A2D97"/>
    <w:rsid w:val="006A3CFF"/>
    <w:rsid w:val="006A5076"/>
    <w:rsid w:val="006A62EF"/>
    <w:rsid w:val="006A7CFD"/>
    <w:rsid w:val="006B027D"/>
    <w:rsid w:val="006B1B6E"/>
    <w:rsid w:val="006B1C02"/>
    <w:rsid w:val="006B2989"/>
    <w:rsid w:val="006B3038"/>
    <w:rsid w:val="006B350B"/>
    <w:rsid w:val="006B3BBB"/>
    <w:rsid w:val="006B6523"/>
    <w:rsid w:val="006B6BB6"/>
    <w:rsid w:val="006B70C9"/>
    <w:rsid w:val="006C1009"/>
    <w:rsid w:val="006C1C0D"/>
    <w:rsid w:val="006C1E84"/>
    <w:rsid w:val="006C48C4"/>
    <w:rsid w:val="006C573D"/>
    <w:rsid w:val="006C68A1"/>
    <w:rsid w:val="006C7822"/>
    <w:rsid w:val="006D047B"/>
    <w:rsid w:val="006D0CC3"/>
    <w:rsid w:val="006D1185"/>
    <w:rsid w:val="006D299F"/>
    <w:rsid w:val="006D540D"/>
    <w:rsid w:val="006D7682"/>
    <w:rsid w:val="006E1109"/>
    <w:rsid w:val="006E2FBA"/>
    <w:rsid w:val="006E3E74"/>
    <w:rsid w:val="006E41A8"/>
    <w:rsid w:val="006E6A15"/>
    <w:rsid w:val="006F0E2D"/>
    <w:rsid w:val="006F27EB"/>
    <w:rsid w:val="006F3CE6"/>
    <w:rsid w:val="006F5010"/>
    <w:rsid w:val="006F59F4"/>
    <w:rsid w:val="006F6E8A"/>
    <w:rsid w:val="006F78A3"/>
    <w:rsid w:val="007026C6"/>
    <w:rsid w:val="00704956"/>
    <w:rsid w:val="0070798D"/>
    <w:rsid w:val="00712465"/>
    <w:rsid w:val="0071322B"/>
    <w:rsid w:val="0071342C"/>
    <w:rsid w:val="00714083"/>
    <w:rsid w:val="00714A61"/>
    <w:rsid w:val="00715520"/>
    <w:rsid w:val="00715796"/>
    <w:rsid w:val="007177EE"/>
    <w:rsid w:val="007179C7"/>
    <w:rsid w:val="00720253"/>
    <w:rsid w:val="00723309"/>
    <w:rsid w:val="00726F09"/>
    <w:rsid w:val="00726FC8"/>
    <w:rsid w:val="00732016"/>
    <w:rsid w:val="00732222"/>
    <w:rsid w:val="007331E8"/>
    <w:rsid w:val="00733652"/>
    <w:rsid w:val="007338A0"/>
    <w:rsid w:val="007339BE"/>
    <w:rsid w:val="00733D15"/>
    <w:rsid w:val="00733EA3"/>
    <w:rsid w:val="00734C0F"/>
    <w:rsid w:val="00734CD5"/>
    <w:rsid w:val="00736D30"/>
    <w:rsid w:val="007401AC"/>
    <w:rsid w:val="00742070"/>
    <w:rsid w:val="00742776"/>
    <w:rsid w:val="00743F62"/>
    <w:rsid w:val="0074632E"/>
    <w:rsid w:val="0075043A"/>
    <w:rsid w:val="0075330D"/>
    <w:rsid w:val="0075387D"/>
    <w:rsid w:val="00755817"/>
    <w:rsid w:val="007559C3"/>
    <w:rsid w:val="00756F82"/>
    <w:rsid w:val="00757294"/>
    <w:rsid w:val="00757429"/>
    <w:rsid w:val="00760DF3"/>
    <w:rsid w:val="00764BD9"/>
    <w:rsid w:val="00765F5F"/>
    <w:rsid w:val="00772B84"/>
    <w:rsid w:val="00773ED9"/>
    <w:rsid w:val="00774980"/>
    <w:rsid w:val="00775226"/>
    <w:rsid w:val="00777546"/>
    <w:rsid w:val="00777B35"/>
    <w:rsid w:val="0078050F"/>
    <w:rsid w:val="007815CC"/>
    <w:rsid w:val="00781C9D"/>
    <w:rsid w:val="00783064"/>
    <w:rsid w:val="007834B7"/>
    <w:rsid w:val="0078443C"/>
    <w:rsid w:val="00787E76"/>
    <w:rsid w:val="0079495C"/>
    <w:rsid w:val="00794EA7"/>
    <w:rsid w:val="00795876"/>
    <w:rsid w:val="00795D94"/>
    <w:rsid w:val="007960FB"/>
    <w:rsid w:val="007964EF"/>
    <w:rsid w:val="00796644"/>
    <w:rsid w:val="00797169"/>
    <w:rsid w:val="007A3214"/>
    <w:rsid w:val="007A3378"/>
    <w:rsid w:val="007A3FC0"/>
    <w:rsid w:val="007A4D8B"/>
    <w:rsid w:val="007A54FE"/>
    <w:rsid w:val="007A7665"/>
    <w:rsid w:val="007A7E4A"/>
    <w:rsid w:val="007B00C8"/>
    <w:rsid w:val="007B107D"/>
    <w:rsid w:val="007B1CF3"/>
    <w:rsid w:val="007B1E92"/>
    <w:rsid w:val="007B6B9E"/>
    <w:rsid w:val="007C2EFB"/>
    <w:rsid w:val="007C2FB2"/>
    <w:rsid w:val="007C52C0"/>
    <w:rsid w:val="007C56C2"/>
    <w:rsid w:val="007C590E"/>
    <w:rsid w:val="007C60EC"/>
    <w:rsid w:val="007D0967"/>
    <w:rsid w:val="007D0BC6"/>
    <w:rsid w:val="007D74CF"/>
    <w:rsid w:val="007E13B5"/>
    <w:rsid w:val="007E1A7F"/>
    <w:rsid w:val="007E3A44"/>
    <w:rsid w:val="007E483E"/>
    <w:rsid w:val="007E606C"/>
    <w:rsid w:val="007E6229"/>
    <w:rsid w:val="007F13FC"/>
    <w:rsid w:val="007F1B2C"/>
    <w:rsid w:val="007F2FD1"/>
    <w:rsid w:val="00800D02"/>
    <w:rsid w:val="00801545"/>
    <w:rsid w:val="00801F9A"/>
    <w:rsid w:val="00802A12"/>
    <w:rsid w:val="00803575"/>
    <w:rsid w:val="0080462B"/>
    <w:rsid w:val="0080774D"/>
    <w:rsid w:val="00810549"/>
    <w:rsid w:val="008110A5"/>
    <w:rsid w:val="00814FD7"/>
    <w:rsid w:val="00815902"/>
    <w:rsid w:val="00815D58"/>
    <w:rsid w:val="00816304"/>
    <w:rsid w:val="008165DF"/>
    <w:rsid w:val="00816875"/>
    <w:rsid w:val="008174F1"/>
    <w:rsid w:val="008178F3"/>
    <w:rsid w:val="00817B5C"/>
    <w:rsid w:val="0082075E"/>
    <w:rsid w:val="008218AC"/>
    <w:rsid w:val="008233D8"/>
    <w:rsid w:val="00825D3A"/>
    <w:rsid w:val="00826B0B"/>
    <w:rsid w:val="00830A24"/>
    <w:rsid w:val="00831542"/>
    <w:rsid w:val="00831E60"/>
    <w:rsid w:val="00831FEE"/>
    <w:rsid w:val="0083273B"/>
    <w:rsid w:val="00833929"/>
    <w:rsid w:val="00834204"/>
    <w:rsid w:val="008361A5"/>
    <w:rsid w:val="008377A1"/>
    <w:rsid w:val="00837C20"/>
    <w:rsid w:val="00840E72"/>
    <w:rsid w:val="00844ADB"/>
    <w:rsid w:val="0084677C"/>
    <w:rsid w:val="00846ACF"/>
    <w:rsid w:val="008470D9"/>
    <w:rsid w:val="00850A19"/>
    <w:rsid w:val="00851B50"/>
    <w:rsid w:val="008544E6"/>
    <w:rsid w:val="00855742"/>
    <w:rsid w:val="008564AE"/>
    <w:rsid w:val="0085651C"/>
    <w:rsid w:val="00856907"/>
    <w:rsid w:val="00860FFC"/>
    <w:rsid w:val="00864D83"/>
    <w:rsid w:val="008652A1"/>
    <w:rsid w:val="00865FFB"/>
    <w:rsid w:val="00866046"/>
    <w:rsid w:val="00867C71"/>
    <w:rsid w:val="00867C8D"/>
    <w:rsid w:val="00870D39"/>
    <w:rsid w:val="00872A1E"/>
    <w:rsid w:val="00872AA9"/>
    <w:rsid w:val="008735BD"/>
    <w:rsid w:val="00873951"/>
    <w:rsid w:val="008745C7"/>
    <w:rsid w:val="00877A9F"/>
    <w:rsid w:val="00877C4D"/>
    <w:rsid w:val="0088039D"/>
    <w:rsid w:val="00881838"/>
    <w:rsid w:val="008822CE"/>
    <w:rsid w:val="008842F4"/>
    <w:rsid w:val="008854C7"/>
    <w:rsid w:val="00885B1C"/>
    <w:rsid w:val="008911EE"/>
    <w:rsid w:val="00891A1D"/>
    <w:rsid w:val="00891EBA"/>
    <w:rsid w:val="00892077"/>
    <w:rsid w:val="00892F87"/>
    <w:rsid w:val="00894A54"/>
    <w:rsid w:val="008950D6"/>
    <w:rsid w:val="00896CB4"/>
    <w:rsid w:val="00897B08"/>
    <w:rsid w:val="008A027E"/>
    <w:rsid w:val="008A08E4"/>
    <w:rsid w:val="008A099C"/>
    <w:rsid w:val="008A1C28"/>
    <w:rsid w:val="008A2130"/>
    <w:rsid w:val="008A3942"/>
    <w:rsid w:val="008A47E4"/>
    <w:rsid w:val="008A6111"/>
    <w:rsid w:val="008A7803"/>
    <w:rsid w:val="008B0BF1"/>
    <w:rsid w:val="008B1488"/>
    <w:rsid w:val="008B5C11"/>
    <w:rsid w:val="008B6E84"/>
    <w:rsid w:val="008B6ED6"/>
    <w:rsid w:val="008B7C4B"/>
    <w:rsid w:val="008C1428"/>
    <w:rsid w:val="008C4577"/>
    <w:rsid w:val="008C4B5F"/>
    <w:rsid w:val="008C4C25"/>
    <w:rsid w:val="008C6E38"/>
    <w:rsid w:val="008D2CE9"/>
    <w:rsid w:val="008D313A"/>
    <w:rsid w:val="008D3435"/>
    <w:rsid w:val="008D4F51"/>
    <w:rsid w:val="008D541F"/>
    <w:rsid w:val="008E0581"/>
    <w:rsid w:val="008E0D05"/>
    <w:rsid w:val="008E1D0E"/>
    <w:rsid w:val="008E2979"/>
    <w:rsid w:val="008E44E7"/>
    <w:rsid w:val="008E6946"/>
    <w:rsid w:val="008E7BFA"/>
    <w:rsid w:val="008E7C50"/>
    <w:rsid w:val="008E7CCD"/>
    <w:rsid w:val="008F18C3"/>
    <w:rsid w:val="008F1D49"/>
    <w:rsid w:val="008F5270"/>
    <w:rsid w:val="008F6E8E"/>
    <w:rsid w:val="008F6F58"/>
    <w:rsid w:val="008F747F"/>
    <w:rsid w:val="008F7855"/>
    <w:rsid w:val="00900B5C"/>
    <w:rsid w:val="0090688F"/>
    <w:rsid w:val="0091021D"/>
    <w:rsid w:val="00910B87"/>
    <w:rsid w:val="009113B1"/>
    <w:rsid w:val="00911F1F"/>
    <w:rsid w:val="00912D49"/>
    <w:rsid w:val="00912FF5"/>
    <w:rsid w:val="0091333A"/>
    <w:rsid w:val="00914869"/>
    <w:rsid w:val="009149FE"/>
    <w:rsid w:val="00915114"/>
    <w:rsid w:val="0091547C"/>
    <w:rsid w:val="00915527"/>
    <w:rsid w:val="00916787"/>
    <w:rsid w:val="0092434A"/>
    <w:rsid w:val="00924A19"/>
    <w:rsid w:val="0092547E"/>
    <w:rsid w:val="009256CA"/>
    <w:rsid w:val="00925777"/>
    <w:rsid w:val="00926D46"/>
    <w:rsid w:val="00926F2C"/>
    <w:rsid w:val="0092796C"/>
    <w:rsid w:val="0093335E"/>
    <w:rsid w:val="00933D38"/>
    <w:rsid w:val="00934F9C"/>
    <w:rsid w:val="009364E3"/>
    <w:rsid w:val="00940538"/>
    <w:rsid w:val="009416BF"/>
    <w:rsid w:val="00942DA9"/>
    <w:rsid w:val="00943098"/>
    <w:rsid w:val="009467A1"/>
    <w:rsid w:val="00951251"/>
    <w:rsid w:val="009523C7"/>
    <w:rsid w:val="00955638"/>
    <w:rsid w:val="00955DA8"/>
    <w:rsid w:val="00961BA6"/>
    <w:rsid w:val="0096266D"/>
    <w:rsid w:val="00963782"/>
    <w:rsid w:val="00964B50"/>
    <w:rsid w:val="00965F3A"/>
    <w:rsid w:val="00965FE9"/>
    <w:rsid w:val="00967207"/>
    <w:rsid w:val="0096728C"/>
    <w:rsid w:val="009675DD"/>
    <w:rsid w:val="009718A8"/>
    <w:rsid w:val="009725CA"/>
    <w:rsid w:val="009749CA"/>
    <w:rsid w:val="009761C1"/>
    <w:rsid w:val="00976985"/>
    <w:rsid w:val="0098111B"/>
    <w:rsid w:val="00981564"/>
    <w:rsid w:val="009848A0"/>
    <w:rsid w:val="00985466"/>
    <w:rsid w:val="00993161"/>
    <w:rsid w:val="00993F28"/>
    <w:rsid w:val="0099498B"/>
    <w:rsid w:val="00994F6A"/>
    <w:rsid w:val="00996702"/>
    <w:rsid w:val="00996855"/>
    <w:rsid w:val="00997541"/>
    <w:rsid w:val="009A0A6F"/>
    <w:rsid w:val="009A0B62"/>
    <w:rsid w:val="009A0F92"/>
    <w:rsid w:val="009A1251"/>
    <w:rsid w:val="009A3251"/>
    <w:rsid w:val="009A4DE4"/>
    <w:rsid w:val="009A6157"/>
    <w:rsid w:val="009A6934"/>
    <w:rsid w:val="009A6938"/>
    <w:rsid w:val="009A771F"/>
    <w:rsid w:val="009B16FE"/>
    <w:rsid w:val="009B22A8"/>
    <w:rsid w:val="009B2837"/>
    <w:rsid w:val="009B2AA3"/>
    <w:rsid w:val="009B2F9E"/>
    <w:rsid w:val="009B5636"/>
    <w:rsid w:val="009B5DD9"/>
    <w:rsid w:val="009C04CA"/>
    <w:rsid w:val="009C0A57"/>
    <w:rsid w:val="009C1AA9"/>
    <w:rsid w:val="009C359F"/>
    <w:rsid w:val="009C5CA5"/>
    <w:rsid w:val="009C7A8E"/>
    <w:rsid w:val="009D0CE8"/>
    <w:rsid w:val="009D2D25"/>
    <w:rsid w:val="009D64D8"/>
    <w:rsid w:val="009D7849"/>
    <w:rsid w:val="009D7B13"/>
    <w:rsid w:val="009E1B54"/>
    <w:rsid w:val="009E63EE"/>
    <w:rsid w:val="009E7FBC"/>
    <w:rsid w:val="009F1EF2"/>
    <w:rsid w:val="009F2765"/>
    <w:rsid w:val="009F283D"/>
    <w:rsid w:val="009F2E15"/>
    <w:rsid w:val="009F3532"/>
    <w:rsid w:val="009F4745"/>
    <w:rsid w:val="009F7084"/>
    <w:rsid w:val="00A00811"/>
    <w:rsid w:val="00A02E77"/>
    <w:rsid w:val="00A030B7"/>
    <w:rsid w:val="00A03144"/>
    <w:rsid w:val="00A03788"/>
    <w:rsid w:val="00A05D17"/>
    <w:rsid w:val="00A073FA"/>
    <w:rsid w:val="00A10030"/>
    <w:rsid w:val="00A11AC6"/>
    <w:rsid w:val="00A12203"/>
    <w:rsid w:val="00A124DB"/>
    <w:rsid w:val="00A14BD5"/>
    <w:rsid w:val="00A16557"/>
    <w:rsid w:val="00A16601"/>
    <w:rsid w:val="00A20667"/>
    <w:rsid w:val="00A20AD8"/>
    <w:rsid w:val="00A24812"/>
    <w:rsid w:val="00A2536A"/>
    <w:rsid w:val="00A30696"/>
    <w:rsid w:val="00A31580"/>
    <w:rsid w:val="00A3370C"/>
    <w:rsid w:val="00A3569A"/>
    <w:rsid w:val="00A4368F"/>
    <w:rsid w:val="00A44AD3"/>
    <w:rsid w:val="00A44AF1"/>
    <w:rsid w:val="00A44F54"/>
    <w:rsid w:val="00A45555"/>
    <w:rsid w:val="00A45C95"/>
    <w:rsid w:val="00A50F17"/>
    <w:rsid w:val="00A510E1"/>
    <w:rsid w:val="00A517D5"/>
    <w:rsid w:val="00A52F4C"/>
    <w:rsid w:val="00A54540"/>
    <w:rsid w:val="00A54713"/>
    <w:rsid w:val="00A556F5"/>
    <w:rsid w:val="00A57D96"/>
    <w:rsid w:val="00A60B11"/>
    <w:rsid w:val="00A61816"/>
    <w:rsid w:val="00A61B07"/>
    <w:rsid w:val="00A61D57"/>
    <w:rsid w:val="00A62924"/>
    <w:rsid w:val="00A62D22"/>
    <w:rsid w:val="00A65EF1"/>
    <w:rsid w:val="00A661B7"/>
    <w:rsid w:val="00A663B6"/>
    <w:rsid w:val="00A70F3F"/>
    <w:rsid w:val="00A715A5"/>
    <w:rsid w:val="00A718C6"/>
    <w:rsid w:val="00A71914"/>
    <w:rsid w:val="00A71B71"/>
    <w:rsid w:val="00A71E54"/>
    <w:rsid w:val="00A75765"/>
    <w:rsid w:val="00A767D8"/>
    <w:rsid w:val="00A8632A"/>
    <w:rsid w:val="00A8790F"/>
    <w:rsid w:val="00A87A36"/>
    <w:rsid w:val="00A87BFD"/>
    <w:rsid w:val="00A928F8"/>
    <w:rsid w:val="00A933E0"/>
    <w:rsid w:val="00A9529F"/>
    <w:rsid w:val="00A95307"/>
    <w:rsid w:val="00A95797"/>
    <w:rsid w:val="00A96287"/>
    <w:rsid w:val="00A965FD"/>
    <w:rsid w:val="00A97874"/>
    <w:rsid w:val="00AA2506"/>
    <w:rsid w:val="00AA300D"/>
    <w:rsid w:val="00AA3952"/>
    <w:rsid w:val="00AA477F"/>
    <w:rsid w:val="00AA47D5"/>
    <w:rsid w:val="00AA5D06"/>
    <w:rsid w:val="00AA797D"/>
    <w:rsid w:val="00AB65DF"/>
    <w:rsid w:val="00AC1598"/>
    <w:rsid w:val="00AC3817"/>
    <w:rsid w:val="00AC3D78"/>
    <w:rsid w:val="00AC7843"/>
    <w:rsid w:val="00AC79F2"/>
    <w:rsid w:val="00AD1437"/>
    <w:rsid w:val="00AD15EE"/>
    <w:rsid w:val="00AD2538"/>
    <w:rsid w:val="00AD39EA"/>
    <w:rsid w:val="00AD43B4"/>
    <w:rsid w:val="00AD4664"/>
    <w:rsid w:val="00AE04B6"/>
    <w:rsid w:val="00AE2148"/>
    <w:rsid w:val="00AE2E97"/>
    <w:rsid w:val="00AE4C8B"/>
    <w:rsid w:val="00AE4F44"/>
    <w:rsid w:val="00AE6018"/>
    <w:rsid w:val="00AE67CB"/>
    <w:rsid w:val="00AE68E1"/>
    <w:rsid w:val="00AF38B2"/>
    <w:rsid w:val="00B015F7"/>
    <w:rsid w:val="00B070F1"/>
    <w:rsid w:val="00B077F9"/>
    <w:rsid w:val="00B1200B"/>
    <w:rsid w:val="00B12AA0"/>
    <w:rsid w:val="00B130C2"/>
    <w:rsid w:val="00B147D4"/>
    <w:rsid w:val="00B14D0D"/>
    <w:rsid w:val="00B156A3"/>
    <w:rsid w:val="00B15EAA"/>
    <w:rsid w:val="00B16334"/>
    <w:rsid w:val="00B17020"/>
    <w:rsid w:val="00B2046D"/>
    <w:rsid w:val="00B21CFD"/>
    <w:rsid w:val="00B2315A"/>
    <w:rsid w:val="00B237B5"/>
    <w:rsid w:val="00B23C30"/>
    <w:rsid w:val="00B245C7"/>
    <w:rsid w:val="00B254BB"/>
    <w:rsid w:val="00B314DD"/>
    <w:rsid w:val="00B31F7F"/>
    <w:rsid w:val="00B3434D"/>
    <w:rsid w:val="00B34B62"/>
    <w:rsid w:val="00B35513"/>
    <w:rsid w:val="00B356BB"/>
    <w:rsid w:val="00B35F42"/>
    <w:rsid w:val="00B367D5"/>
    <w:rsid w:val="00B37B3D"/>
    <w:rsid w:val="00B41C1A"/>
    <w:rsid w:val="00B43335"/>
    <w:rsid w:val="00B44256"/>
    <w:rsid w:val="00B44277"/>
    <w:rsid w:val="00B478F3"/>
    <w:rsid w:val="00B52EA3"/>
    <w:rsid w:val="00B5308D"/>
    <w:rsid w:val="00B53132"/>
    <w:rsid w:val="00B56D2B"/>
    <w:rsid w:val="00B57BF6"/>
    <w:rsid w:val="00B6126C"/>
    <w:rsid w:val="00B6198A"/>
    <w:rsid w:val="00B62283"/>
    <w:rsid w:val="00B63397"/>
    <w:rsid w:val="00B703F9"/>
    <w:rsid w:val="00B71657"/>
    <w:rsid w:val="00B71C69"/>
    <w:rsid w:val="00B74746"/>
    <w:rsid w:val="00B76DA1"/>
    <w:rsid w:val="00B77527"/>
    <w:rsid w:val="00B77E6C"/>
    <w:rsid w:val="00B8039F"/>
    <w:rsid w:val="00B85398"/>
    <w:rsid w:val="00B85460"/>
    <w:rsid w:val="00B9326D"/>
    <w:rsid w:val="00B94313"/>
    <w:rsid w:val="00B95644"/>
    <w:rsid w:val="00B95ACB"/>
    <w:rsid w:val="00B95C7F"/>
    <w:rsid w:val="00B95E6C"/>
    <w:rsid w:val="00BA1E6C"/>
    <w:rsid w:val="00BA53DD"/>
    <w:rsid w:val="00BA548F"/>
    <w:rsid w:val="00BA580A"/>
    <w:rsid w:val="00BA5960"/>
    <w:rsid w:val="00BA645F"/>
    <w:rsid w:val="00BA7868"/>
    <w:rsid w:val="00BA7923"/>
    <w:rsid w:val="00BB168B"/>
    <w:rsid w:val="00BB3180"/>
    <w:rsid w:val="00BB58F7"/>
    <w:rsid w:val="00BB5C0A"/>
    <w:rsid w:val="00BB5EE5"/>
    <w:rsid w:val="00BC26C4"/>
    <w:rsid w:val="00BC4E23"/>
    <w:rsid w:val="00BC4EE2"/>
    <w:rsid w:val="00BC5772"/>
    <w:rsid w:val="00BC65E9"/>
    <w:rsid w:val="00BC6B58"/>
    <w:rsid w:val="00BC726A"/>
    <w:rsid w:val="00BD1043"/>
    <w:rsid w:val="00BD2C69"/>
    <w:rsid w:val="00BD31F6"/>
    <w:rsid w:val="00BD473D"/>
    <w:rsid w:val="00BD50E8"/>
    <w:rsid w:val="00BD5ACB"/>
    <w:rsid w:val="00BD6795"/>
    <w:rsid w:val="00BE1664"/>
    <w:rsid w:val="00BE32DD"/>
    <w:rsid w:val="00BE67E0"/>
    <w:rsid w:val="00BE6918"/>
    <w:rsid w:val="00BE77FF"/>
    <w:rsid w:val="00BF0FE7"/>
    <w:rsid w:val="00BF1E2C"/>
    <w:rsid w:val="00BF4296"/>
    <w:rsid w:val="00BF5267"/>
    <w:rsid w:val="00BF771E"/>
    <w:rsid w:val="00C001BB"/>
    <w:rsid w:val="00C0332B"/>
    <w:rsid w:val="00C04F19"/>
    <w:rsid w:val="00C06DFB"/>
    <w:rsid w:val="00C07268"/>
    <w:rsid w:val="00C073B8"/>
    <w:rsid w:val="00C07570"/>
    <w:rsid w:val="00C11C2E"/>
    <w:rsid w:val="00C13C41"/>
    <w:rsid w:val="00C16785"/>
    <w:rsid w:val="00C16940"/>
    <w:rsid w:val="00C22313"/>
    <w:rsid w:val="00C22CE4"/>
    <w:rsid w:val="00C25BE2"/>
    <w:rsid w:val="00C27543"/>
    <w:rsid w:val="00C27D6C"/>
    <w:rsid w:val="00C35E19"/>
    <w:rsid w:val="00C3705D"/>
    <w:rsid w:val="00C40DA7"/>
    <w:rsid w:val="00C416AB"/>
    <w:rsid w:val="00C41AD5"/>
    <w:rsid w:val="00C42527"/>
    <w:rsid w:val="00C4282C"/>
    <w:rsid w:val="00C42F77"/>
    <w:rsid w:val="00C447C7"/>
    <w:rsid w:val="00C44AB7"/>
    <w:rsid w:val="00C45A8D"/>
    <w:rsid w:val="00C462C8"/>
    <w:rsid w:val="00C46B25"/>
    <w:rsid w:val="00C471DB"/>
    <w:rsid w:val="00C50070"/>
    <w:rsid w:val="00C50DDB"/>
    <w:rsid w:val="00C53CCC"/>
    <w:rsid w:val="00C56413"/>
    <w:rsid w:val="00C56479"/>
    <w:rsid w:val="00C603AD"/>
    <w:rsid w:val="00C609E2"/>
    <w:rsid w:val="00C62244"/>
    <w:rsid w:val="00C6410A"/>
    <w:rsid w:val="00C67651"/>
    <w:rsid w:val="00C71679"/>
    <w:rsid w:val="00C71E65"/>
    <w:rsid w:val="00C7375B"/>
    <w:rsid w:val="00C73E7C"/>
    <w:rsid w:val="00C7482F"/>
    <w:rsid w:val="00C74D7F"/>
    <w:rsid w:val="00C7586A"/>
    <w:rsid w:val="00C7692E"/>
    <w:rsid w:val="00C806BC"/>
    <w:rsid w:val="00C80DB5"/>
    <w:rsid w:val="00C8345B"/>
    <w:rsid w:val="00C83464"/>
    <w:rsid w:val="00C85D50"/>
    <w:rsid w:val="00C865BD"/>
    <w:rsid w:val="00C9144C"/>
    <w:rsid w:val="00C91AD7"/>
    <w:rsid w:val="00C92014"/>
    <w:rsid w:val="00C92FAF"/>
    <w:rsid w:val="00C953AF"/>
    <w:rsid w:val="00C95E78"/>
    <w:rsid w:val="00C97F88"/>
    <w:rsid w:val="00CA0A73"/>
    <w:rsid w:val="00CA1935"/>
    <w:rsid w:val="00CA1C40"/>
    <w:rsid w:val="00CA2949"/>
    <w:rsid w:val="00CA2F74"/>
    <w:rsid w:val="00CA49E2"/>
    <w:rsid w:val="00CA58AA"/>
    <w:rsid w:val="00CA596A"/>
    <w:rsid w:val="00CA7E75"/>
    <w:rsid w:val="00CB555F"/>
    <w:rsid w:val="00CB572B"/>
    <w:rsid w:val="00CB7A29"/>
    <w:rsid w:val="00CC234A"/>
    <w:rsid w:val="00CC44C8"/>
    <w:rsid w:val="00CC56CB"/>
    <w:rsid w:val="00CC57D4"/>
    <w:rsid w:val="00CC5B75"/>
    <w:rsid w:val="00CC5FCD"/>
    <w:rsid w:val="00CC6438"/>
    <w:rsid w:val="00CC75FE"/>
    <w:rsid w:val="00CD1647"/>
    <w:rsid w:val="00CD393E"/>
    <w:rsid w:val="00CD3DF9"/>
    <w:rsid w:val="00CD4839"/>
    <w:rsid w:val="00CD6763"/>
    <w:rsid w:val="00CE10B2"/>
    <w:rsid w:val="00CE1856"/>
    <w:rsid w:val="00CE1F82"/>
    <w:rsid w:val="00CE226B"/>
    <w:rsid w:val="00CE3F3E"/>
    <w:rsid w:val="00CE4770"/>
    <w:rsid w:val="00CF00B7"/>
    <w:rsid w:val="00CF0D3A"/>
    <w:rsid w:val="00CF0EC9"/>
    <w:rsid w:val="00CF1925"/>
    <w:rsid w:val="00CF3208"/>
    <w:rsid w:val="00CF474C"/>
    <w:rsid w:val="00CF480D"/>
    <w:rsid w:val="00CF53B7"/>
    <w:rsid w:val="00CF610C"/>
    <w:rsid w:val="00CF67B7"/>
    <w:rsid w:val="00D0098C"/>
    <w:rsid w:val="00D00DB3"/>
    <w:rsid w:val="00D01565"/>
    <w:rsid w:val="00D047A1"/>
    <w:rsid w:val="00D04B35"/>
    <w:rsid w:val="00D07309"/>
    <w:rsid w:val="00D10686"/>
    <w:rsid w:val="00D109A5"/>
    <w:rsid w:val="00D11D52"/>
    <w:rsid w:val="00D137D5"/>
    <w:rsid w:val="00D15683"/>
    <w:rsid w:val="00D1675B"/>
    <w:rsid w:val="00D17BA4"/>
    <w:rsid w:val="00D203DA"/>
    <w:rsid w:val="00D2123D"/>
    <w:rsid w:val="00D21F30"/>
    <w:rsid w:val="00D2215D"/>
    <w:rsid w:val="00D22E1A"/>
    <w:rsid w:val="00D256F5"/>
    <w:rsid w:val="00D25DA8"/>
    <w:rsid w:val="00D27892"/>
    <w:rsid w:val="00D30E7F"/>
    <w:rsid w:val="00D310CB"/>
    <w:rsid w:val="00D314FE"/>
    <w:rsid w:val="00D31896"/>
    <w:rsid w:val="00D31E6D"/>
    <w:rsid w:val="00D33E87"/>
    <w:rsid w:val="00D3472C"/>
    <w:rsid w:val="00D34EE8"/>
    <w:rsid w:val="00D40888"/>
    <w:rsid w:val="00D4109B"/>
    <w:rsid w:val="00D41191"/>
    <w:rsid w:val="00D411AE"/>
    <w:rsid w:val="00D46340"/>
    <w:rsid w:val="00D47343"/>
    <w:rsid w:val="00D50187"/>
    <w:rsid w:val="00D50C1B"/>
    <w:rsid w:val="00D51049"/>
    <w:rsid w:val="00D51704"/>
    <w:rsid w:val="00D5216E"/>
    <w:rsid w:val="00D52FFC"/>
    <w:rsid w:val="00D54C6E"/>
    <w:rsid w:val="00D55874"/>
    <w:rsid w:val="00D56995"/>
    <w:rsid w:val="00D60E6C"/>
    <w:rsid w:val="00D61799"/>
    <w:rsid w:val="00D6266A"/>
    <w:rsid w:val="00D6423C"/>
    <w:rsid w:val="00D663A1"/>
    <w:rsid w:val="00D70688"/>
    <w:rsid w:val="00D713BF"/>
    <w:rsid w:val="00D72588"/>
    <w:rsid w:val="00D73215"/>
    <w:rsid w:val="00D74151"/>
    <w:rsid w:val="00D7464C"/>
    <w:rsid w:val="00D8275D"/>
    <w:rsid w:val="00D845B4"/>
    <w:rsid w:val="00D84FFC"/>
    <w:rsid w:val="00D86746"/>
    <w:rsid w:val="00D87C15"/>
    <w:rsid w:val="00D87C4A"/>
    <w:rsid w:val="00D92EC7"/>
    <w:rsid w:val="00D93755"/>
    <w:rsid w:val="00D94BEB"/>
    <w:rsid w:val="00D96EE5"/>
    <w:rsid w:val="00DA0956"/>
    <w:rsid w:val="00DA2903"/>
    <w:rsid w:val="00DA33F5"/>
    <w:rsid w:val="00DA4F07"/>
    <w:rsid w:val="00DA5070"/>
    <w:rsid w:val="00DA633A"/>
    <w:rsid w:val="00DA63F1"/>
    <w:rsid w:val="00DB32B9"/>
    <w:rsid w:val="00DB3A18"/>
    <w:rsid w:val="00DB499B"/>
    <w:rsid w:val="00DB6259"/>
    <w:rsid w:val="00DB73A5"/>
    <w:rsid w:val="00DC0FF5"/>
    <w:rsid w:val="00DC3B65"/>
    <w:rsid w:val="00DC4AC6"/>
    <w:rsid w:val="00DC6906"/>
    <w:rsid w:val="00DD156C"/>
    <w:rsid w:val="00DD1807"/>
    <w:rsid w:val="00DD2D88"/>
    <w:rsid w:val="00DD2F65"/>
    <w:rsid w:val="00DD5114"/>
    <w:rsid w:val="00DD6D51"/>
    <w:rsid w:val="00DE0206"/>
    <w:rsid w:val="00DE04B9"/>
    <w:rsid w:val="00DE36A3"/>
    <w:rsid w:val="00DF16A4"/>
    <w:rsid w:val="00DF19F2"/>
    <w:rsid w:val="00DF33B9"/>
    <w:rsid w:val="00DF364B"/>
    <w:rsid w:val="00E00780"/>
    <w:rsid w:val="00E00E24"/>
    <w:rsid w:val="00E02564"/>
    <w:rsid w:val="00E02727"/>
    <w:rsid w:val="00E03ECA"/>
    <w:rsid w:val="00E06AF2"/>
    <w:rsid w:val="00E06FC7"/>
    <w:rsid w:val="00E10ACC"/>
    <w:rsid w:val="00E10F97"/>
    <w:rsid w:val="00E14AF1"/>
    <w:rsid w:val="00E15266"/>
    <w:rsid w:val="00E171EE"/>
    <w:rsid w:val="00E17B8E"/>
    <w:rsid w:val="00E17EF3"/>
    <w:rsid w:val="00E20512"/>
    <w:rsid w:val="00E20B3C"/>
    <w:rsid w:val="00E2148B"/>
    <w:rsid w:val="00E22A88"/>
    <w:rsid w:val="00E2348E"/>
    <w:rsid w:val="00E254AC"/>
    <w:rsid w:val="00E3012E"/>
    <w:rsid w:val="00E30F11"/>
    <w:rsid w:val="00E310F1"/>
    <w:rsid w:val="00E31D7B"/>
    <w:rsid w:val="00E31F80"/>
    <w:rsid w:val="00E3222B"/>
    <w:rsid w:val="00E324F3"/>
    <w:rsid w:val="00E37E51"/>
    <w:rsid w:val="00E4092D"/>
    <w:rsid w:val="00E4198F"/>
    <w:rsid w:val="00E42EAB"/>
    <w:rsid w:val="00E43D3F"/>
    <w:rsid w:val="00E443B6"/>
    <w:rsid w:val="00E450CE"/>
    <w:rsid w:val="00E45FB6"/>
    <w:rsid w:val="00E46BFE"/>
    <w:rsid w:val="00E46F63"/>
    <w:rsid w:val="00E51B87"/>
    <w:rsid w:val="00E5294E"/>
    <w:rsid w:val="00E55D29"/>
    <w:rsid w:val="00E5633F"/>
    <w:rsid w:val="00E56B48"/>
    <w:rsid w:val="00E60F5C"/>
    <w:rsid w:val="00E62164"/>
    <w:rsid w:val="00E6268E"/>
    <w:rsid w:val="00E62B4F"/>
    <w:rsid w:val="00E62E5B"/>
    <w:rsid w:val="00E62F40"/>
    <w:rsid w:val="00E64EE2"/>
    <w:rsid w:val="00E66451"/>
    <w:rsid w:val="00E66658"/>
    <w:rsid w:val="00E66FAF"/>
    <w:rsid w:val="00E733FC"/>
    <w:rsid w:val="00E73980"/>
    <w:rsid w:val="00E73C1D"/>
    <w:rsid w:val="00E81F24"/>
    <w:rsid w:val="00E821AD"/>
    <w:rsid w:val="00E82419"/>
    <w:rsid w:val="00E8246C"/>
    <w:rsid w:val="00E82B97"/>
    <w:rsid w:val="00E82FFC"/>
    <w:rsid w:val="00E83ECB"/>
    <w:rsid w:val="00E90C3A"/>
    <w:rsid w:val="00EA19CF"/>
    <w:rsid w:val="00EA2627"/>
    <w:rsid w:val="00EA2958"/>
    <w:rsid w:val="00EA2BF8"/>
    <w:rsid w:val="00EA2DF3"/>
    <w:rsid w:val="00EA3E28"/>
    <w:rsid w:val="00EA5213"/>
    <w:rsid w:val="00EA55C2"/>
    <w:rsid w:val="00EA678A"/>
    <w:rsid w:val="00EB4566"/>
    <w:rsid w:val="00EB66DD"/>
    <w:rsid w:val="00EB779B"/>
    <w:rsid w:val="00EC17C0"/>
    <w:rsid w:val="00EC20EF"/>
    <w:rsid w:val="00EC2268"/>
    <w:rsid w:val="00EC2543"/>
    <w:rsid w:val="00EC6259"/>
    <w:rsid w:val="00EC6718"/>
    <w:rsid w:val="00EC6FD2"/>
    <w:rsid w:val="00EC7F53"/>
    <w:rsid w:val="00ED0700"/>
    <w:rsid w:val="00ED39EA"/>
    <w:rsid w:val="00ED67F4"/>
    <w:rsid w:val="00ED766E"/>
    <w:rsid w:val="00EE104E"/>
    <w:rsid w:val="00EE11DF"/>
    <w:rsid w:val="00EE3464"/>
    <w:rsid w:val="00EE4C3E"/>
    <w:rsid w:val="00EE4CBC"/>
    <w:rsid w:val="00EE5EBB"/>
    <w:rsid w:val="00EE6621"/>
    <w:rsid w:val="00EE733F"/>
    <w:rsid w:val="00EF04E7"/>
    <w:rsid w:val="00EF0C15"/>
    <w:rsid w:val="00EF110A"/>
    <w:rsid w:val="00EF18B5"/>
    <w:rsid w:val="00EF26FF"/>
    <w:rsid w:val="00EF534D"/>
    <w:rsid w:val="00EF7207"/>
    <w:rsid w:val="00F0115D"/>
    <w:rsid w:val="00F02379"/>
    <w:rsid w:val="00F02E3D"/>
    <w:rsid w:val="00F040BA"/>
    <w:rsid w:val="00F05BB9"/>
    <w:rsid w:val="00F07EEE"/>
    <w:rsid w:val="00F10021"/>
    <w:rsid w:val="00F1219B"/>
    <w:rsid w:val="00F12D31"/>
    <w:rsid w:val="00F13FE8"/>
    <w:rsid w:val="00F14A06"/>
    <w:rsid w:val="00F168E0"/>
    <w:rsid w:val="00F16E07"/>
    <w:rsid w:val="00F17D07"/>
    <w:rsid w:val="00F217D1"/>
    <w:rsid w:val="00F24C4E"/>
    <w:rsid w:val="00F278DC"/>
    <w:rsid w:val="00F30ED5"/>
    <w:rsid w:val="00F31340"/>
    <w:rsid w:val="00F35343"/>
    <w:rsid w:val="00F35FA5"/>
    <w:rsid w:val="00F4172F"/>
    <w:rsid w:val="00F43BCD"/>
    <w:rsid w:val="00F44575"/>
    <w:rsid w:val="00F46CA6"/>
    <w:rsid w:val="00F50195"/>
    <w:rsid w:val="00F50B22"/>
    <w:rsid w:val="00F55553"/>
    <w:rsid w:val="00F57811"/>
    <w:rsid w:val="00F607B8"/>
    <w:rsid w:val="00F60836"/>
    <w:rsid w:val="00F60A5B"/>
    <w:rsid w:val="00F61362"/>
    <w:rsid w:val="00F6236B"/>
    <w:rsid w:val="00F62D8D"/>
    <w:rsid w:val="00F63C43"/>
    <w:rsid w:val="00F64BE3"/>
    <w:rsid w:val="00F65583"/>
    <w:rsid w:val="00F65D80"/>
    <w:rsid w:val="00F67172"/>
    <w:rsid w:val="00F6729B"/>
    <w:rsid w:val="00F715E2"/>
    <w:rsid w:val="00F731FD"/>
    <w:rsid w:val="00F75C71"/>
    <w:rsid w:val="00F7686A"/>
    <w:rsid w:val="00F8007B"/>
    <w:rsid w:val="00F80218"/>
    <w:rsid w:val="00F82BC8"/>
    <w:rsid w:val="00F8494D"/>
    <w:rsid w:val="00F8511E"/>
    <w:rsid w:val="00F861AF"/>
    <w:rsid w:val="00F8686A"/>
    <w:rsid w:val="00F86E25"/>
    <w:rsid w:val="00F91EFB"/>
    <w:rsid w:val="00F92210"/>
    <w:rsid w:val="00F92752"/>
    <w:rsid w:val="00F9393F"/>
    <w:rsid w:val="00F93B5A"/>
    <w:rsid w:val="00F94862"/>
    <w:rsid w:val="00F96762"/>
    <w:rsid w:val="00FA0125"/>
    <w:rsid w:val="00FA102C"/>
    <w:rsid w:val="00FA23B1"/>
    <w:rsid w:val="00FA36AC"/>
    <w:rsid w:val="00FA5B19"/>
    <w:rsid w:val="00FA69EF"/>
    <w:rsid w:val="00FB21E7"/>
    <w:rsid w:val="00FB3C98"/>
    <w:rsid w:val="00FB3D0A"/>
    <w:rsid w:val="00FB4920"/>
    <w:rsid w:val="00FB7A16"/>
    <w:rsid w:val="00FC0887"/>
    <w:rsid w:val="00FC1780"/>
    <w:rsid w:val="00FC4583"/>
    <w:rsid w:val="00FC60B5"/>
    <w:rsid w:val="00FC72BF"/>
    <w:rsid w:val="00FD068D"/>
    <w:rsid w:val="00FD0E70"/>
    <w:rsid w:val="00FD1C37"/>
    <w:rsid w:val="00FD1D8D"/>
    <w:rsid w:val="00FD2A5E"/>
    <w:rsid w:val="00FD4F4B"/>
    <w:rsid w:val="00FD5A90"/>
    <w:rsid w:val="00FD671E"/>
    <w:rsid w:val="00FD7BD1"/>
    <w:rsid w:val="00FE18C7"/>
    <w:rsid w:val="00FE313F"/>
    <w:rsid w:val="00FE36F4"/>
    <w:rsid w:val="00FE52D1"/>
    <w:rsid w:val="00FE5491"/>
    <w:rsid w:val="00FE5BC7"/>
    <w:rsid w:val="00FE71FD"/>
    <w:rsid w:val="00FF057B"/>
    <w:rsid w:val="00FF3565"/>
    <w:rsid w:val="00FF69CC"/>
    <w:rsid w:val="01383466"/>
    <w:rsid w:val="015265B0"/>
    <w:rsid w:val="01761E20"/>
    <w:rsid w:val="019F18FD"/>
    <w:rsid w:val="01A57EEB"/>
    <w:rsid w:val="01E468FF"/>
    <w:rsid w:val="01ED2159"/>
    <w:rsid w:val="022D3042"/>
    <w:rsid w:val="028642E4"/>
    <w:rsid w:val="02BE247E"/>
    <w:rsid w:val="02E66B31"/>
    <w:rsid w:val="02EF5BBD"/>
    <w:rsid w:val="02F84024"/>
    <w:rsid w:val="02FB4243"/>
    <w:rsid w:val="031D432A"/>
    <w:rsid w:val="03A74512"/>
    <w:rsid w:val="03AA208C"/>
    <w:rsid w:val="03EA492C"/>
    <w:rsid w:val="03F30391"/>
    <w:rsid w:val="03FE7EAB"/>
    <w:rsid w:val="04FF212C"/>
    <w:rsid w:val="05FA1DE9"/>
    <w:rsid w:val="06214956"/>
    <w:rsid w:val="064E336B"/>
    <w:rsid w:val="06932123"/>
    <w:rsid w:val="072907E0"/>
    <w:rsid w:val="0757104A"/>
    <w:rsid w:val="078F26D7"/>
    <w:rsid w:val="08A54D99"/>
    <w:rsid w:val="08B37E08"/>
    <w:rsid w:val="08CC0577"/>
    <w:rsid w:val="08E43B13"/>
    <w:rsid w:val="09151F1E"/>
    <w:rsid w:val="091A14AD"/>
    <w:rsid w:val="095073FA"/>
    <w:rsid w:val="097430E9"/>
    <w:rsid w:val="09750C0F"/>
    <w:rsid w:val="09F14739"/>
    <w:rsid w:val="0A2528EF"/>
    <w:rsid w:val="0A286569"/>
    <w:rsid w:val="0A4B666C"/>
    <w:rsid w:val="0A756264"/>
    <w:rsid w:val="0A8E5717"/>
    <w:rsid w:val="0AF24B2C"/>
    <w:rsid w:val="0AFE24A0"/>
    <w:rsid w:val="0B582D18"/>
    <w:rsid w:val="0C252478"/>
    <w:rsid w:val="0C322280"/>
    <w:rsid w:val="0C41716A"/>
    <w:rsid w:val="0D057DAC"/>
    <w:rsid w:val="0DA92A02"/>
    <w:rsid w:val="0DD45650"/>
    <w:rsid w:val="0E2D0F1E"/>
    <w:rsid w:val="0E3966AF"/>
    <w:rsid w:val="0E424B5A"/>
    <w:rsid w:val="0E955506"/>
    <w:rsid w:val="0F1113DA"/>
    <w:rsid w:val="0F1D7D7F"/>
    <w:rsid w:val="10234F21"/>
    <w:rsid w:val="105205B6"/>
    <w:rsid w:val="10C247E3"/>
    <w:rsid w:val="10D33652"/>
    <w:rsid w:val="10E678E7"/>
    <w:rsid w:val="10EC7601"/>
    <w:rsid w:val="11215AE5"/>
    <w:rsid w:val="11D41978"/>
    <w:rsid w:val="11EC57E6"/>
    <w:rsid w:val="12426CFF"/>
    <w:rsid w:val="12452C89"/>
    <w:rsid w:val="132059AB"/>
    <w:rsid w:val="13701B31"/>
    <w:rsid w:val="138024CE"/>
    <w:rsid w:val="139D5C58"/>
    <w:rsid w:val="13BE434A"/>
    <w:rsid w:val="13CD4381"/>
    <w:rsid w:val="145A737F"/>
    <w:rsid w:val="1476752B"/>
    <w:rsid w:val="151915EB"/>
    <w:rsid w:val="153151ED"/>
    <w:rsid w:val="155E7B97"/>
    <w:rsid w:val="15C736A9"/>
    <w:rsid w:val="15CE0CA7"/>
    <w:rsid w:val="164F0622"/>
    <w:rsid w:val="165C2F31"/>
    <w:rsid w:val="16826719"/>
    <w:rsid w:val="169E17A5"/>
    <w:rsid w:val="16EB0A4F"/>
    <w:rsid w:val="16F2564D"/>
    <w:rsid w:val="17CD07BF"/>
    <w:rsid w:val="17DE1EB0"/>
    <w:rsid w:val="18182127"/>
    <w:rsid w:val="18200EA6"/>
    <w:rsid w:val="184F5D80"/>
    <w:rsid w:val="18B828C6"/>
    <w:rsid w:val="19030013"/>
    <w:rsid w:val="1A0C4F3B"/>
    <w:rsid w:val="1A236802"/>
    <w:rsid w:val="1A8E7D82"/>
    <w:rsid w:val="1ACB7112"/>
    <w:rsid w:val="1AEF671C"/>
    <w:rsid w:val="1B4F0081"/>
    <w:rsid w:val="1B54415D"/>
    <w:rsid w:val="1B7A3E63"/>
    <w:rsid w:val="1BDF713B"/>
    <w:rsid w:val="1C026332"/>
    <w:rsid w:val="1CC17B02"/>
    <w:rsid w:val="1CF06AD2"/>
    <w:rsid w:val="1D1327C1"/>
    <w:rsid w:val="1D4B40BE"/>
    <w:rsid w:val="1E116E56"/>
    <w:rsid w:val="1E4744D0"/>
    <w:rsid w:val="1E7159F1"/>
    <w:rsid w:val="1F1C3F0E"/>
    <w:rsid w:val="1FE01982"/>
    <w:rsid w:val="1FEA7809"/>
    <w:rsid w:val="1FF73CD4"/>
    <w:rsid w:val="20036B1D"/>
    <w:rsid w:val="201C2D0E"/>
    <w:rsid w:val="20AD0749"/>
    <w:rsid w:val="20BB73F7"/>
    <w:rsid w:val="2120725A"/>
    <w:rsid w:val="214C004F"/>
    <w:rsid w:val="21824A35"/>
    <w:rsid w:val="22084A89"/>
    <w:rsid w:val="221548E5"/>
    <w:rsid w:val="22623BFF"/>
    <w:rsid w:val="226715E5"/>
    <w:rsid w:val="22CC1448"/>
    <w:rsid w:val="22DA454C"/>
    <w:rsid w:val="23B1063E"/>
    <w:rsid w:val="23D36806"/>
    <w:rsid w:val="24076576"/>
    <w:rsid w:val="24082954"/>
    <w:rsid w:val="24FF4B08"/>
    <w:rsid w:val="250315B4"/>
    <w:rsid w:val="25DC7BF4"/>
    <w:rsid w:val="25F72C80"/>
    <w:rsid w:val="2646329E"/>
    <w:rsid w:val="26510352"/>
    <w:rsid w:val="265F5161"/>
    <w:rsid w:val="268F110A"/>
    <w:rsid w:val="26AB5818"/>
    <w:rsid w:val="26C52D66"/>
    <w:rsid w:val="26E90C60"/>
    <w:rsid w:val="270C329A"/>
    <w:rsid w:val="27132A17"/>
    <w:rsid w:val="27A20282"/>
    <w:rsid w:val="27FC3F8A"/>
    <w:rsid w:val="28F01C66"/>
    <w:rsid w:val="29E047B9"/>
    <w:rsid w:val="2A1807F9"/>
    <w:rsid w:val="2A367003"/>
    <w:rsid w:val="2A587A65"/>
    <w:rsid w:val="2A7E4578"/>
    <w:rsid w:val="2B057BED"/>
    <w:rsid w:val="2B2615C9"/>
    <w:rsid w:val="2BB22ED5"/>
    <w:rsid w:val="2BE94E19"/>
    <w:rsid w:val="2C5030EA"/>
    <w:rsid w:val="2CBE62A5"/>
    <w:rsid w:val="2D13354C"/>
    <w:rsid w:val="2D32459D"/>
    <w:rsid w:val="2D350B8E"/>
    <w:rsid w:val="2D3C366E"/>
    <w:rsid w:val="2D712661"/>
    <w:rsid w:val="2D7626DC"/>
    <w:rsid w:val="2D7D3282"/>
    <w:rsid w:val="2DD83397"/>
    <w:rsid w:val="2E165FEC"/>
    <w:rsid w:val="2E32012A"/>
    <w:rsid w:val="2E7329B2"/>
    <w:rsid w:val="2E9F5C62"/>
    <w:rsid w:val="2EDC0A5B"/>
    <w:rsid w:val="2F1E127D"/>
    <w:rsid w:val="2F304908"/>
    <w:rsid w:val="2F6D5D61"/>
    <w:rsid w:val="2FCB1E40"/>
    <w:rsid w:val="2FFB579A"/>
    <w:rsid w:val="30024B76"/>
    <w:rsid w:val="30562C99"/>
    <w:rsid w:val="30670A02"/>
    <w:rsid w:val="308A14F1"/>
    <w:rsid w:val="30F85AFE"/>
    <w:rsid w:val="30FC55EE"/>
    <w:rsid w:val="3150493A"/>
    <w:rsid w:val="31AC0DC2"/>
    <w:rsid w:val="31B402DB"/>
    <w:rsid w:val="32213B72"/>
    <w:rsid w:val="325B2F08"/>
    <w:rsid w:val="32967B05"/>
    <w:rsid w:val="32E35368"/>
    <w:rsid w:val="33DF0372"/>
    <w:rsid w:val="344A041F"/>
    <w:rsid w:val="347E1530"/>
    <w:rsid w:val="34B41D3C"/>
    <w:rsid w:val="34F125D9"/>
    <w:rsid w:val="351C625F"/>
    <w:rsid w:val="355A442E"/>
    <w:rsid w:val="355E3535"/>
    <w:rsid w:val="356849D6"/>
    <w:rsid w:val="35C2600C"/>
    <w:rsid w:val="35C83CF1"/>
    <w:rsid w:val="35FE5964"/>
    <w:rsid w:val="36413242"/>
    <w:rsid w:val="36835E6A"/>
    <w:rsid w:val="368F4461"/>
    <w:rsid w:val="371A169E"/>
    <w:rsid w:val="372C6501"/>
    <w:rsid w:val="37515F68"/>
    <w:rsid w:val="37535B52"/>
    <w:rsid w:val="3781771E"/>
    <w:rsid w:val="37E80587"/>
    <w:rsid w:val="381E5E4A"/>
    <w:rsid w:val="38246842"/>
    <w:rsid w:val="38AC5B4C"/>
    <w:rsid w:val="38F56FE1"/>
    <w:rsid w:val="39313232"/>
    <w:rsid w:val="3942025E"/>
    <w:rsid w:val="39444620"/>
    <w:rsid w:val="398C3287"/>
    <w:rsid w:val="399A7FF8"/>
    <w:rsid w:val="39A44A75"/>
    <w:rsid w:val="39D93E4C"/>
    <w:rsid w:val="39EF0B42"/>
    <w:rsid w:val="3A2D4A6A"/>
    <w:rsid w:val="3A7A7584"/>
    <w:rsid w:val="3A8657F9"/>
    <w:rsid w:val="3A8664DB"/>
    <w:rsid w:val="3A9479A4"/>
    <w:rsid w:val="3AD924FC"/>
    <w:rsid w:val="3B302D28"/>
    <w:rsid w:val="3B5A1124"/>
    <w:rsid w:val="3BB2473D"/>
    <w:rsid w:val="3BD7095E"/>
    <w:rsid w:val="3C461E13"/>
    <w:rsid w:val="3C700C3E"/>
    <w:rsid w:val="3D1760A7"/>
    <w:rsid w:val="3D842BF3"/>
    <w:rsid w:val="3DC41242"/>
    <w:rsid w:val="3E3C5928"/>
    <w:rsid w:val="3EE31923"/>
    <w:rsid w:val="3EED7626"/>
    <w:rsid w:val="3EFE6289"/>
    <w:rsid w:val="3FE94F8F"/>
    <w:rsid w:val="3FEA0D08"/>
    <w:rsid w:val="3FFD2C85"/>
    <w:rsid w:val="40552625"/>
    <w:rsid w:val="40AA3915"/>
    <w:rsid w:val="40B06A01"/>
    <w:rsid w:val="40C2000D"/>
    <w:rsid w:val="41131AC9"/>
    <w:rsid w:val="413F68D3"/>
    <w:rsid w:val="41452699"/>
    <w:rsid w:val="415B010F"/>
    <w:rsid w:val="41CB7E16"/>
    <w:rsid w:val="41D76C3C"/>
    <w:rsid w:val="41F72B7C"/>
    <w:rsid w:val="42380450"/>
    <w:rsid w:val="42980EEF"/>
    <w:rsid w:val="42E14644"/>
    <w:rsid w:val="42E303BC"/>
    <w:rsid w:val="42F6687E"/>
    <w:rsid w:val="4359067E"/>
    <w:rsid w:val="437A1565"/>
    <w:rsid w:val="43963680"/>
    <w:rsid w:val="4407632C"/>
    <w:rsid w:val="44240C8C"/>
    <w:rsid w:val="44241476"/>
    <w:rsid w:val="442B1ADC"/>
    <w:rsid w:val="44AF54D6"/>
    <w:rsid w:val="44BF1F31"/>
    <w:rsid w:val="44F63CF6"/>
    <w:rsid w:val="4518650F"/>
    <w:rsid w:val="45321526"/>
    <w:rsid w:val="455931AC"/>
    <w:rsid w:val="45BA7D13"/>
    <w:rsid w:val="46125562"/>
    <w:rsid w:val="46762948"/>
    <w:rsid w:val="467E5162"/>
    <w:rsid w:val="469C7200"/>
    <w:rsid w:val="469F0A9E"/>
    <w:rsid w:val="46E03E62"/>
    <w:rsid w:val="4734035B"/>
    <w:rsid w:val="473E21E8"/>
    <w:rsid w:val="473F5DDD"/>
    <w:rsid w:val="4799373F"/>
    <w:rsid w:val="47E86474"/>
    <w:rsid w:val="47F35444"/>
    <w:rsid w:val="480908C5"/>
    <w:rsid w:val="483A1140"/>
    <w:rsid w:val="48B032F5"/>
    <w:rsid w:val="48BA1BBF"/>
    <w:rsid w:val="48CC664D"/>
    <w:rsid w:val="48E20860"/>
    <w:rsid w:val="490250E3"/>
    <w:rsid w:val="49306134"/>
    <w:rsid w:val="49613B5E"/>
    <w:rsid w:val="49AD1724"/>
    <w:rsid w:val="49BF4FB3"/>
    <w:rsid w:val="49C66B5F"/>
    <w:rsid w:val="49FE26A8"/>
    <w:rsid w:val="4A111C7F"/>
    <w:rsid w:val="4A143EFC"/>
    <w:rsid w:val="4A1D1C3C"/>
    <w:rsid w:val="4A566406"/>
    <w:rsid w:val="4A840CBB"/>
    <w:rsid w:val="4AAD305D"/>
    <w:rsid w:val="4ADD4C39"/>
    <w:rsid w:val="4AF419CA"/>
    <w:rsid w:val="4B2257F9"/>
    <w:rsid w:val="4B427C4A"/>
    <w:rsid w:val="4B4B4D50"/>
    <w:rsid w:val="4B6776B0"/>
    <w:rsid w:val="4BAD1567"/>
    <w:rsid w:val="4C33502F"/>
    <w:rsid w:val="4C3A36A3"/>
    <w:rsid w:val="4C3D77A7"/>
    <w:rsid w:val="4C681932"/>
    <w:rsid w:val="4C8F3363"/>
    <w:rsid w:val="4D186EB4"/>
    <w:rsid w:val="4D953945"/>
    <w:rsid w:val="4DF81768"/>
    <w:rsid w:val="4E2F0959"/>
    <w:rsid w:val="4E915170"/>
    <w:rsid w:val="4EBB442D"/>
    <w:rsid w:val="4ECE7859"/>
    <w:rsid w:val="4F7A3E56"/>
    <w:rsid w:val="4F8B1BBF"/>
    <w:rsid w:val="4FA72771"/>
    <w:rsid w:val="505C5BC8"/>
    <w:rsid w:val="50B25872"/>
    <w:rsid w:val="50BB0282"/>
    <w:rsid w:val="50EA13B1"/>
    <w:rsid w:val="50F11EF6"/>
    <w:rsid w:val="510D12CF"/>
    <w:rsid w:val="51620714"/>
    <w:rsid w:val="5166489C"/>
    <w:rsid w:val="51C770FB"/>
    <w:rsid w:val="528D5C4E"/>
    <w:rsid w:val="52DE2D2C"/>
    <w:rsid w:val="52FC2E70"/>
    <w:rsid w:val="53186861"/>
    <w:rsid w:val="53234805"/>
    <w:rsid w:val="53357F0C"/>
    <w:rsid w:val="53461AE2"/>
    <w:rsid w:val="53756F67"/>
    <w:rsid w:val="53916D23"/>
    <w:rsid w:val="53FE2A17"/>
    <w:rsid w:val="54260108"/>
    <w:rsid w:val="54A6749B"/>
    <w:rsid w:val="55546EF7"/>
    <w:rsid w:val="555D2250"/>
    <w:rsid w:val="55652EB2"/>
    <w:rsid w:val="55A61974"/>
    <w:rsid w:val="55AA4D69"/>
    <w:rsid w:val="55C559ED"/>
    <w:rsid w:val="560B6103"/>
    <w:rsid w:val="56261052"/>
    <w:rsid w:val="56325A59"/>
    <w:rsid w:val="566C69EC"/>
    <w:rsid w:val="569577C7"/>
    <w:rsid w:val="56A06132"/>
    <w:rsid w:val="56A22764"/>
    <w:rsid w:val="56B6799C"/>
    <w:rsid w:val="570D1ED6"/>
    <w:rsid w:val="57364F8A"/>
    <w:rsid w:val="57745C87"/>
    <w:rsid w:val="57A5548D"/>
    <w:rsid w:val="57EA3B43"/>
    <w:rsid w:val="5818245E"/>
    <w:rsid w:val="587D6765"/>
    <w:rsid w:val="588F414E"/>
    <w:rsid w:val="58E95453"/>
    <w:rsid w:val="59123351"/>
    <w:rsid w:val="59285A55"/>
    <w:rsid w:val="593D12F9"/>
    <w:rsid w:val="59B30690"/>
    <w:rsid w:val="59BC136F"/>
    <w:rsid w:val="5A2E3043"/>
    <w:rsid w:val="5A450C16"/>
    <w:rsid w:val="5A4739CE"/>
    <w:rsid w:val="5A4E660B"/>
    <w:rsid w:val="5A753B98"/>
    <w:rsid w:val="5A8E77E6"/>
    <w:rsid w:val="5ACD39D4"/>
    <w:rsid w:val="5BDD7C46"/>
    <w:rsid w:val="5BE31ADF"/>
    <w:rsid w:val="5BE54BA9"/>
    <w:rsid w:val="5C361105"/>
    <w:rsid w:val="5C383A38"/>
    <w:rsid w:val="5C3E340A"/>
    <w:rsid w:val="5CBD5382"/>
    <w:rsid w:val="5CE14AF7"/>
    <w:rsid w:val="5CE82AF2"/>
    <w:rsid w:val="5CFC6DD5"/>
    <w:rsid w:val="5D242DBD"/>
    <w:rsid w:val="5DB06C95"/>
    <w:rsid w:val="5E3014C2"/>
    <w:rsid w:val="5E3D2B47"/>
    <w:rsid w:val="5E84084D"/>
    <w:rsid w:val="5E852832"/>
    <w:rsid w:val="5E8E347A"/>
    <w:rsid w:val="5E914D18"/>
    <w:rsid w:val="5EB01642"/>
    <w:rsid w:val="5EDD7F5D"/>
    <w:rsid w:val="5F463D55"/>
    <w:rsid w:val="5F517F0D"/>
    <w:rsid w:val="5F683CCB"/>
    <w:rsid w:val="5F697A43"/>
    <w:rsid w:val="5FE466F2"/>
    <w:rsid w:val="5FEE5B44"/>
    <w:rsid w:val="60151C26"/>
    <w:rsid w:val="605060C1"/>
    <w:rsid w:val="605B55DE"/>
    <w:rsid w:val="606125C0"/>
    <w:rsid w:val="60695F4D"/>
    <w:rsid w:val="617B0D75"/>
    <w:rsid w:val="61B22FA3"/>
    <w:rsid w:val="61E977DB"/>
    <w:rsid w:val="636B5B38"/>
    <w:rsid w:val="637F12E0"/>
    <w:rsid w:val="63802DA8"/>
    <w:rsid w:val="63AD6150"/>
    <w:rsid w:val="63AE1EC8"/>
    <w:rsid w:val="644378E4"/>
    <w:rsid w:val="646B2A26"/>
    <w:rsid w:val="64864DEA"/>
    <w:rsid w:val="64A86918"/>
    <w:rsid w:val="64B33C3A"/>
    <w:rsid w:val="64B44709"/>
    <w:rsid w:val="64C33752"/>
    <w:rsid w:val="6522030A"/>
    <w:rsid w:val="653603C7"/>
    <w:rsid w:val="653B0C29"/>
    <w:rsid w:val="655B4356"/>
    <w:rsid w:val="65871F00"/>
    <w:rsid w:val="65907AD8"/>
    <w:rsid w:val="65950E75"/>
    <w:rsid w:val="6621613F"/>
    <w:rsid w:val="66287D10"/>
    <w:rsid w:val="66303B79"/>
    <w:rsid w:val="66A6332B"/>
    <w:rsid w:val="66AE2FFF"/>
    <w:rsid w:val="66FE6CC3"/>
    <w:rsid w:val="679A77F5"/>
    <w:rsid w:val="67E1101F"/>
    <w:rsid w:val="687234C5"/>
    <w:rsid w:val="68A13DAA"/>
    <w:rsid w:val="69203758"/>
    <w:rsid w:val="69297938"/>
    <w:rsid w:val="69516D79"/>
    <w:rsid w:val="69766FE4"/>
    <w:rsid w:val="69951B60"/>
    <w:rsid w:val="69E93B36"/>
    <w:rsid w:val="6B033F88"/>
    <w:rsid w:val="6B4156C7"/>
    <w:rsid w:val="6BD67D00"/>
    <w:rsid w:val="6BD70F64"/>
    <w:rsid w:val="6BD864AF"/>
    <w:rsid w:val="6C7B55F6"/>
    <w:rsid w:val="6C8E6D3B"/>
    <w:rsid w:val="6CCD4D4E"/>
    <w:rsid w:val="6CD01102"/>
    <w:rsid w:val="6CDB68C3"/>
    <w:rsid w:val="6CE14DCD"/>
    <w:rsid w:val="6CF90658"/>
    <w:rsid w:val="6CFB0A01"/>
    <w:rsid w:val="6D3671B7"/>
    <w:rsid w:val="6D7F047F"/>
    <w:rsid w:val="6DB70D14"/>
    <w:rsid w:val="6DCF1878"/>
    <w:rsid w:val="6E103FFC"/>
    <w:rsid w:val="6E4A0A40"/>
    <w:rsid w:val="6E727D60"/>
    <w:rsid w:val="6EC72090"/>
    <w:rsid w:val="6F937EF9"/>
    <w:rsid w:val="6FC36CFC"/>
    <w:rsid w:val="700513F2"/>
    <w:rsid w:val="702C6D53"/>
    <w:rsid w:val="70FE623D"/>
    <w:rsid w:val="726479AD"/>
    <w:rsid w:val="727367B7"/>
    <w:rsid w:val="729B7ABC"/>
    <w:rsid w:val="72B017B9"/>
    <w:rsid w:val="72B24F0B"/>
    <w:rsid w:val="72C60FDD"/>
    <w:rsid w:val="731004AA"/>
    <w:rsid w:val="735C3343"/>
    <w:rsid w:val="736D76AA"/>
    <w:rsid w:val="739509AF"/>
    <w:rsid w:val="73BA21C4"/>
    <w:rsid w:val="73BB49CC"/>
    <w:rsid w:val="74945736"/>
    <w:rsid w:val="74B80DF9"/>
    <w:rsid w:val="74CE61C9"/>
    <w:rsid w:val="75290970"/>
    <w:rsid w:val="756643B1"/>
    <w:rsid w:val="75AA6994"/>
    <w:rsid w:val="75B31C08"/>
    <w:rsid w:val="75C21A42"/>
    <w:rsid w:val="760C7D5B"/>
    <w:rsid w:val="764F753B"/>
    <w:rsid w:val="767A2A33"/>
    <w:rsid w:val="76A72ED3"/>
    <w:rsid w:val="7702635B"/>
    <w:rsid w:val="77AA536F"/>
    <w:rsid w:val="77AD276B"/>
    <w:rsid w:val="77BA09E4"/>
    <w:rsid w:val="77D47CF8"/>
    <w:rsid w:val="77F00ED7"/>
    <w:rsid w:val="78414C61"/>
    <w:rsid w:val="78485FF0"/>
    <w:rsid w:val="784C35AA"/>
    <w:rsid w:val="785030F6"/>
    <w:rsid w:val="78A23E67"/>
    <w:rsid w:val="79202948"/>
    <w:rsid w:val="7925202C"/>
    <w:rsid w:val="794A14B1"/>
    <w:rsid w:val="799F4621"/>
    <w:rsid w:val="79A74F98"/>
    <w:rsid w:val="7A1E525A"/>
    <w:rsid w:val="7A4529A3"/>
    <w:rsid w:val="7A5C0085"/>
    <w:rsid w:val="7A664E53"/>
    <w:rsid w:val="7A7B08FF"/>
    <w:rsid w:val="7ADB19C8"/>
    <w:rsid w:val="7B1E74DC"/>
    <w:rsid w:val="7B7712E2"/>
    <w:rsid w:val="7C2D0723"/>
    <w:rsid w:val="7C3E5CF2"/>
    <w:rsid w:val="7C88395E"/>
    <w:rsid w:val="7D0B239B"/>
    <w:rsid w:val="7DF82266"/>
    <w:rsid w:val="7E337F88"/>
    <w:rsid w:val="7E557068"/>
    <w:rsid w:val="7E6D0329"/>
    <w:rsid w:val="7E70254E"/>
    <w:rsid w:val="7E732E1C"/>
    <w:rsid w:val="7EDA196C"/>
    <w:rsid w:val="7EE10907"/>
    <w:rsid w:val="7F031A27"/>
    <w:rsid w:val="7F7F47F8"/>
    <w:rsid w:val="7F871AF4"/>
    <w:rsid w:val="7FE36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nhideWhenUsed="0" w:uiPriority="9" w:semiHidden="0" w:name="heading 3"/>
    <w:lsdException w:qFormat="1" w:unhideWhenUsed="0" w:uiPriority="9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39" w:semiHidden="0" w:name="toc 1"/>
    <w:lsdException w:qFormat="1" w:unhideWhenUsed="0" w:uiPriority="39" w:semiHidden="0" w:name="toc 2"/>
    <w:lsdException w:qFormat="1" w:unhideWhenUsed="0" w:uiPriority="9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nhideWhenUsed="0"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nhideWhenUsed="0" w:uiPriority="99" w:name="annotation reference"/>
    <w:lsdException w:uiPriority="99" w:name="line number"/>
    <w:lsdException w:qFormat="1" w:unhideWhenUsed="0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qFormat="1" w:unhideWhenUsed="0"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nhideWhenUsed="0" w:uiPriority="99" w:name="annotation subject"/>
    <w:lsdException w:uiPriority="0" w:name="Table Simple 1" w:locked="1"/>
    <w:lsdException w:uiPriority="0" w:name="Table Simple 2" w:locked="1"/>
    <w:lsdException w:uiPriority="0" w:name="Table Simple 3" w:locked="1"/>
    <w:lsdException w:uiPriority="0" w:name="Table Classic 1" w:locked="1"/>
    <w:lsdException w:uiPriority="0" w:name="Table Classic 2" w:locked="1"/>
    <w:lsdException w:uiPriority="0" w:name="Table Classic 3" w:locked="1"/>
    <w:lsdException w:uiPriority="0" w:name="Table Classic 4" w:locked="1"/>
    <w:lsdException w:uiPriority="0" w:name="Table Colorful 1" w:locked="1"/>
    <w:lsdException w:uiPriority="0" w:name="Table Colorful 2" w:locked="1"/>
    <w:lsdException w:uiPriority="0" w:name="Table Colorful 3" w:locked="1"/>
    <w:lsdException w:uiPriority="0" w:name="Table Columns 1" w:locked="1"/>
    <w:lsdException w:uiPriority="0" w:name="Table Columns 2" w:locked="1"/>
    <w:lsdException w:uiPriority="0" w:name="Table Columns 3" w:locked="1"/>
    <w:lsdException w:uiPriority="0" w:name="Table Columns 4" w:locked="1"/>
    <w:lsdException w:uiPriority="0" w:name="Table Columns 5" w:locked="1"/>
    <w:lsdException w:uiPriority="0" w:name="Table Grid 1" w:locked="1"/>
    <w:lsdException w:uiPriority="0" w:name="Table Grid 2" w:locked="1"/>
    <w:lsdException w:uiPriority="0" w:name="Table Grid 3" w:locked="1"/>
    <w:lsdException w:uiPriority="0" w:name="Table Grid 4" w:locked="1"/>
    <w:lsdException w:uiPriority="0" w:name="Table Grid 5" w:locked="1"/>
    <w:lsdException w:uiPriority="0" w:name="Table Grid 6" w:locked="1"/>
    <w:lsdException w:uiPriority="0" w:name="Table Grid 7" w:locked="1"/>
    <w:lsdException w:uiPriority="0" w:name="Table Grid 8" w:locked="1"/>
    <w:lsdException w:uiPriority="0" w:name="Table List 1" w:locked="1"/>
    <w:lsdException w:uiPriority="0" w:name="Table List 2" w:locked="1"/>
    <w:lsdException w:uiPriority="0" w:name="Table List 3" w:locked="1"/>
    <w:lsdException w:uiPriority="0" w:name="Table List 4" w:locked="1"/>
    <w:lsdException w:uiPriority="0" w:name="Table List 5" w:locked="1"/>
    <w:lsdException w:uiPriority="0" w:name="Table List 6" w:locked="1"/>
    <w:lsdException w:uiPriority="0" w:name="Table List 7" w:locked="1"/>
    <w:lsdException w:uiPriority="0" w:name="Table List 8" w:locked="1"/>
    <w:lsdException w:uiPriority="0" w:name="Table 3D effects 1" w:locked="1"/>
    <w:lsdException w:uiPriority="0" w:name="Table 3D effects 2" w:locked="1"/>
    <w:lsdException w:uiPriority="0" w:name="Table 3D effects 3" w:locked="1"/>
    <w:lsdException w:uiPriority="0" w:name="Table Contemporary" w:locked="1"/>
    <w:lsdException w:uiPriority="0" w:name="Table Elegant" w:locked="1"/>
    <w:lsdException w:uiPriority="0" w:name="Table Professional" w:locked="1"/>
    <w:lsdException w:uiPriority="0" w:name="Table Subtle 1" w:locked="1"/>
    <w:lsdException w:uiPriority="0" w:name="Table Subtle 2" w:locked="1"/>
    <w:lsdException w:uiPriority="0" w:name="Table Web 1" w:locked="1"/>
    <w:lsdException w:uiPriority="0" w:name="Table Web 2" w:locked="1"/>
    <w:lsdException w:uiPriority="0" w:name="Table Web 3" w:locked="1"/>
    <w:lsdException w:qFormat="1" w:unhideWhenUsed="0" w:uiPriority="99" w:name="Balloon Text"/>
    <w:lsdException w:qFormat="1" w:unhideWhenUsed="0" w:uiPriority="39" w:semiHidden="0" w:name="Table Grid" w:locked="1"/>
    <w:lsdException w:uiPriority="0" w:name="Table Theme" w:locked="1"/>
    <w:lsdException w:qFormat="1" w:unhideWhenUsed="0" w:uiPriority="99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link w:val="23"/>
    <w:qFormat/>
    <w:uiPriority w:val="9"/>
    <w:pPr>
      <w:keepNext/>
      <w:keepLines/>
      <w:spacing w:line="578" w:lineRule="auto"/>
      <w:outlineLvl w:val="0"/>
    </w:pPr>
    <w:rPr>
      <w:b/>
      <w:bCs/>
      <w:kern w:val="44"/>
      <w:sz w:val="44"/>
      <w:szCs w:val="44"/>
      <w:lang w:val="zh-CN"/>
    </w:rPr>
  </w:style>
  <w:style w:type="paragraph" w:styleId="3">
    <w:name w:val="heading 2"/>
    <w:basedOn w:val="1"/>
    <w:next w:val="1"/>
    <w:link w:val="24"/>
    <w:qFormat/>
    <w:uiPriority w:val="9"/>
    <w:pPr>
      <w:keepNext/>
      <w:keepLines/>
      <w:spacing w:line="416" w:lineRule="auto"/>
      <w:outlineLvl w:val="1"/>
    </w:pPr>
    <w:rPr>
      <w:rFonts w:ascii="Cambria" w:hAnsi="Cambria"/>
      <w:b/>
      <w:bCs/>
      <w:kern w:val="0"/>
      <w:sz w:val="32"/>
      <w:szCs w:val="32"/>
      <w:lang w:val="zh-CN"/>
    </w:rPr>
  </w:style>
  <w:style w:type="paragraph" w:styleId="4">
    <w:name w:val="heading 3"/>
    <w:basedOn w:val="1"/>
    <w:next w:val="1"/>
    <w:link w:val="25"/>
    <w:qFormat/>
    <w:uiPriority w:val="9"/>
    <w:pPr>
      <w:keepNext/>
      <w:keepLines/>
      <w:spacing w:line="416" w:lineRule="auto"/>
      <w:outlineLvl w:val="2"/>
    </w:pPr>
    <w:rPr>
      <w:b/>
      <w:bCs/>
      <w:kern w:val="0"/>
      <w:sz w:val="32"/>
      <w:szCs w:val="32"/>
      <w:lang w:val="zh-CN"/>
    </w:rPr>
  </w:style>
  <w:style w:type="paragraph" w:styleId="5">
    <w:name w:val="heading 4"/>
    <w:basedOn w:val="1"/>
    <w:next w:val="1"/>
    <w:link w:val="26"/>
    <w:qFormat/>
    <w:uiPriority w:val="99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  <w:lang w:val="zh-CN"/>
    </w:rPr>
  </w:style>
  <w:style w:type="character" w:default="1" w:styleId="19">
    <w:name w:val="Default Paragraph Font"/>
    <w:semiHidden/>
    <w:unhideWhenUsed/>
    <w:qFormat/>
    <w:uiPriority w:val="1"/>
  </w:style>
  <w:style w:type="table" w:default="1" w:styleId="1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Document Map"/>
    <w:basedOn w:val="1"/>
    <w:link w:val="29"/>
    <w:semiHidden/>
    <w:qFormat/>
    <w:uiPriority w:val="99"/>
    <w:pPr>
      <w:shd w:val="clear" w:color="auto" w:fill="000080"/>
    </w:pPr>
    <w:rPr>
      <w:kern w:val="0"/>
      <w:sz w:val="0"/>
      <w:szCs w:val="0"/>
      <w:lang w:val="zh-CN"/>
    </w:rPr>
  </w:style>
  <w:style w:type="paragraph" w:styleId="7">
    <w:name w:val="annotation text"/>
    <w:basedOn w:val="1"/>
    <w:link w:val="27"/>
    <w:semiHidden/>
    <w:qFormat/>
    <w:uiPriority w:val="99"/>
    <w:pPr>
      <w:jc w:val="left"/>
    </w:pPr>
    <w:rPr>
      <w:kern w:val="0"/>
      <w:sz w:val="20"/>
      <w:lang w:val="zh-CN"/>
    </w:rPr>
  </w:style>
  <w:style w:type="paragraph" w:styleId="8">
    <w:name w:val="toc 3"/>
    <w:basedOn w:val="1"/>
    <w:next w:val="1"/>
    <w:semiHidden/>
    <w:qFormat/>
    <w:uiPriority w:val="99"/>
    <w:pPr>
      <w:widowControl/>
      <w:ind w:left="480"/>
      <w:jc w:val="left"/>
    </w:pPr>
    <w:rPr>
      <w:kern w:val="0"/>
      <w:sz w:val="24"/>
      <w:szCs w:val="24"/>
    </w:rPr>
  </w:style>
  <w:style w:type="paragraph" w:styleId="9">
    <w:name w:val="Plain Text"/>
    <w:basedOn w:val="1"/>
    <w:qFormat/>
    <w:uiPriority w:val="0"/>
    <w:rPr>
      <w:rFonts w:ascii="宋体" w:hAnsi="Courier New" w:cs="Courier New"/>
    </w:rPr>
  </w:style>
  <w:style w:type="paragraph" w:styleId="10">
    <w:name w:val="Date"/>
    <w:basedOn w:val="1"/>
    <w:next w:val="1"/>
    <w:link w:val="30"/>
    <w:qFormat/>
    <w:uiPriority w:val="99"/>
    <w:pPr>
      <w:ind w:left="100" w:leftChars="2500"/>
    </w:pPr>
    <w:rPr>
      <w:kern w:val="0"/>
      <w:sz w:val="20"/>
      <w:lang w:val="zh-CN"/>
    </w:rPr>
  </w:style>
  <w:style w:type="paragraph" w:styleId="11">
    <w:name w:val="Balloon Text"/>
    <w:basedOn w:val="1"/>
    <w:link w:val="31"/>
    <w:semiHidden/>
    <w:qFormat/>
    <w:uiPriority w:val="99"/>
    <w:rPr>
      <w:kern w:val="0"/>
      <w:sz w:val="0"/>
      <w:szCs w:val="0"/>
      <w:lang w:val="zh-CN"/>
    </w:rPr>
  </w:style>
  <w:style w:type="paragraph" w:styleId="12">
    <w:name w:val="footer"/>
    <w:basedOn w:val="1"/>
    <w:link w:val="32"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  <w:lang w:val="zh-CN"/>
    </w:rPr>
  </w:style>
  <w:style w:type="paragraph" w:styleId="13">
    <w:name w:val="header"/>
    <w:basedOn w:val="1"/>
    <w:link w:val="33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  <w:lang w:val="zh-CN"/>
    </w:rPr>
  </w:style>
  <w:style w:type="paragraph" w:styleId="14">
    <w:name w:val="toc 1"/>
    <w:basedOn w:val="1"/>
    <w:next w:val="1"/>
    <w:qFormat/>
    <w:uiPriority w:val="39"/>
    <w:pPr>
      <w:widowControl/>
      <w:jc w:val="left"/>
    </w:pPr>
    <w:rPr>
      <w:kern w:val="0"/>
      <w:sz w:val="24"/>
      <w:szCs w:val="24"/>
    </w:rPr>
  </w:style>
  <w:style w:type="paragraph" w:styleId="15">
    <w:name w:val="toc 2"/>
    <w:basedOn w:val="1"/>
    <w:next w:val="1"/>
    <w:qFormat/>
    <w:uiPriority w:val="39"/>
    <w:pPr>
      <w:widowControl/>
      <w:ind w:left="240"/>
      <w:jc w:val="left"/>
    </w:pPr>
    <w:rPr>
      <w:kern w:val="0"/>
      <w:sz w:val="24"/>
      <w:szCs w:val="24"/>
    </w:rPr>
  </w:style>
  <w:style w:type="paragraph" w:styleId="16">
    <w:name w:val="annotation subject"/>
    <w:basedOn w:val="7"/>
    <w:next w:val="7"/>
    <w:link w:val="28"/>
    <w:semiHidden/>
    <w:qFormat/>
    <w:uiPriority w:val="99"/>
    <w:rPr>
      <w:b/>
      <w:bCs/>
    </w:rPr>
  </w:style>
  <w:style w:type="table" w:styleId="18">
    <w:name w:val="Table Grid"/>
    <w:basedOn w:val="17"/>
    <w:qFormat/>
    <w:locked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0">
    <w:name w:val="page number"/>
    <w:basedOn w:val="19"/>
    <w:qFormat/>
    <w:uiPriority w:val="99"/>
  </w:style>
  <w:style w:type="character" w:styleId="21">
    <w:name w:val="Hyperlink"/>
    <w:basedOn w:val="19"/>
    <w:qFormat/>
    <w:uiPriority w:val="99"/>
  </w:style>
  <w:style w:type="character" w:styleId="22">
    <w:name w:val="annotation reference"/>
    <w:semiHidden/>
    <w:qFormat/>
    <w:uiPriority w:val="99"/>
    <w:rPr>
      <w:sz w:val="21"/>
      <w:szCs w:val="21"/>
    </w:rPr>
  </w:style>
  <w:style w:type="character" w:customStyle="1" w:styleId="23">
    <w:name w:val="标题 1 字符"/>
    <w:link w:val="2"/>
    <w:qFormat/>
    <w:uiPriority w:val="9"/>
    <w:rPr>
      <w:b/>
      <w:bCs/>
      <w:kern w:val="44"/>
      <w:sz w:val="44"/>
      <w:szCs w:val="44"/>
    </w:rPr>
  </w:style>
  <w:style w:type="character" w:customStyle="1" w:styleId="24">
    <w:name w:val="标题 2 字符"/>
    <w:link w:val="3"/>
    <w:semiHidden/>
    <w:qFormat/>
    <w:uiPriority w:val="9"/>
    <w:rPr>
      <w:rFonts w:ascii="Cambria" w:hAnsi="Cambria" w:eastAsia="宋体" w:cs="Times New Roman"/>
      <w:b/>
      <w:bCs/>
      <w:sz w:val="32"/>
      <w:szCs w:val="32"/>
    </w:rPr>
  </w:style>
  <w:style w:type="character" w:customStyle="1" w:styleId="25">
    <w:name w:val="标题 3 字符"/>
    <w:link w:val="4"/>
    <w:semiHidden/>
    <w:qFormat/>
    <w:uiPriority w:val="9"/>
    <w:rPr>
      <w:b/>
      <w:bCs/>
      <w:sz w:val="32"/>
      <w:szCs w:val="32"/>
    </w:rPr>
  </w:style>
  <w:style w:type="character" w:customStyle="1" w:styleId="26">
    <w:name w:val="标题 4 字符"/>
    <w:link w:val="5"/>
    <w:qFormat/>
    <w:locked/>
    <w:uiPriority w:val="99"/>
    <w:rPr>
      <w:rFonts w:ascii="Cambria" w:hAnsi="Cambria" w:eastAsia="宋体" w:cs="Cambria"/>
      <w:b/>
      <w:bCs/>
      <w:kern w:val="2"/>
      <w:sz w:val="28"/>
      <w:szCs w:val="28"/>
    </w:rPr>
  </w:style>
  <w:style w:type="character" w:customStyle="1" w:styleId="27">
    <w:name w:val="批注文字 字符"/>
    <w:link w:val="7"/>
    <w:semiHidden/>
    <w:qFormat/>
    <w:uiPriority w:val="99"/>
    <w:rPr>
      <w:szCs w:val="21"/>
    </w:rPr>
  </w:style>
  <w:style w:type="character" w:customStyle="1" w:styleId="28">
    <w:name w:val="批注主题 字符"/>
    <w:link w:val="16"/>
    <w:semiHidden/>
    <w:qFormat/>
    <w:uiPriority w:val="99"/>
    <w:rPr>
      <w:b/>
      <w:bCs/>
      <w:szCs w:val="21"/>
    </w:rPr>
  </w:style>
  <w:style w:type="character" w:customStyle="1" w:styleId="29">
    <w:name w:val="文档结构图 字符"/>
    <w:link w:val="6"/>
    <w:semiHidden/>
    <w:qFormat/>
    <w:uiPriority w:val="99"/>
    <w:rPr>
      <w:sz w:val="0"/>
      <w:szCs w:val="0"/>
    </w:rPr>
  </w:style>
  <w:style w:type="character" w:customStyle="1" w:styleId="30">
    <w:name w:val="日期 字符"/>
    <w:link w:val="10"/>
    <w:semiHidden/>
    <w:qFormat/>
    <w:uiPriority w:val="99"/>
    <w:rPr>
      <w:szCs w:val="21"/>
    </w:rPr>
  </w:style>
  <w:style w:type="character" w:customStyle="1" w:styleId="31">
    <w:name w:val="批注框文本 字符"/>
    <w:link w:val="11"/>
    <w:semiHidden/>
    <w:qFormat/>
    <w:uiPriority w:val="99"/>
    <w:rPr>
      <w:sz w:val="0"/>
      <w:szCs w:val="0"/>
    </w:rPr>
  </w:style>
  <w:style w:type="character" w:customStyle="1" w:styleId="32">
    <w:name w:val="页脚 字符"/>
    <w:link w:val="12"/>
    <w:semiHidden/>
    <w:qFormat/>
    <w:uiPriority w:val="99"/>
    <w:rPr>
      <w:sz w:val="18"/>
      <w:szCs w:val="18"/>
    </w:rPr>
  </w:style>
  <w:style w:type="character" w:customStyle="1" w:styleId="33">
    <w:name w:val="页眉 字符"/>
    <w:link w:val="13"/>
    <w:semiHidden/>
    <w:qFormat/>
    <w:uiPriority w:val="99"/>
    <w:rPr>
      <w:sz w:val="18"/>
      <w:szCs w:val="18"/>
    </w:rPr>
  </w:style>
  <w:style w:type="character" w:customStyle="1" w:styleId="34">
    <w:name w:val="card1"/>
    <w:qFormat/>
    <w:uiPriority w:val="99"/>
    <w:rPr>
      <w:rFonts w:ascii="??" w:cs="??"/>
      <w:sz w:val="12"/>
      <w:szCs w:val="12"/>
    </w:rPr>
  </w:style>
  <w:style w:type="character" w:customStyle="1" w:styleId="35">
    <w:name w:val="word_other"/>
    <w:basedOn w:val="19"/>
    <w:qFormat/>
    <w:uiPriority w:val="99"/>
  </w:style>
  <w:style w:type="character" w:customStyle="1" w:styleId="36">
    <w:name w:val="trans"/>
    <w:basedOn w:val="19"/>
    <w:qFormat/>
    <w:uiPriority w:val="99"/>
  </w:style>
  <w:style w:type="paragraph" w:customStyle="1" w:styleId="37">
    <w:name w:val="Char Char Char Char"/>
    <w:basedOn w:val="1"/>
    <w:next w:val="1"/>
    <w:qFormat/>
    <w:uiPriority w:val="0"/>
    <w:pPr>
      <w:spacing w:line="360" w:lineRule="auto"/>
      <w:jc w:val="left"/>
    </w:pPr>
    <w:rPr>
      <w:sz w:val="28"/>
      <w:szCs w:val="24"/>
    </w:rPr>
  </w:style>
  <w:style w:type="paragraph" w:customStyle="1" w:styleId="38">
    <w:name w:val="标准文件_段"/>
    <w:qFormat/>
    <w:uiPriority w:val="0"/>
    <w:pPr>
      <w:widowControl w:val="0"/>
      <w:autoSpaceDE w:val="0"/>
      <w:autoSpaceDN w:val="0"/>
      <w:adjustRightInd w:val="0"/>
      <w:snapToGrid w:val="0"/>
      <w:spacing w:line="276" w:lineRule="auto"/>
      <w:jc w:val="both"/>
      <w:outlineLvl w:val="2"/>
    </w:pPr>
    <w:rPr>
      <w:rFonts w:ascii="宋体" w:hAnsi="宋体" w:eastAsia="宋体" w:cs="Times New Roman"/>
      <w:color w:val="FF0000"/>
      <w:kern w:val="2"/>
      <w:sz w:val="24"/>
      <w:szCs w:val="24"/>
      <w:lang w:val="en-US" w:eastAsia="zh-CN" w:bidi="ar-SA"/>
    </w:rPr>
  </w:style>
  <w:style w:type="paragraph" w:customStyle="1" w:styleId="39">
    <w:name w:val="标准文件_正文图标题"/>
    <w:next w:val="38"/>
    <w:qFormat/>
    <w:uiPriority w:val="0"/>
    <w:pPr>
      <w:numPr>
        <w:ilvl w:val="0"/>
        <w:numId w:val="1"/>
      </w:numPr>
      <w:jc w:val="center"/>
    </w:pPr>
    <w:rPr>
      <w:rFonts w:ascii="黑体" w:hAnsi="Times New Roman" w:eastAsia="黑体" w:cs="Times New Roman"/>
      <w:sz w:val="21"/>
      <w:lang w:val="en-US" w:eastAsia="zh-CN" w:bidi="ar-SA"/>
    </w:rPr>
  </w:style>
  <w:style w:type="paragraph" w:customStyle="1" w:styleId="40">
    <w:name w:val="段"/>
    <w:link w:val="41"/>
    <w:qFormat/>
    <w:uiPriority w:val="0"/>
    <w:pPr>
      <w:tabs>
        <w:tab w:val="center" w:pos="4201"/>
        <w:tab w:val="right" w:leader="dot" w:pos="9298"/>
      </w:tabs>
      <w:autoSpaceDE w:val="0"/>
      <w:autoSpaceDN w:val="0"/>
      <w:ind w:firstLine="420" w:firstLine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  <w:style w:type="character" w:customStyle="1" w:styleId="41">
    <w:name w:val="段 Char"/>
    <w:link w:val="40"/>
    <w:qFormat/>
    <w:uiPriority w:val="0"/>
    <w:rPr>
      <w:rFonts w:ascii="宋体"/>
      <w:sz w:val="21"/>
      <w:lang w:val="en-US" w:eastAsia="zh-CN" w:bidi="ar-SA"/>
    </w:rPr>
  </w:style>
  <w:style w:type="paragraph" w:customStyle="1" w:styleId="42">
    <w:name w:val="标准文件_章标题"/>
    <w:next w:val="38"/>
    <w:qFormat/>
    <w:uiPriority w:val="0"/>
    <w:pPr>
      <w:numPr>
        <w:ilvl w:val="1"/>
        <w:numId w:val="2"/>
      </w:numPr>
      <w:spacing w:before="50" w:beforeLines="50" w:after="50" w:afterLines="50"/>
      <w:ind w:right="-50" w:rightChars="-50"/>
      <w:jc w:val="both"/>
      <w:outlineLvl w:val="1"/>
    </w:pPr>
    <w:rPr>
      <w:rFonts w:ascii="黑体" w:hAnsi="Times New Roman" w:eastAsia="黑体" w:cs="Times New Roman"/>
      <w:spacing w:val="2"/>
      <w:sz w:val="21"/>
      <w:lang w:val="en-US" w:eastAsia="zh-CN" w:bidi="ar-SA"/>
    </w:rPr>
  </w:style>
  <w:style w:type="paragraph" w:customStyle="1" w:styleId="43">
    <w:name w:val="标准文件_一级条标题"/>
    <w:basedOn w:val="42"/>
    <w:next w:val="38"/>
    <w:qFormat/>
    <w:uiPriority w:val="0"/>
    <w:pPr>
      <w:numPr>
        <w:ilvl w:val="2"/>
      </w:numPr>
      <w:spacing w:before="0" w:beforeLines="0" w:after="0" w:afterLines="0"/>
      <w:outlineLvl w:val="2"/>
    </w:pPr>
  </w:style>
  <w:style w:type="paragraph" w:customStyle="1" w:styleId="44">
    <w:name w:val="标准文件_二级条标题"/>
    <w:basedOn w:val="43"/>
    <w:next w:val="38"/>
    <w:qFormat/>
    <w:uiPriority w:val="0"/>
    <w:pPr>
      <w:numPr>
        <w:ilvl w:val="3"/>
      </w:numPr>
      <w:outlineLvl w:val="3"/>
    </w:pPr>
  </w:style>
  <w:style w:type="paragraph" w:customStyle="1" w:styleId="45">
    <w:name w:val="前言标题"/>
    <w:next w:val="1"/>
    <w:qFormat/>
    <w:uiPriority w:val="0"/>
    <w:pPr>
      <w:numPr>
        <w:ilvl w:val="0"/>
        <w:numId w:val="2"/>
      </w:numPr>
      <w:shd w:val="clear" w:color="FFFFFF" w:fill="FFFFFF"/>
      <w:spacing w:before="540" w:after="600"/>
      <w:jc w:val="center"/>
      <w:outlineLvl w:val="0"/>
    </w:pPr>
    <w:rPr>
      <w:rFonts w:ascii="黑体" w:hAnsi="Times New Roman" w:eastAsia="黑体" w:cs="Times New Roman"/>
      <w:sz w:val="32"/>
      <w:lang w:val="en-US" w:eastAsia="zh-CN" w:bidi="ar-SA"/>
    </w:rPr>
  </w:style>
  <w:style w:type="paragraph" w:customStyle="1" w:styleId="46">
    <w:name w:val="标准文件_三级条标题"/>
    <w:basedOn w:val="44"/>
    <w:next w:val="38"/>
    <w:qFormat/>
    <w:uiPriority w:val="0"/>
    <w:pPr>
      <w:numPr>
        <w:ilvl w:val="4"/>
      </w:numPr>
      <w:outlineLvl w:val="4"/>
    </w:pPr>
  </w:style>
  <w:style w:type="paragraph" w:customStyle="1" w:styleId="47">
    <w:name w:val="标准文件_四级条标题"/>
    <w:basedOn w:val="46"/>
    <w:next w:val="38"/>
    <w:qFormat/>
    <w:uiPriority w:val="0"/>
    <w:pPr>
      <w:numPr>
        <w:ilvl w:val="5"/>
      </w:numPr>
      <w:outlineLvl w:val="5"/>
    </w:pPr>
  </w:style>
  <w:style w:type="paragraph" w:customStyle="1" w:styleId="48">
    <w:name w:val="标准文件_五级条标题"/>
    <w:basedOn w:val="47"/>
    <w:next w:val="38"/>
    <w:qFormat/>
    <w:uiPriority w:val="0"/>
    <w:pPr>
      <w:numPr>
        <w:ilvl w:val="6"/>
      </w:numPr>
      <w:outlineLvl w:val="6"/>
    </w:pPr>
  </w:style>
  <w:style w:type="paragraph" w:customStyle="1" w:styleId="49">
    <w:name w:val="Char"/>
    <w:basedOn w:val="6"/>
    <w:qFormat/>
    <w:uiPriority w:val="0"/>
    <w:rPr>
      <w:rFonts w:ascii="Tahoma" w:hAnsi="Tahoma"/>
      <w:sz w:val="24"/>
      <w:szCs w:val="24"/>
    </w:rPr>
  </w:style>
  <w:style w:type="paragraph" w:customStyle="1" w:styleId="50">
    <w:name w:val="列表段落1"/>
    <w:basedOn w:val="1"/>
    <w:qFormat/>
    <w:uiPriority w:val="0"/>
    <w:pPr>
      <w:ind w:firstLine="420" w:firstLineChars="200"/>
    </w:pPr>
    <w:rPr>
      <w:rFonts w:ascii="Calibri" w:hAnsi="Calibri" w:cs="Calibri"/>
    </w:rPr>
  </w:style>
  <w:style w:type="paragraph" w:customStyle="1" w:styleId="51">
    <w:name w:val="列出段落1"/>
    <w:basedOn w:val="1"/>
    <w:qFormat/>
    <w:uiPriority w:val="34"/>
    <w:pPr>
      <w:ind w:firstLine="420" w:firstLineChars="200"/>
    </w:pPr>
  </w:style>
  <w:style w:type="paragraph" w:customStyle="1" w:styleId="52">
    <w:name w:val="修订1"/>
    <w:hidden/>
    <w:semiHidden/>
    <w:qFormat/>
    <w:uiPriority w:val="99"/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53">
    <w:name w:val="List Paragraph"/>
    <w:basedOn w:val="1"/>
    <w:qFormat/>
    <w:uiPriority w:val="34"/>
    <w:pPr>
      <w:adjustRightInd w:val="0"/>
      <w:spacing w:line="360" w:lineRule="auto"/>
      <w:ind w:firstLine="420" w:firstLineChars="200"/>
      <w:textAlignment w:val="baseline"/>
    </w:pPr>
    <w:rPr>
      <w:kern w:val="0"/>
      <w:sz w:val="24"/>
      <w:szCs w:val="20"/>
    </w:rPr>
  </w:style>
  <w:style w:type="character" w:styleId="54">
    <w:name w:val="Placeholder Text"/>
    <w:basedOn w:val="19"/>
    <w:semiHidden/>
    <w:qFormat/>
    <w:uiPriority w:val="99"/>
    <w:rPr>
      <w:color w:val="808080"/>
    </w:rPr>
  </w:style>
  <w:style w:type="paragraph" w:customStyle="1" w:styleId="55">
    <w:name w:val="中等深浅网格 1 - 强调文字颜色 21"/>
    <w:basedOn w:val="1"/>
    <w:link w:val="56"/>
    <w:qFormat/>
    <w:uiPriority w:val="34"/>
    <w:pPr>
      <w:ind w:firstLine="420" w:firstLineChars="200"/>
    </w:pPr>
    <w:rPr>
      <w:rFonts w:ascii="Calibri" w:hAnsi="Calibri"/>
      <w:szCs w:val="22"/>
      <w:lang w:val="zh-CN"/>
    </w:rPr>
  </w:style>
  <w:style w:type="character" w:customStyle="1" w:styleId="56">
    <w:name w:val="中等深浅网格 1 - 强调文字颜色 2 Char"/>
    <w:link w:val="55"/>
    <w:qFormat/>
    <w:uiPriority w:val="34"/>
    <w:rPr>
      <w:rFonts w:ascii="Calibri" w:hAnsi="Calibri"/>
      <w:kern w:val="2"/>
      <w:sz w:val="21"/>
      <w:szCs w:val="22"/>
      <w:lang w:val="zh-CN" w:eastAsia="zh-CN"/>
    </w:rPr>
  </w:style>
  <w:style w:type="paragraph" w:customStyle="1" w:styleId="57">
    <w:name w:val="tgt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58">
    <w:name w:val="tgt1"/>
    <w:basedOn w:val="19"/>
    <w:qFormat/>
    <w:uiPriority w:val="0"/>
  </w:style>
  <w:style w:type="paragraph" w:customStyle="1" w:styleId="59">
    <w:name w:val="标准标志"/>
    <w:next w:val="1"/>
    <w:qFormat/>
    <w:uiPriority w:val="0"/>
    <w:pPr>
      <w:shd w:val="solid" w:color="FFFFFF" w:fill="FFFFFF"/>
      <w:spacing w:after="200" w:line="0" w:lineRule="atLeast"/>
      <w:jc w:val="right"/>
    </w:pPr>
    <w:rPr>
      <w:rFonts w:ascii="Calibri" w:hAnsi="Calibri" w:eastAsia="宋体" w:cs="Times New Roman"/>
      <w:b/>
      <w:w w:val="170"/>
      <w:sz w:val="96"/>
      <w:szCs w:val="96"/>
      <w:lang w:val="en-US" w:eastAsia="en-US" w:bidi="en-US"/>
    </w:rPr>
  </w:style>
  <w:style w:type="paragraph" w:customStyle="1" w:styleId="60">
    <w:name w:val="Revision"/>
    <w:hidden/>
    <w:unhideWhenUsed/>
    <w:qFormat/>
    <w:uiPriority w:val="99"/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4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header" Target="header3.xml"/><Relationship Id="rId5" Type="http://schemas.openxmlformats.org/officeDocument/2006/relationships/header" Target="head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4" Type="http://schemas.openxmlformats.org/officeDocument/2006/relationships/fontTable" Target="fontTable.xml"/><Relationship Id="rId23" Type="http://schemas.openxmlformats.org/officeDocument/2006/relationships/numbering" Target="numbering.xml"/><Relationship Id="rId22" Type="http://schemas.openxmlformats.org/officeDocument/2006/relationships/customXml" Target="../customXml/item1.xml"/><Relationship Id="rId21" Type="http://schemas.openxmlformats.org/officeDocument/2006/relationships/image" Target="media/image6.png"/><Relationship Id="rId20" Type="http://schemas.openxmlformats.org/officeDocument/2006/relationships/image" Target="media/image5.png"/><Relationship Id="rId2" Type="http://schemas.openxmlformats.org/officeDocument/2006/relationships/settings" Target="settings.xml"/><Relationship Id="rId19" Type="http://schemas.openxmlformats.org/officeDocument/2006/relationships/image" Target="media/image4.emf"/><Relationship Id="rId18" Type="http://schemas.openxmlformats.org/officeDocument/2006/relationships/image" Target="media/image3.emf"/><Relationship Id="rId17" Type="http://schemas.openxmlformats.org/officeDocument/2006/relationships/image" Target="media/image2.emf"/><Relationship Id="rId16" Type="http://schemas.openxmlformats.org/officeDocument/2006/relationships/image" Target="media/image1.emf"/><Relationship Id="rId15" Type="http://schemas.openxmlformats.org/officeDocument/2006/relationships/theme" Target="theme/theme1.xml"/><Relationship Id="rId14" Type="http://schemas.openxmlformats.org/officeDocument/2006/relationships/footer" Target="footer9.xml"/><Relationship Id="rId13" Type="http://schemas.openxmlformats.org/officeDocument/2006/relationships/footer" Target="footer8.xml"/><Relationship Id="rId12" Type="http://schemas.openxmlformats.org/officeDocument/2006/relationships/footer" Target="footer7.xml"/><Relationship Id="rId11" Type="http://schemas.openxmlformats.org/officeDocument/2006/relationships/footer" Target="footer6.xml"/><Relationship Id="rId10" Type="http://schemas.openxmlformats.org/officeDocument/2006/relationships/footer" Target="footer5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22</Pages>
  <Words>3952</Words>
  <Characters>4730</Characters>
  <Lines>58</Lines>
  <Paragraphs>16</Paragraphs>
  <TotalTime>2</TotalTime>
  <ScaleCrop>false</ScaleCrop>
  <LinksUpToDate>false</LinksUpToDate>
  <CharactersWithSpaces>5299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2019-12-05T06:21:00Z</dcterms:created>
  <dc:creator>Chenhj</dc:creator>
  <cp:lastModifiedBy>蔡晨光</cp:lastModifiedBy>
  <cp:lastPrinted>2010-02-25T09:11:00Z</cp:lastPrinted>
  <dcterms:modified xsi:type="dcterms:W3CDTF">2026-07-23T16:07:20Z</dcterms:modified>
  <dc:title> </dc:title>
  <cp:revision>131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DA929CEA652C4CC69BC2552B3511A9C7_12</vt:lpwstr>
  </property>
  <property fmtid="{D5CDD505-2E9C-101B-9397-08002B2CF9AE}" pid="4" name="KSOTemplateDocerSaveRecord">
    <vt:lpwstr>eyJoZGlkIjoiMDg4ZTc2NjI2MDY2NTBlZGNjODkxY2Y5MjE3ZjQ0NWQiLCJ1c2VySWQiOiI0NjU1MTAzMTEifQ==</vt:lpwstr>
  </property>
</Properties>
</file>