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2A7FB3">
      <w:pPr>
        <w:pStyle w:val="4"/>
        <w:spacing w:line="360" w:lineRule="auto"/>
        <w:jc w:val="center"/>
        <w:rPr>
          <w:rFonts w:hint="eastAsia" w:ascii="黑体" w:eastAsia="黑体" w:cs="宋体"/>
          <w:b w:val="0"/>
          <w:sz w:val="28"/>
          <w:szCs w:val="28"/>
          <w:lang w:val="en-US" w:eastAsia="zh-CN"/>
        </w:rPr>
      </w:pPr>
      <w:r>
        <w:rPr>
          <w:rFonts w:hint="eastAsia" w:ascii="黑体" w:eastAsia="黑体" w:cs="宋体"/>
          <w:b w:val="0"/>
          <w:sz w:val="28"/>
          <w:szCs w:val="28"/>
          <w:lang w:val="en-US" w:eastAsia="zh-CN"/>
        </w:rPr>
        <w:t>机器视觉低频振动</w:t>
      </w:r>
      <w:r>
        <w:rPr>
          <w:rFonts w:hint="eastAsia" w:ascii="黑体" w:eastAsia="黑体" w:cs="宋体"/>
          <w:b w:val="0"/>
          <w:sz w:val="28"/>
          <w:szCs w:val="28"/>
        </w:rPr>
        <w:t>校准不确定度评定</w:t>
      </w:r>
      <w:r>
        <w:rPr>
          <w:rFonts w:hint="eastAsia" w:ascii="黑体" w:eastAsia="黑体" w:cs="宋体"/>
          <w:b w:val="0"/>
          <w:sz w:val="28"/>
          <w:szCs w:val="28"/>
          <w:lang w:val="en-US" w:eastAsia="zh-CN"/>
        </w:rPr>
        <w:t>报告</w:t>
      </w:r>
    </w:p>
    <w:p w14:paraId="2F71D4AA">
      <w:pPr>
        <w:spacing w:line="360" w:lineRule="auto"/>
        <w:rPr>
          <w:rFonts w:ascii="宋体" w:hAnsi="宋体"/>
          <w:sz w:val="24"/>
          <w:szCs w:val="24"/>
        </w:rPr>
      </w:pPr>
    </w:p>
    <w:p w14:paraId="3CF8410B">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1、机器视觉振动测量系统校准的测量不确定度</w:t>
      </w:r>
    </w:p>
    <w:p w14:paraId="2BE12A92">
      <w:pPr>
        <w:spacing w:line="360" w:lineRule="auto"/>
        <w:ind w:firstLine="56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机器视觉的标准正弦振动测量受外部光学特性、摄像机参数及标定、环境噪声、边缘提取、直线拟合等因素的影响。主要不确定度分量包括：</w:t>
      </w:r>
    </w:p>
    <w:p w14:paraId="782AF7DB">
      <w:pPr>
        <w:spacing w:line="360" w:lineRule="auto"/>
        <w:ind w:firstLine="56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（1）光照、光电转换及外部环境噪声等影响图像像素的灰度值，其引入的不确定度分量</w:t>
      </w:r>
      <w:r>
        <w:rPr>
          <w:rFonts w:hint="default" w:ascii="Times New Roman" w:hAnsi="Times New Roman" w:eastAsia="宋体" w:cs="Times New Roman"/>
          <w:i/>
          <w:iCs/>
          <w:sz w:val="24"/>
          <w:szCs w:val="24"/>
        </w:rPr>
        <w:t>u</w:t>
      </w:r>
      <w:r>
        <w:rPr>
          <w:rFonts w:hint="default" w:ascii="Times New Roman" w:hAnsi="Times New Roman" w:eastAsia="宋体" w:cs="Times New Roman"/>
          <w:sz w:val="24"/>
          <w:szCs w:val="24"/>
        </w:rPr>
        <w:t>(</w:t>
      </w:r>
      <w:r>
        <w:rPr>
          <w:rFonts w:hint="default" w:ascii="Times New Roman" w:hAnsi="Times New Roman" w:eastAsia="宋体" w:cs="Times New Roman"/>
          <w:i/>
          <w:iCs/>
          <w:sz w:val="24"/>
          <w:szCs w:val="24"/>
        </w:rPr>
        <w:t>r</w:t>
      </w:r>
      <w:r>
        <w:rPr>
          <w:rFonts w:hint="default" w:ascii="Times New Roman" w:hAnsi="Times New Roman" w:eastAsia="宋体" w:cs="Times New Roman"/>
          <w:sz w:val="24"/>
          <w:szCs w:val="24"/>
        </w:rPr>
        <w:t>)为随机误差。在相对稳定的外部环境条件下，采集</w:t>
      </w:r>
      <w:r>
        <w:rPr>
          <w:rFonts w:hint="default" w:ascii="Times New Roman" w:hAnsi="Times New Roman" w:eastAsia="宋体" w:cs="Times New Roman"/>
          <w:i/>
          <w:iCs/>
          <w:sz w:val="24"/>
          <w:szCs w:val="24"/>
        </w:rPr>
        <w:t>M</w:t>
      </w:r>
      <w:r>
        <w:rPr>
          <w:rFonts w:hint="default" w:ascii="Times New Roman" w:hAnsi="Times New Roman" w:eastAsia="宋体" w:cs="Times New Roman"/>
          <w:sz w:val="24"/>
          <w:szCs w:val="24"/>
        </w:rPr>
        <w:t>帧图像，统计每帧图像同一像素的灰度值</w:t>
      </w:r>
      <w:r>
        <w:rPr>
          <w:rFonts w:hint="default" w:ascii="Times New Roman" w:hAnsi="Times New Roman" w:eastAsia="宋体" w:cs="Times New Roman"/>
          <w:position w:val="-12"/>
          <w:sz w:val="24"/>
          <w:szCs w:val="24"/>
        </w:rPr>
        <w:object>
          <v:shape id="_x0000_i1025" o:spt="75" type="#_x0000_t75" style="height:18.45pt;width:18.1pt;" o:ole="t" filled="f" o:preferrelative="t" stroked="f" coordsize="21600,21600">
            <v:path/>
            <v:fill on="f" focussize="0,0"/>
            <v:stroke on="f" joinstyle="miter"/>
            <v:imagedata r:id="rId7" o:title=""/>
            <o:lock v:ext="edit" aspectratio="t"/>
            <w10:wrap type="none"/>
            <w10:anchorlock/>
          </v:shape>
          <o:OLEObject Type="Embed" ProgID="Equation.DSMT4" ShapeID="_x0000_i1025" DrawAspect="Content" ObjectID="_1468075725" r:id="rId6">
            <o:LockedField>false</o:LockedField>
          </o:OLEObject>
        </w:object>
      </w:r>
      <w:r>
        <w:rPr>
          <w:rFonts w:hint="default" w:ascii="Times New Roman" w:hAnsi="Times New Roman" w:eastAsia="宋体" w:cs="Times New Roman"/>
          <w:sz w:val="24"/>
          <w:szCs w:val="24"/>
        </w:rPr>
        <w:t>，均值为</w:t>
      </w:r>
      <w:r>
        <w:rPr>
          <w:rFonts w:hint="default" w:ascii="Times New Roman" w:hAnsi="Times New Roman" w:eastAsia="宋体" w:cs="Times New Roman"/>
          <w:position w:val="-12"/>
          <w:sz w:val="24"/>
          <w:szCs w:val="24"/>
        </w:rPr>
        <w:object>
          <v:shape id="_x0000_i1026" o:spt="75" type="#_x0000_t75" style="height:18.45pt;width:18.1pt;" o:ole="t" filled="f" o:preferrelative="t" stroked="f" coordsize="21600,21600">
            <v:path/>
            <v:fill on="f" focussize="0,0"/>
            <v:stroke on="f" joinstyle="miter"/>
            <v:imagedata r:id="rId9" o:title=""/>
            <o:lock v:ext="edit" aspectratio="t"/>
            <w10:wrap type="none"/>
            <w10:anchorlock/>
          </v:shape>
          <o:OLEObject Type="Embed" ProgID="Equation.DSMT4" ShapeID="_x0000_i1026" DrawAspect="Content" ObjectID="_1468075726" r:id="rId8">
            <o:LockedField>false</o:LockedField>
          </o:OLEObject>
        </w:object>
      </w:r>
      <w:r>
        <w:rPr>
          <w:rFonts w:hint="default" w:ascii="Times New Roman" w:hAnsi="Times New Roman" w:eastAsia="宋体" w:cs="Times New Roman"/>
          <w:sz w:val="24"/>
          <w:szCs w:val="24"/>
        </w:rPr>
        <w:t>。采用MCM评定的</w:t>
      </w:r>
      <w:r>
        <w:rPr>
          <w:rFonts w:hint="default" w:ascii="Times New Roman" w:hAnsi="Times New Roman" w:eastAsia="宋体" w:cs="Times New Roman"/>
          <w:i/>
          <w:iCs/>
          <w:sz w:val="24"/>
          <w:szCs w:val="24"/>
        </w:rPr>
        <w:t>u</w:t>
      </w:r>
      <w:r>
        <w:rPr>
          <w:rFonts w:hint="default" w:ascii="Times New Roman" w:hAnsi="Times New Roman" w:eastAsia="宋体" w:cs="Times New Roman"/>
          <w:sz w:val="24"/>
          <w:szCs w:val="24"/>
        </w:rPr>
        <w:t>(</w:t>
      </w:r>
      <w:r>
        <w:rPr>
          <w:rFonts w:hint="default" w:ascii="Times New Roman" w:hAnsi="Times New Roman" w:eastAsia="宋体" w:cs="Times New Roman"/>
          <w:i/>
          <w:iCs/>
          <w:sz w:val="24"/>
          <w:szCs w:val="24"/>
        </w:rPr>
        <w:t>r</w:t>
      </w:r>
      <w:r>
        <w:rPr>
          <w:rFonts w:hint="default" w:ascii="Times New Roman" w:hAnsi="Times New Roman" w:eastAsia="宋体" w:cs="Times New Roman"/>
          <w:sz w:val="24"/>
          <w:szCs w:val="24"/>
        </w:rPr>
        <w:t>)为：</w:t>
      </w:r>
    </w:p>
    <w:p w14:paraId="23737E14">
      <w:pPr>
        <w:pStyle w:val="58"/>
        <w:spacing w:line="360" w:lineRule="auto"/>
        <w:jc w:val="righ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ab/>
      </w:r>
      <w:r>
        <w:rPr>
          <w:rFonts w:hint="default" w:ascii="Times New Roman" w:hAnsi="Times New Roman" w:eastAsia="宋体" w:cs="Times New Roman"/>
          <w:position w:val="-30"/>
          <w:sz w:val="24"/>
          <w:szCs w:val="24"/>
        </w:rPr>
        <w:object>
          <v:shape id="_x0000_i1027" o:spt="75" type="#_x0000_t75" style="height:59.7pt;width:168.25pt;" o:ole="t" filled="f" o:preferrelative="t" stroked="f" coordsize="21600,21600">
            <v:path/>
            <v:fill on="f" focussize="0,0"/>
            <v:stroke on="f" joinstyle="miter"/>
            <v:imagedata r:id="rId11" o:title=""/>
            <o:lock v:ext="edit" aspectratio="t"/>
            <w10:wrap type="none"/>
            <w10:anchorlock/>
          </v:shape>
          <o:OLEObject Type="Embed" ProgID="Equation.DSMT4" ShapeID="_x0000_i1027" DrawAspect="Content" ObjectID="_1468075727" r:id="rId10">
            <o:LockedField>false</o:LockedField>
          </o:OLEObject>
        </w:object>
      </w:r>
      <w:r>
        <w:rPr>
          <w:rFonts w:hint="default" w:ascii="Times New Roman" w:hAnsi="Times New Roman" w:eastAsia="宋体" w:cs="Times New Roman"/>
          <w:sz w:val="24"/>
          <w:szCs w:val="24"/>
        </w:rPr>
        <w:tab/>
      </w:r>
      <w:r>
        <w:rPr>
          <w:rFonts w:hint="eastAsia" w:cs="Times New Roman"/>
          <w:sz w:val="24"/>
          <w:szCs w:val="24"/>
          <w:lang w:eastAsia="zh-CN"/>
        </w:rPr>
        <w:t>（</w:t>
      </w:r>
      <w:r>
        <w:rPr>
          <w:rFonts w:hint="eastAsia" w:cs="Times New Roman"/>
          <w:sz w:val="24"/>
          <w:szCs w:val="24"/>
          <w:lang w:val="en-US" w:eastAsia="zh-CN"/>
        </w:rPr>
        <w:t>1）</w:t>
      </w:r>
    </w:p>
    <w:p w14:paraId="20B87FF0">
      <w:pPr>
        <w:spacing w:line="360" w:lineRule="auto"/>
        <w:ind w:firstLine="56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式中：</w:t>
      </w:r>
      <w:r>
        <w:rPr>
          <w:rFonts w:hint="default" w:ascii="Times New Roman" w:hAnsi="Times New Roman" w:eastAsia="宋体" w:cs="Times New Roman"/>
          <w:i/>
          <w:iCs/>
          <w:sz w:val="24"/>
          <w:szCs w:val="24"/>
        </w:rPr>
        <w:t>K</w:t>
      </w:r>
      <w:r>
        <w:rPr>
          <w:rFonts w:hint="default" w:ascii="Times New Roman" w:hAnsi="Times New Roman" w:eastAsia="宋体" w:cs="Times New Roman"/>
          <w:sz w:val="24"/>
          <w:szCs w:val="24"/>
        </w:rPr>
        <w:t>为每帧图像的像素数。此外，像素级位置存在量化误差，采用B类不确定度方法评定其不确定度</w:t>
      </w:r>
      <w:r>
        <w:rPr>
          <w:rFonts w:hint="default" w:ascii="Times New Roman" w:hAnsi="Times New Roman" w:eastAsia="宋体" w:cs="Times New Roman"/>
          <w:i/>
          <w:iCs/>
          <w:sz w:val="24"/>
          <w:szCs w:val="24"/>
        </w:rPr>
        <w:t>u</w:t>
      </w:r>
      <w:r>
        <w:rPr>
          <w:rFonts w:hint="default" w:ascii="Times New Roman" w:hAnsi="Times New Roman" w:eastAsia="宋体" w:cs="Times New Roman"/>
          <w:sz w:val="24"/>
          <w:szCs w:val="24"/>
        </w:rPr>
        <w:t>(</w:t>
      </w:r>
      <w:r>
        <w:rPr>
          <w:rFonts w:hint="default" w:ascii="Times New Roman" w:hAnsi="Times New Roman" w:eastAsia="宋体" w:cs="Times New Roman"/>
          <w:i/>
          <w:iCs/>
          <w:sz w:val="24"/>
          <w:szCs w:val="24"/>
        </w:rPr>
        <w:t>p</w:t>
      </w:r>
      <w:r>
        <w:rPr>
          <w:rFonts w:hint="default" w:ascii="Times New Roman" w:hAnsi="Times New Roman" w:eastAsia="宋体" w:cs="Times New Roman"/>
          <w:sz w:val="24"/>
          <w:szCs w:val="24"/>
        </w:rPr>
        <w:t>)：</w:t>
      </w:r>
    </w:p>
    <w:p w14:paraId="1F6D1FAC">
      <w:pPr>
        <w:pStyle w:val="58"/>
        <w:spacing w:line="360" w:lineRule="auto"/>
        <w:jc w:val="righ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ab/>
      </w:r>
      <w:r>
        <w:rPr>
          <w:rFonts w:hint="default" w:ascii="Times New Roman" w:hAnsi="Times New Roman" w:eastAsia="宋体" w:cs="Times New Roman"/>
          <w:position w:val="-14"/>
          <w:sz w:val="24"/>
          <w:szCs w:val="24"/>
        </w:rPr>
        <w:object>
          <v:shape id="_x0000_i1028" o:spt="75" type="#_x0000_t75" style="height:24.25pt;width:77.8pt;" o:ole="t" filled="f" o:preferrelative="t" stroked="f" coordsize="21600,21600">
            <v:path/>
            <v:fill on="f" focussize="0,0"/>
            <v:stroke on="f" joinstyle="miter"/>
            <v:imagedata r:id="rId13" o:title=""/>
            <o:lock v:ext="edit" aspectratio="t"/>
            <w10:wrap type="none"/>
            <w10:anchorlock/>
          </v:shape>
          <o:OLEObject Type="Embed" ProgID="Equation.DSMT4" ShapeID="_x0000_i1028" DrawAspect="Content" ObjectID="_1468075728" r:id="rId12">
            <o:LockedField>false</o:LockedField>
          </o:OLEObject>
        </w:object>
      </w:r>
      <w:r>
        <w:rPr>
          <w:rFonts w:hint="default" w:ascii="Times New Roman" w:hAnsi="Times New Roman" w:eastAsia="宋体" w:cs="Times New Roman"/>
          <w:sz w:val="24"/>
          <w:szCs w:val="24"/>
        </w:rPr>
        <w:tab/>
      </w:r>
      <w:r>
        <w:rPr>
          <w:rFonts w:hint="eastAsia" w:cs="Times New Roman"/>
          <w:sz w:val="24"/>
          <w:szCs w:val="24"/>
          <w:lang w:eastAsia="zh-CN"/>
        </w:rPr>
        <w:t>（</w:t>
      </w:r>
      <w:r>
        <w:rPr>
          <w:rFonts w:hint="eastAsia" w:cs="Times New Roman"/>
          <w:sz w:val="24"/>
          <w:szCs w:val="24"/>
          <w:lang w:val="en-US" w:eastAsia="zh-CN"/>
        </w:rPr>
        <w:t>2）</w:t>
      </w:r>
    </w:p>
    <w:p w14:paraId="5DF9558E">
      <w:pPr>
        <w:spacing w:line="360" w:lineRule="auto"/>
        <w:ind w:firstLine="0"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其中，</w:t>
      </w:r>
      <w:r>
        <w:rPr>
          <w:rFonts w:hint="default" w:ascii="Times New Roman" w:hAnsi="Times New Roman" w:eastAsia="宋体" w:cs="Times New Roman"/>
          <w:sz w:val="24"/>
          <w:szCs w:val="24"/>
        </w:rPr>
        <w:sym w:font="Symbol" w:char="F044"/>
      </w:r>
      <w:r>
        <w:rPr>
          <w:rFonts w:hint="default" w:ascii="Times New Roman" w:hAnsi="Times New Roman" w:eastAsia="宋体" w:cs="Times New Roman"/>
          <w:i/>
          <w:iCs/>
          <w:sz w:val="24"/>
          <w:szCs w:val="24"/>
          <w:vertAlign w:val="subscript"/>
        </w:rPr>
        <w:t>p</w:t>
      </w:r>
      <w:r>
        <w:rPr>
          <w:rFonts w:hint="default" w:ascii="Times New Roman" w:hAnsi="Times New Roman" w:eastAsia="宋体" w:cs="Times New Roman"/>
          <w:sz w:val="24"/>
          <w:szCs w:val="24"/>
        </w:rPr>
        <w:t>为显示器像素位置的量化误差。</w:t>
      </w:r>
    </w:p>
    <w:p w14:paraId="41541AC7">
      <w:pPr>
        <w:spacing w:line="360" w:lineRule="auto"/>
        <w:ind w:firstLine="56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（2）图像分辨率影响目标运动位移的测量精度，采用B类不确定度方法评定其不确定度为</w:t>
      </w:r>
      <w:r>
        <w:rPr>
          <w:rFonts w:hint="default" w:ascii="Times New Roman" w:hAnsi="Times New Roman" w:eastAsia="宋体" w:cs="Times New Roman"/>
          <w:i/>
          <w:iCs/>
          <w:sz w:val="24"/>
          <w:szCs w:val="24"/>
        </w:rPr>
        <w:t>u</w:t>
      </w:r>
      <w:r>
        <w:rPr>
          <w:rFonts w:hint="default" w:ascii="Times New Roman" w:hAnsi="Times New Roman" w:eastAsia="宋体" w:cs="Times New Roman"/>
          <w:sz w:val="24"/>
          <w:szCs w:val="24"/>
        </w:rPr>
        <w:t>(</w:t>
      </w:r>
      <w:r>
        <w:rPr>
          <w:rFonts w:hint="default" w:ascii="Times New Roman" w:hAnsi="Times New Roman" w:eastAsia="宋体" w:cs="Times New Roman"/>
          <w:i/>
          <w:iCs/>
          <w:sz w:val="24"/>
          <w:szCs w:val="24"/>
        </w:rPr>
        <w:t>IR</w:t>
      </w:r>
      <w:r>
        <w:rPr>
          <w:rFonts w:hint="default" w:ascii="Times New Roman" w:hAnsi="Times New Roman" w:eastAsia="宋体" w:cs="Times New Roman"/>
          <w:sz w:val="24"/>
          <w:szCs w:val="24"/>
        </w:rPr>
        <w:t>)：</w:t>
      </w:r>
    </w:p>
    <w:p w14:paraId="5294173D">
      <w:pPr>
        <w:pStyle w:val="58"/>
        <w:spacing w:line="360" w:lineRule="auto"/>
        <w:jc w:val="righ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ab/>
      </w:r>
      <w:r>
        <w:rPr>
          <w:rFonts w:hint="default" w:ascii="Times New Roman" w:hAnsi="Times New Roman" w:eastAsia="宋体" w:cs="Times New Roman"/>
          <w:position w:val="-14"/>
          <w:sz w:val="24"/>
          <w:szCs w:val="24"/>
        </w:rPr>
        <w:object>
          <v:shape id="_x0000_i1029" o:spt="75" type="#_x0000_t75" style="height:24.25pt;width:90.1pt;" o:ole="t" filled="f" o:preferrelative="t" stroked="f" coordsize="21600,21600">
            <v:path/>
            <v:fill on="f" focussize="0,0"/>
            <v:stroke on="f" joinstyle="miter"/>
            <v:imagedata r:id="rId15" o:title=""/>
            <o:lock v:ext="edit" aspectratio="t"/>
            <w10:wrap type="none"/>
            <w10:anchorlock/>
          </v:shape>
          <o:OLEObject Type="Embed" ProgID="Equation.DSMT4" ShapeID="_x0000_i1029" DrawAspect="Content" ObjectID="_1468075729" r:id="rId14">
            <o:LockedField>false</o:LockedField>
          </o:OLEObject>
        </w:object>
      </w:r>
      <w:r>
        <w:rPr>
          <w:rFonts w:hint="default" w:ascii="Times New Roman" w:hAnsi="Times New Roman" w:eastAsia="宋体" w:cs="Times New Roman"/>
          <w:sz w:val="24"/>
          <w:szCs w:val="24"/>
        </w:rPr>
        <w:tab/>
      </w:r>
      <w:r>
        <w:rPr>
          <w:rFonts w:hint="eastAsia" w:cs="Times New Roman"/>
          <w:sz w:val="24"/>
          <w:szCs w:val="24"/>
          <w:lang w:eastAsia="zh-CN"/>
        </w:rPr>
        <w:t>（</w:t>
      </w:r>
      <w:r>
        <w:rPr>
          <w:rFonts w:hint="eastAsia" w:cs="Times New Roman"/>
          <w:sz w:val="24"/>
          <w:szCs w:val="24"/>
          <w:lang w:val="en-US" w:eastAsia="zh-CN"/>
        </w:rPr>
        <w:t>3</w:t>
      </w:r>
      <w:r>
        <w:rPr>
          <w:rFonts w:hint="eastAsia" w:cs="Times New Roman"/>
          <w:sz w:val="24"/>
          <w:szCs w:val="24"/>
          <w:lang w:eastAsia="zh-CN"/>
        </w:rPr>
        <w:t>）</w:t>
      </w:r>
    </w:p>
    <w:p w14:paraId="164C5BED">
      <w:pPr>
        <w:spacing w:line="360" w:lineRule="auto"/>
        <w:ind w:firstLine="0"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其中，</w:t>
      </w:r>
      <w:r>
        <w:rPr>
          <w:rFonts w:hint="default" w:ascii="Times New Roman" w:hAnsi="Times New Roman" w:eastAsia="宋体" w:cs="Times New Roman"/>
          <w:sz w:val="24"/>
          <w:szCs w:val="24"/>
        </w:rPr>
        <w:sym w:font="Symbol" w:char="F044"/>
      </w:r>
      <w:r>
        <w:rPr>
          <w:rFonts w:hint="default" w:ascii="Times New Roman" w:hAnsi="Times New Roman" w:eastAsia="宋体" w:cs="Times New Roman"/>
          <w:i/>
          <w:iCs/>
          <w:sz w:val="24"/>
          <w:szCs w:val="24"/>
          <w:vertAlign w:val="subscript"/>
        </w:rPr>
        <w:t>IR</w:t>
      </w:r>
      <w:r>
        <w:rPr>
          <w:rFonts w:hint="default" w:ascii="Times New Roman" w:hAnsi="Times New Roman" w:eastAsia="宋体" w:cs="Times New Roman"/>
          <w:sz w:val="24"/>
          <w:szCs w:val="24"/>
        </w:rPr>
        <w:t>为图像分辨率误差。</w:t>
      </w:r>
    </w:p>
    <w:p w14:paraId="0A6F41A2">
      <w:pPr>
        <w:spacing w:line="360" w:lineRule="auto"/>
        <w:ind w:firstLine="56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（3）镜头畸变、摄像机成像模型、摄像机光轴与运动目标平面不严格垂直等影响图像像素，其引入的不确定度为</w:t>
      </w:r>
      <w:r>
        <w:rPr>
          <w:rFonts w:hint="default" w:ascii="Times New Roman" w:hAnsi="Times New Roman" w:eastAsia="宋体" w:cs="Times New Roman"/>
          <w:i/>
          <w:iCs/>
          <w:sz w:val="24"/>
          <w:szCs w:val="24"/>
        </w:rPr>
        <w:t>u</w:t>
      </w:r>
      <w:r>
        <w:rPr>
          <w:rFonts w:hint="default" w:ascii="Times New Roman" w:hAnsi="Times New Roman" w:eastAsia="宋体" w:cs="Times New Roman"/>
          <w:sz w:val="24"/>
          <w:szCs w:val="24"/>
        </w:rPr>
        <w:t>(</w:t>
      </w:r>
      <w:r>
        <w:rPr>
          <w:rFonts w:hint="default" w:ascii="Times New Roman" w:hAnsi="Times New Roman" w:eastAsia="宋体" w:cs="Times New Roman"/>
          <w:i/>
          <w:iCs/>
          <w:sz w:val="24"/>
          <w:szCs w:val="24"/>
        </w:rPr>
        <w:t>C</w:t>
      </w:r>
      <w:r>
        <w:rPr>
          <w:rFonts w:hint="default" w:ascii="Times New Roman" w:hAnsi="Times New Roman" w:eastAsia="宋体" w:cs="Times New Roman"/>
          <w:sz w:val="24"/>
          <w:szCs w:val="24"/>
        </w:rPr>
        <w:t>)。固定摄像机与显示器，分别采集运动目标最小与最大的位移的图像</w:t>
      </w:r>
      <w:r>
        <w:rPr>
          <w:rFonts w:hint="default" w:ascii="Times New Roman" w:hAnsi="Times New Roman" w:eastAsia="宋体" w:cs="Times New Roman"/>
          <w:i/>
          <w:iCs/>
          <w:sz w:val="24"/>
          <w:szCs w:val="24"/>
        </w:rPr>
        <w:t>M</w:t>
      </w:r>
      <w:r>
        <w:rPr>
          <w:rFonts w:hint="default" w:ascii="Times New Roman" w:hAnsi="Times New Roman" w:eastAsia="宋体" w:cs="Times New Roman"/>
          <w:sz w:val="24"/>
          <w:szCs w:val="24"/>
        </w:rPr>
        <w:t>帧。采用MCM评定</w:t>
      </w:r>
      <w:r>
        <w:rPr>
          <w:rFonts w:hint="default" w:ascii="Times New Roman" w:hAnsi="Times New Roman" w:eastAsia="宋体" w:cs="Times New Roman"/>
          <w:i/>
          <w:iCs/>
          <w:sz w:val="24"/>
          <w:szCs w:val="24"/>
        </w:rPr>
        <w:t>u</w:t>
      </w:r>
      <w:r>
        <w:rPr>
          <w:rFonts w:hint="default" w:ascii="Times New Roman" w:hAnsi="Times New Roman" w:eastAsia="宋体" w:cs="Times New Roman"/>
          <w:sz w:val="24"/>
          <w:szCs w:val="24"/>
        </w:rPr>
        <w:t>(</w:t>
      </w:r>
      <w:r>
        <w:rPr>
          <w:rFonts w:hint="default" w:ascii="Times New Roman" w:hAnsi="Times New Roman" w:eastAsia="宋体" w:cs="Times New Roman"/>
          <w:i/>
          <w:iCs/>
          <w:sz w:val="24"/>
          <w:szCs w:val="24"/>
        </w:rPr>
        <w:t>C</w:t>
      </w:r>
      <w:r>
        <w:rPr>
          <w:rFonts w:hint="default" w:ascii="Times New Roman" w:hAnsi="Times New Roman" w:eastAsia="宋体" w:cs="Times New Roman"/>
          <w:sz w:val="24"/>
          <w:szCs w:val="24"/>
        </w:rPr>
        <w:t>)为：</w:t>
      </w:r>
    </w:p>
    <w:p w14:paraId="69358F9C">
      <w:pPr>
        <w:pStyle w:val="58"/>
        <w:spacing w:line="360" w:lineRule="auto"/>
        <w:jc w:val="righ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ab/>
      </w:r>
      <w:r>
        <w:rPr>
          <w:rFonts w:hint="default" w:ascii="Times New Roman" w:hAnsi="Times New Roman" w:eastAsia="宋体" w:cs="Times New Roman"/>
          <w:position w:val="-30"/>
          <w:sz w:val="24"/>
          <w:szCs w:val="24"/>
        </w:rPr>
        <w:object>
          <v:shape id="_x0000_i1030" o:spt="75" type="#_x0000_t75" style="height:36.5pt;width:156.3pt;" o:ole="t" filled="f" o:preferrelative="t" stroked="f" coordsize="21600,21600">
            <v:path/>
            <v:fill on="f" focussize="0,0"/>
            <v:stroke on="f" joinstyle="miter"/>
            <v:imagedata r:id="rId17" o:title=""/>
            <o:lock v:ext="edit" aspectratio="t"/>
            <w10:wrap type="none"/>
            <w10:anchorlock/>
          </v:shape>
          <o:OLEObject Type="Embed" ProgID="Equation.DSMT4" ShapeID="_x0000_i1030" DrawAspect="Content" ObjectID="_1468075730" r:id="rId16">
            <o:LockedField>false</o:LockedField>
          </o:OLEObject>
        </w:object>
      </w:r>
      <w:r>
        <w:rPr>
          <w:rFonts w:hint="default" w:ascii="Times New Roman" w:hAnsi="Times New Roman" w:eastAsia="宋体" w:cs="Times New Roman"/>
          <w:sz w:val="24"/>
          <w:szCs w:val="24"/>
        </w:rPr>
        <w:tab/>
      </w:r>
      <w:r>
        <w:rPr>
          <w:rFonts w:hint="eastAsia" w:cs="Times New Roman"/>
          <w:sz w:val="24"/>
          <w:szCs w:val="24"/>
          <w:lang w:eastAsia="zh-CN"/>
        </w:rPr>
        <w:t>（</w:t>
      </w:r>
      <w:r>
        <w:rPr>
          <w:rFonts w:hint="eastAsia" w:cs="Times New Roman"/>
          <w:sz w:val="24"/>
          <w:szCs w:val="24"/>
          <w:lang w:val="en-US" w:eastAsia="zh-CN"/>
        </w:rPr>
        <w:t>4</w:t>
      </w:r>
      <w:r>
        <w:rPr>
          <w:rFonts w:hint="eastAsia" w:cs="Times New Roman"/>
          <w:sz w:val="24"/>
          <w:szCs w:val="24"/>
          <w:lang w:eastAsia="zh-CN"/>
        </w:rPr>
        <w:t>）</w:t>
      </w:r>
    </w:p>
    <w:p w14:paraId="46D33082">
      <w:pPr>
        <w:spacing w:line="360" w:lineRule="auto"/>
        <w:ind w:firstLine="0"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式中：</w:t>
      </w:r>
      <w:r>
        <w:rPr>
          <w:rFonts w:hint="default" w:ascii="Times New Roman" w:hAnsi="Times New Roman" w:eastAsia="宋体" w:cs="Times New Roman"/>
          <w:position w:val="-14"/>
          <w:sz w:val="24"/>
          <w:szCs w:val="24"/>
        </w:rPr>
        <w:object>
          <v:shape id="_x0000_i1031" o:spt="75" type="#_x0000_t75" style="height:18.1pt;width:24.25pt;" o:ole="t" filled="f" o:preferrelative="t" stroked="f" coordsize="21600,21600">
            <v:path/>
            <v:fill on="f" focussize="0,0"/>
            <v:stroke on="f" joinstyle="miter"/>
            <v:imagedata r:id="rId19" o:title=""/>
            <o:lock v:ext="edit" aspectratio="t"/>
            <w10:wrap type="none"/>
            <w10:anchorlock/>
          </v:shape>
          <o:OLEObject Type="Embed" ProgID="Equation.DSMT4" ShapeID="_x0000_i1031" DrawAspect="Content" ObjectID="_1468075731" r:id="rId18">
            <o:LockedField>false</o:LockedField>
          </o:OLEObject>
        </w:object>
      </w:r>
      <w:r>
        <w:rPr>
          <w:rFonts w:hint="default" w:ascii="Times New Roman" w:hAnsi="Times New Roman" w:eastAsia="宋体" w:cs="Times New Roman"/>
          <w:sz w:val="24"/>
          <w:szCs w:val="24"/>
        </w:rPr>
        <w:t>为利用计算的</w:t>
      </w:r>
      <w:r>
        <w:rPr>
          <w:rFonts w:hint="default" w:ascii="Times New Roman" w:hAnsi="Times New Roman" w:eastAsia="宋体" w:cs="Times New Roman"/>
          <w:i/>
          <w:iCs/>
          <w:sz w:val="24"/>
          <w:szCs w:val="24"/>
        </w:rPr>
        <w:t>P</w:t>
      </w:r>
      <w:r>
        <w:rPr>
          <w:rFonts w:hint="default" w:ascii="Times New Roman" w:hAnsi="Times New Roman" w:eastAsia="宋体" w:cs="Times New Roman"/>
          <w:i/>
          <w:iCs/>
          <w:sz w:val="24"/>
          <w:szCs w:val="24"/>
          <w:vertAlign w:val="subscript"/>
        </w:rPr>
        <w:t>cof</w:t>
      </w:r>
      <w:r>
        <w:rPr>
          <w:rFonts w:hint="default" w:ascii="Times New Roman" w:hAnsi="Times New Roman" w:eastAsia="宋体" w:cs="Times New Roman"/>
          <w:sz w:val="24"/>
          <w:szCs w:val="24"/>
        </w:rPr>
        <w:t>与图像像素坐标获得的运动位移峰值。</w:t>
      </w:r>
    </w:p>
    <w:p w14:paraId="2EF8C717">
      <w:pPr>
        <w:spacing w:line="360" w:lineRule="auto"/>
        <w:ind w:firstLine="56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（4）图像边缘检测算法引入的测量不确定度</w:t>
      </w:r>
      <w:r>
        <w:rPr>
          <w:rFonts w:hint="default" w:ascii="Times New Roman" w:hAnsi="Times New Roman" w:eastAsia="宋体" w:cs="Times New Roman"/>
          <w:i/>
          <w:iCs/>
          <w:sz w:val="24"/>
          <w:szCs w:val="24"/>
        </w:rPr>
        <w:t>u</w:t>
      </w:r>
      <w:r>
        <w:rPr>
          <w:rFonts w:hint="default" w:ascii="Times New Roman" w:hAnsi="Times New Roman" w:eastAsia="宋体" w:cs="Times New Roman"/>
          <w:sz w:val="24"/>
          <w:szCs w:val="24"/>
        </w:rPr>
        <w:t>(</w:t>
      </w:r>
      <w:r>
        <w:rPr>
          <w:rFonts w:hint="default" w:ascii="Times New Roman" w:hAnsi="Times New Roman" w:eastAsia="宋体" w:cs="Times New Roman"/>
          <w:i/>
          <w:iCs/>
          <w:sz w:val="24"/>
          <w:szCs w:val="24"/>
        </w:rPr>
        <w:t>ED</w:t>
      </w:r>
      <w:r>
        <w:rPr>
          <w:rFonts w:hint="default" w:ascii="Times New Roman" w:hAnsi="Times New Roman" w:eastAsia="宋体" w:cs="Times New Roman"/>
          <w:sz w:val="24"/>
          <w:szCs w:val="24"/>
        </w:rPr>
        <w:t>)。对生成的</w:t>
      </w:r>
      <w:r>
        <w:rPr>
          <w:rFonts w:hint="default" w:ascii="Times New Roman" w:hAnsi="Times New Roman" w:eastAsia="宋体" w:cs="Times New Roman"/>
          <w:i/>
          <w:iCs/>
          <w:sz w:val="24"/>
          <w:szCs w:val="24"/>
        </w:rPr>
        <w:t>M</w:t>
      </w:r>
      <w:r>
        <w:rPr>
          <w:rFonts w:hint="default" w:ascii="Times New Roman" w:hAnsi="Times New Roman" w:eastAsia="宋体" w:cs="Times New Roman"/>
          <w:sz w:val="24"/>
          <w:szCs w:val="24"/>
        </w:rPr>
        <w:t>帧序列图像添高斯白噪声，每帧图像的边缘点数为</w:t>
      </w:r>
      <w:r>
        <w:rPr>
          <w:rFonts w:hint="default" w:ascii="Times New Roman" w:hAnsi="Times New Roman" w:eastAsia="宋体" w:cs="Times New Roman"/>
          <w:i/>
          <w:iCs/>
          <w:sz w:val="24"/>
          <w:szCs w:val="24"/>
        </w:rPr>
        <w:t>K</w:t>
      </w:r>
      <w:r>
        <w:rPr>
          <w:rFonts w:hint="default" w:ascii="Times New Roman" w:hAnsi="Times New Roman" w:eastAsia="宋体" w:cs="Times New Roman"/>
          <w:sz w:val="24"/>
          <w:szCs w:val="24"/>
        </w:rPr>
        <w:t>。通过Zernike矩方法检测序列图像的边缘点，检测的边缘点位置为</w:t>
      </w:r>
      <w:r>
        <w:rPr>
          <w:rFonts w:hint="default" w:ascii="Times New Roman" w:hAnsi="Times New Roman" w:eastAsia="宋体" w:cs="Times New Roman"/>
          <w:position w:val="-16"/>
          <w:sz w:val="24"/>
          <w:szCs w:val="24"/>
        </w:rPr>
        <w:object>
          <v:shape id="_x0000_i1032" o:spt="75" type="#_x0000_t75" style="height:24.25pt;width:59.7pt;" o:ole="t" filled="f" o:preferrelative="t" stroked="f" coordsize="21600,21600">
            <v:path/>
            <v:fill on="f" focussize="0,0"/>
            <v:stroke on="f" joinstyle="miter"/>
            <v:imagedata r:id="rId21" o:title=""/>
            <o:lock v:ext="edit" aspectratio="t"/>
            <w10:wrap type="none"/>
            <w10:anchorlock/>
          </v:shape>
          <o:OLEObject Type="Embed" ProgID="Equation.DSMT4" ShapeID="_x0000_i1032" DrawAspect="Content" ObjectID="_1468075732" r:id="rId20">
            <o:LockedField>false</o:LockedField>
          </o:OLEObject>
        </w:object>
      </w:r>
      <w:r>
        <w:rPr>
          <w:rFonts w:hint="default" w:ascii="Times New Roman" w:hAnsi="Times New Roman" w:eastAsia="宋体" w:cs="Times New Roman"/>
          <w:sz w:val="24"/>
          <w:szCs w:val="24"/>
        </w:rPr>
        <w:t>，其中，</w:t>
      </w:r>
      <w:r>
        <w:rPr>
          <w:rFonts w:hint="default" w:ascii="Times New Roman" w:hAnsi="Times New Roman" w:eastAsia="宋体" w:cs="Times New Roman"/>
          <w:position w:val="-10"/>
          <w:sz w:val="24"/>
          <w:szCs w:val="24"/>
        </w:rPr>
        <w:object>
          <v:shape id="_x0000_i1033" o:spt="75" type="#_x0000_t75" style="height:18.45pt;width:77.8pt;" o:ole="t" filled="f" o:preferrelative="t" stroked="f" coordsize="21600,21600">
            <v:path/>
            <v:fill on="f" focussize="0,0"/>
            <v:stroke on="f" joinstyle="miter"/>
            <v:imagedata r:id="rId23" o:title=""/>
            <o:lock v:ext="edit" aspectratio="t"/>
            <w10:wrap type="none"/>
            <w10:anchorlock/>
          </v:shape>
          <o:OLEObject Type="Embed" ProgID="Equation.DSMT4" ShapeID="_x0000_i1033" DrawAspect="Content" ObjectID="_1468075733" r:id="rId22">
            <o:LockedField>false</o:LockedField>
          </o:OLEObject>
        </w:object>
      </w:r>
      <w:r>
        <w:rPr>
          <w:rFonts w:hint="default" w:ascii="Times New Roman" w:hAnsi="Times New Roman" w:eastAsia="宋体" w:cs="Times New Roman"/>
          <w:sz w:val="24"/>
          <w:szCs w:val="24"/>
        </w:rPr>
        <w:t>、</w:t>
      </w:r>
      <w:r>
        <w:rPr>
          <w:rFonts w:hint="default" w:ascii="Times New Roman" w:hAnsi="Times New Roman" w:eastAsia="宋体" w:cs="Times New Roman"/>
          <w:position w:val="-10"/>
          <w:sz w:val="24"/>
          <w:szCs w:val="24"/>
        </w:rPr>
        <w:object>
          <v:shape id="_x0000_i1034" o:spt="75" type="#_x0000_t75" style="height:18.1pt;width:72pt;" o:ole="t" filled="f" o:preferrelative="t" stroked="f" coordsize="21600,21600">
            <v:path/>
            <v:fill on="f" focussize="0,0"/>
            <v:stroke on="f" joinstyle="miter"/>
            <v:imagedata r:id="rId25" o:title=""/>
            <o:lock v:ext="edit" aspectratio="t"/>
            <w10:wrap type="none"/>
            <w10:anchorlock/>
          </v:shape>
          <o:OLEObject Type="Embed" ProgID="Equation.DSMT4" ShapeID="_x0000_i1034" DrawAspect="Content" ObjectID="_1468075734" r:id="rId24">
            <o:LockedField>false</o:LockedField>
          </o:OLEObject>
        </w:object>
      </w:r>
      <w:r>
        <w:rPr>
          <w:rFonts w:hint="default" w:ascii="Times New Roman" w:hAnsi="Times New Roman" w:eastAsia="宋体" w:cs="Times New Roman"/>
          <w:sz w:val="24"/>
          <w:szCs w:val="24"/>
        </w:rPr>
        <w:t>。则采用MCM评定</w:t>
      </w:r>
      <w:r>
        <w:rPr>
          <w:rFonts w:hint="default" w:ascii="Times New Roman" w:hAnsi="Times New Roman" w:eastAsia="宋体" w:cs="Times New Roman"/>
          <w:i/>
          <w:iCs/>
          <w:sz w:val="24"/>
          <w:szCs w:val="24"/>
        </w:rPr>
        <w:t>u</w:t>
      </w:r>
      <w:r>
        <w:rPr>
          <w:rFonts w:hint="default" w:ascii="Times New Roman" w:hAnsi="Times New Roman" w:eastAsia="宋体" w:cs="Times New Roman"/>
          <w:sz w:val="24"/>
          <w:szCs w:val="24"/>
        </w:rPr>
        <w:t>(</w:t>
      </w:r>
      <w:r>
        <w:rPr>
          <w:rFonts w:hint="default" w:ascii="Times New Roman" w:hAnsi="Times New Roman" w:eastAsia="宋体" w:cs="Times New Roman"/>
          <w:i/>
          <w:iCs/>
          <w:sz w:val="24"/>
          <w:szCs w:val="24"/>
        </w:rPr>
        <w:t>ED</w:t>
      </w:r>
      <w:r>
        <w:rPr>
          <w:rFonts w:hint="default" w:ascii="Times New Roman" w:hAnsi="Times New Roman" w:eastAsia="宋体" w:cs="Times New Roman"/>
          <w:sz w:val="24"/>
          <w:szCs w:val="24"/>
        </w:rPr>
        <w:t>)为：</w:t>
      </w:r>
    </w:p>
    <w:p w14:paraId="18FA8B5C">
      <w:pPr>
        <w:pStyle w:val="58"/>
        <w:spacing w:line="360" w:lineRule="auto"/>
        <w:jc w:val="righ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ab/>
      </w:r>
      <w:r>
        <w:rPr>
          <w:rFonts w:hint="default" w:ascii="Times New Roman" w:hAnsi="Times New Roman" w:eastAsia="宋体" w:cs="Times New Roman"/>
          <w:position w:val="-30"/>
          <w:sz w:val="24"/>
          <w:szCs w:val="24"/>
        </w:rPr>
        <w:object>
          <v:shape id="_x0000_i1035" o:spt="75" type="#_x0000_t75" style="height:36.5pt;width:263.75pt;" o:ole="t" filled="f" o:preferrelative="t" stroked="f" coordsize="21600,21600">
            <v:path/>
            <v:fill on="f" focussize="0,0"/>
            <v:stroke on="f" joinstyle="miter"/>
            <v:imagedata r:id="rId27" o:title=""/>
            <o:lock v:ext="edit" aspectratio="t"/>
            <w10:wrap type="none"/>
            <w10:anchorlock/>
          </v:shape>
          <o:OLEObject Type="Embed" ProgID="Equation.DSMT4" ShapeID="_x0000_i1035" DrawAspect="Content" ObjectID="_1468075735" r:id="rId26">
            <o:LockedField>false</o:LockedField>
          </o:OLEObject>
        </w:object>
      </w:r>
      <w:r>
        <w:rPr>
          <w:rFonts w:hint="default" w:ascii="Times New Roman" w:hAnsi="Times New Roman" w:eastAsia="宋体" w:cs="Times New Roman"/>
          <w:sz w:val="24"/>
          <w:szCs w:val="24"/>
        </w:rPr>
        <w:tab/>
      </w:r>
      <w:r>
        <w:rPr>
          <w:rFonts w:hint="eastAsia" w:cs="Times New Roman"/>
          <w:sz w:val="24"/>
          <w:szCs w:val="24"/>
          <w:lang w:eastAsia="zh-CN"/>
        </w:rPr>
        <w:t>（</w:t>
      </w:r>
      <w:r>
        <w:rPr>
          <w:rFonts w:hint="eastAsia" w:cs="Times New Roman"/>
          <w:sz w:val="24"/>
          <w:szCs w:val="24"/>
          <w:lang w:val="en-US" w:eastAsia="zh-CN"/>
        </w:rPr>
        <w:t>5</w:t>
      </w:r>
      <w:r>
        <w:rPr>
          <w:rFonts w:hint="eastAsia" w:cs="Times New Roman"/>
          <w:sz w:val="24"/>
          <w:szCs w:val="24"/>
          <w:lang w:eastAsia="zh-CN"/>
        </w:rPr>
        <w:t>）</w:t>
      </w:r>
    </w:p>
    <w:p w14:paraId="5EC0FF45">
      <w:pPr>
        <w:spacing w:line="360" w:lineRule="auto"/>
        <w:ind w:firstLine="0"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式中：</w:t>
      </w:r>
      <w:r>
        <w:rPr>
          <w:rFonts w:hint="default" w:ascii="Times New Roman" w:hAnsi="Times New Roman" w:eastAsia="宋体" w:cs="Times New Roman"/>
          <w:position w:val="-16"/>
          <w:sz w:val="24"/>
          <w:szCs w:val="24"/>
        </w:rPr>
        <w:object>
          <v:shape id="_x0000_i1036" o:spt="75" type="#_x0000_t75" style="height:24.25pt;width:59.7pt;" o:ole="t" filled="f" o:preferrelative="t" stroked="f" coordsize="21600,21600">
            <v:path/>
            <v:fill on="f" focussize="0,0"/>
            <v:stroke on="f" joinstyle="miter"/>
            <v:imagedata r:id="rId29" o:title=""/>
            <o:lock v:ext="edit" aspectratio="t"/>
            <w10:wrap type="none"/>
            <w10:anchorlock/>
          </v:shape>
          <o:OLEObject Type="Embed" ProgID="Equation.DSMT4" ShapeID="_x0000_i1036" DrawAspect="Content" ObjectID="_1468075736" r:id="rId28">
            <o:LockedField>false</o:LockedField>
          </o:OLEObject>
        </w:object>
      </w:r>
      <w:r>
        <w:rPr>
          <w:rFonts w:hint="default" w:ascii="Times New Roman" w:hAnsi="Times New Roman" w:eastAsia="宋体" w:cs="Times New Roman"/>
          <w:sz w:val="24"/>
          <w:szCs w:val="24"/>
        </w:rPr>
        <w:t>为边缘点的真实位置。</w:t>
      </w:r>
    </w:p>
    <w:p w14:paraId="2D0DD269">
      <w:pPr>
        <w:spacing w:line="360" w:lineRule="auto"/>
        <w:ind w:firstLine="56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（5）边缘点的最小二乘拟合影响运动位移的测量精度，引入的测量不确定度为</w:t>
      </w:r>
      <w:r>
        <w:rPr>
          <w:rFonts w:hint="default" w:ascii="Times New Roman" w:hAnsi="Times New Roman" w:eastAsia="宋体" w:cs="Times New Roman"/>
          <w:i/>
          <w:iCs/>
          <w:sz w:val="24"/>
          <w:szCs w:val="24"/>
        </w:rPr>
        <w:t>u</w:t>
      </w:r>
      <w:r>
        <w:rPr>
          <w:rFonts w:hint="default" w:ascii="Times New Roman" w:hAnsi="Times New Roman" w:eastAsia="宋体" w:cs="Times New Roman"/>
          <w:sz w:val="24"/>
          <w:szCs w:val="24"/>
        </w:rPr>
        <w:t>(</w:t>
      </w:r>
      <w:r>
        <w:rPr>
          <w:rFonts w:hint="default" w:ascii="Times New Roman" w:hAnsi="Times New Roman" w:eastAsia="宋体" w:cs="Times New Roman"/>
          <w:i/>
          <w:iCs/>
          <w:sz w:val="24"/>
          <w:szCs w:val="24"/>
        </w:rPr>
        <w:t>FL</w:t>
      </w:r>
      <w:r>
        <w:rPr>
          <w:rFonts w:hint="default" w:ascii="Times New Roman" w:hAnsi="Times New Roman" w:eastAsia="宋体" w:cs="Times New Roman"/>
          <w:sz w:val="24"/>
          <w:szCs w:val="24"/>
        </w:rPr>
        <w:t>)。程序生成</w:t>
      </w:r>
      <w:r>
        <w:rPr>
          <w:rFonts w:hint="default" w:ascii="Times New Roman" w:hAnsi="Times New Roman" w:eastAsia="宋体" w:cs="Times New Roman"/>
          <w:i/>
          <w:iCs/>
          <w:sz w:val="24"/>
          <w:szCs w:val="24"/>
        </w:rPr>
        <w:t>M</w:t>
      </w:r>
      <w:r>
        <w:rPr>
          <w:rFonts w:hint="default" w:ascii="Times New Roman" w:hAnsi="Times New Roman" w:eastAsia="宋体" w:cs="Times New Roman"/>
          <w:sz w:val="24"/>
          <w:szCs w:val="24"/>
        </w:rPr>
        <w:t>组边缘直线，每条边缘直线的像素点数为</w:t>
      </w:r>
      <w:r>
        <w:rPr>
          <w:rFonts w:hint="default" w:ascii="Times New Roman" w:hAnsi="Times New Roman" w:eastAsia="宋体" w:cs="Times New Roman"/>
          <w:i/>
          <w:iCs/>
          <w:sz w:val="24"/>
          <w:szCs w:val="24"/>
        </w:rPr>
        <w:t>K</w:t>
      </w:r>
      <w:r>
        <w:rPr>
          <w:rFonts w:hint="default" w:ascii="Times New Roman" w:hAnsi="Times New Roman" w:eastAsia="宋体" w:cs="Times New Roman"/>
          <w:sz w:val="24"/>
          <w:szCs w:val="24"/>
        </w:rPr>
        <w:t>。假设边缘直线拟合形式为</w:t>
      </w:r>
      <w:r>
        <w:rPr>
          <w:rFonts w:hint="default" w:ascii="Times New Roman" w:hAnsi="Times New Roman" w:eastAsia="宋体" w:cs="Times New Roman"/>
          <w:position w:val="-10"/>
          <w:sz w:val="24"/>
          <w:szCs w:val="24"/>
        </w:rPr>
        <w:object>
          <v:shape id="_x0000_i1037" o:spt="75" type="#_x0000_t75" style="height:18.45pt;width:53.9pt;" o:ole="t" filled="f" o:preferrelative="t" stroked="f" coordsize="21600,21600">
            <v:path/>
            <v:fill on="f" focussize="0,0"/>
            <v:stroke on="f" joinstyle="miter"/>
            <v:imagedata r:id="rId31" o:title=""/>
            <o:lock v:ext="edit" aspectratio="t"/>
            <w10:wrap type="none"/>
            <w10:anchorlock/>
          </v:shape>
          <o:OLEObject Type="Embed" ProgID="Equation.DSMT4" ShapeID="_x0000_i1037" DrawAspect="Content" ObjectID="_1468075737" r:id="rId30">
            <o:LockedField>false</o:LockedField>
          </o:OLEObject>
        </w:object>
      </w:r>
      <w:r>
        <w:rPr>
          <w:rFonts w:hint="default" w:ascii="Times New Roman" w:hAnsi="Times New Roman" w:eastAsia="宋体" w:cs="Times New Roman"/>
          <w:sz w:val="24"/>
          <w:szCs w:val="24"/>
        </w:rPr>
        <w:t>，则</w:t>
      </w:r>
      <w:r>
        <w:rPr>
          <w:rFonts w:hint="default" w:ascii="Times New Roman" w:hAnsi="Times New Roman" w:eastAsia="宋体" w:cs="Times New Roman"/>
          <w:i/>
          <w:iCs/>
          <w:sz w:val="24"/>
          <w:szCs w:val="24"/>
        </w:rPr>
        <w:t>y</w:t>
      </w:r>
      <w:r>
        <w:rPr>
          <w:rFonts w:hint="default" w:ascii="Times New Roman" w:hAnsi="Times New Roman" w:eastAsia="宋体" w:cs="Times New Roman"/>
          <w:sz w:val="24"/>
          <w:szCs w:val="24"/>
        </w:rPr>
        <w:t>的标准差</w:t>
      </w:r>
      <w:r>
        <w:rPr>
          <w:rFonts w:hint="default" w:ascii="Times New Roman" w:hAnsi="Times New Roman" w:eastAsia="宋体" w:cs="Times New Roman"/>
          <w:i/>
          <w:iCs/>
          <w:sz w:val="24"/>
          <w:szCs w:val="24"/>
        </w:rPr>
        <w:t>s</w:t>
      </w:r>
      <w:r>
        <w:rPr>
          <w:rFonts w:hint="default" w:ascii="Times New Roman" w:hAnsi="Times New Roman" w:eastAsia="宋体" w:cs="Times New Roman"/>
          <w:sz w:val="24"/>
          <w:szCs w:val="24"/>
        </w:rPr>
        <w:t>(</w:t>
      </w:r>
      <w:r>
        <w:rPr>
          <w:rFonts w:hint="default" w:ascii="Times New Roman" w:hAnsi="Times New Roman" w:eastAsia="宋体" w:cs="Times New Roman"/>
          <w:i/>
          <w:iCs/>
          <w:sz w:val="24"/>
          <w:szCs w:val="24"/>
        </w:rPr>
        <w:t>y</w:t>
      </w:r>
      <w:r>
        <w:rPr>
          <w:rFonts w:hint="default" w:ascii="Times New Roman" w:hAnsi="Times New Roman" w:eastAsia="宋体" w:cs="Times New Roman"/>
          <w:sz w:val="24"/>
          <w:szCs w:val="24"/>
        </w:rPr>
        <w:t>)为：</w:t>
      </w:r>
    </w:p>
    <w:p w14:paraId="064DBF8B">
      <w:pPr>
        <w:pStyle w:val="58"/>
        <w:spacing w:line="360" w:lineRule="auto"/>
        <w:jc w:val="righ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ab/>
      </w:r>
      <w:r>
        <w:rPr>
          <w:rFonts w:hint="default" w:ascii="Times New Roman" w:hAnsi="Times New Roman" w:eastAsia="宋体" w:cs="Times New Roman"/>
          <w:position w:val="-30"/>
          <w:sz w:val="24"/>
          <w:szCs w:val="24"/>
        </w:rPr>
        <w:object>
          <v:shape id="_x0000_i1038" o:spt="75" type="#_x0000_t75" style="height:53.9pt;width:191.75pt;" o:ole="t" filled="f" o:preferrelative="t" stroked="f" coordsize="21600,21600">
            <v:path/>
            <v:fill on="f" focussize="0,0"/>
            <v:stroke on="f" joinstyle="miter"/>
            <v:imagedata r:id="rId33" o:title=""/>
            <o:lock v:ext="edit" aspectratio="t"/>
            <w10:wrap type="none"/>
            <w10:anchorlock/>
          </v:shape>
          <o:OLEObject Type="Embed" ProgID="Equation.DSMT4" ShapeID="_x0000_i1038" DrawAspect="Content" ObjectID="_1468075738" r:id="rId32">
            <o:LockedField>false</o:LockedField>
          </o:OLEObject>
        </w:object>
      </w:r>
      <w:r>
        <w:rPr>
          <w:rFonts w:hint="default" w:ascii="Times New Roman" w:hAnsi="Times New Roman" w:eastAsia="宋体" w:cs="Times New Roman"/>
          <w:sz w:val="24"/>
          <w:szCs w:val="24"/>
        </w:rPr>
        <w:tab/>
      </w:r>
      <w:r>
        <w:rPr>
          <w:rFonts w:hint="eastAsia" w:cs="Times New Roman"/>
          <w:sz w:val="24"/>
          <w:szCs w:val="24"/>
          <w:lang w:eastAsia="zh-CN"/>
        </w:rPr>
        <w:t>（</w:t>
      </w:r>
      <w:r>
        <w:rPr>
          <w:rFonts w:hint="eastAsia" w:cs="Times New Roman"/>
          <w:sz w:val="24"/>
          <w:szCs w:val="24"/>
          <w:lang w:val="en-US" w:eastAsia="zh-CN"/>
        </w:rPr>
        <w:t>6</w:t>
      </w:r>
      <w:r>
        <w:rPr>
          <w:rFonts w:hint="eastAsia" w:cs="Times New Roman"/>
          <w:sz w:val="24"/>
          <w:szCs w:val="24"/>
          <w:lang w:eastAsia="zh-CN"/>
        </w:rPr>
        <w:t>）</w:t>
      </w:r>
    </w:p>
    <w:p w14:paraId="6FB9F037">
      <w:pPr>
        <w:spacing w:line="360" w:lineRule="auto"/>
        <w:ind w:firstLine="0"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采用MCM评定的</w:t>
      </w:r>
      <w:r>
        <w:rPr>
          <w:rFonts w:hint="default" w:ascii="Times New Roman" w:hAnsi="Times New Roman" w:eastAsia="宋体" w:cs="Times New Roman"/>
          <w:i/>
          <w:iCs/>
          <w:sz w:val="24"/>
          <w:szCs w:val="24"/>
        </w:rPr>
        <w:t>u</w:t>
      </w:r>
      <w:r>
        <w:rPr>
          <w:rFonts w:hint="default" w:ascii="Times New Roman" w:hAnsi="Times New Roman" w:eastAsia="宋体" w:cs="Times New Roman"/>
          <w:sz w:val="24"/>
          <w:szCs w:val="24"/>
        </w:rPr>
        <w:t>(</w:t>
      </w:r>
      <w:r>
        <w:rPr>
          <w:rFonts w:hint="default" w:ascii="Times New Roman" w:hAnsi="Times New Roman" w:eastAsia="宋体" w:cs="Times New Roman"/>
          <w:i/>
          <w:iCs/>
          <w:sz w:val="24"/>
          <w:szCs w:val="24"/>
        </w:rPr>
        <w:t>FL</w:t>
      </w:r>
      <w:r>
        <w:rPr>
          <w:rFonts w:hint="default" w:ascii="Times New Roman" w:hAnsi="Times New Roman" w:eastAsia="宋体" w:cs="Times New Roman"/>
          <w:sz w:val="24"/>
          <w:szCs w:val="24"/>
        </w:rPr>
        <w:t>)为：</w:t>
      </w:r>
    </w:p>
    <w:p w14:paraId="4B415B13">
      <w:pPr>
        <w:pStyle w:val="58"/>
        <w:spacing w:line="360" w:lineRule="auto"/>
        <w:jc w:val="righ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ab/>
      </w:r>
      <w:r>
        <w:rPr>
          <w:rFonts w:hint="default" w:ascii="Times New Roman" w:hAnsi="Times New Roman" w:eastAsia="宋体" w:cs="Times New Roman"/>
          <w:position w:val="-26"/>
          <w:sz w:val="24"/>
          <w:szCs w:val="24"/>
        </w:rPr>
        <w:object>
          <v:shape id="_x0000_i1039" o:spt="75" type="#_x0000_t75" style="height:36.5pt;width:113.95pt;" o:ole="t" filled="f" o:preferrelative="t" stroked="f" coordsize="21600,21600">
            <v:path/>
            <v:fill on="f" focussize="0,0"/>
            <v:stroke on="f" joinstyle="miter"/>
            <v:imagedata r:id="rId35" o:title=""/>
            <o:lock v:ext="edit" aspectratio="t"/>
            <w10:wrap type="none"/>
            <w10:anchorlock/>
          </v:shape>
          <o:OLEObject Type="Embed" ProgID="Equation.DSMT4" ShapeID="_x0000_i1039" DrawAspect="Content" ObjectID="_1468075739" r:id="rId34">
            <o:LockedField>false</o:LockedField>
          </o:OLEObject>
        </w:object>
      </w:r>
      <w:r>
        <w:rPr>
          <w:rFonts w:hint="default" w:ascii="Times New Roman" w:hAnsi="Times New Roman" w:eastAsia="宋体" w:cs="Times New Roman"/>
          <w:sz w:val="24"/>
          <w:szCs w:val="24"/>
        </w:rPr>
        <w:tab/>
      </w:r>
      <w:r>
        <w:rPr>
          <w:rFonts w:hint="eastAsia" w:cs="Times New Roman"/>
          <w:sz w:val="24"/>
          <w:szCs w:val="24"/>
          <w:lang w:eastAsia="zh-CN"/>
        </w:rPr>
        <w:t>（</w:t>
      </w:r>
      <w:r>
        <w:rPr>
          <w:rFonts w:hint="eastAsia" w:cs="Times New Roman"/>
          <w:sz w:val="24"/>
          <w:szCs w:val="24"/>
          <w:lang w:val="en-US" w:eastAsia="zh-CN"/>
        </w:rPr>
        <w:t>7</w:t>
      </w:r>
      <w:r>
        <w:rPr>
          <w:rFonts w:hint="eastAsia" w:cs="Times New Roman"/>
          <w:sz w:val="24"/>
          <w:szCs w:val="24"/>
          <w:lang w:eastAsia="zh-CN"/>
        </w:rPr>
        <w:t>）</w:t>
      </w:r>
    </w:p>
    <w:p w14:paraId="0C980758">
      <w:pPr>
        <w:spacing w:line="360" w:lineRule="auto"/>
        <w:ind w:firstLine="56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（6）视觉标志的的理想位移</w:t>
      </w:r>
      <w:r>
        <w:rPr>
          <w:rFonts w:hint="default" w:ascii="Times New Roman" w:hAnsi="Times New Roman" w:eastAsia="宋体" w:cs="Times New Roman"/>
          <w:position w:val="-14"/>
          <w:sz w:val="24"/>
          <w:szCs w:val="24"/>
        </w:rPr>
        <w:object>
          <v:shape id="_x0000_i1040" o:spt="75" type="#_x0000_t75" style="height:19.45pt;width:28.65pt;" o:ole="t" filled="f" o:preferrelative="t" stroked="f" coordsize="21600,21600">
            <v:path/>
            <v:fill on="f" focussize="0,0"/>
            <v:stroke on="f" joinstyle="miter"/>
            <v:imagedata r:id="rId37" o:title=""/>
            <o:lock v:ext="edit" aspectratio="t"/>
            <w10:wrap type="none"/>
            <w10:anchorlock/>
          </v:shape>
          <o:OLEObject Type="Embed" ProgID="Equation.DSMT4" ShapeID="_x0000_i1040" DrawAspect="Content" ObjectID="_1468075740" r:id="rId36">
            <o:LockedField>false</o:LockedField>
          </o:OLEObject>
        </w:object>
      </w:r>
      <w:r>
        <w:rPr>
          <w:rFonts w:hint="default" w:ascii="Times New Roman" w:hAnsi="Times New Roman" w:eastAsia="宋体" w:cs="Times New Roman"/>
          <w:sz w:val="24"/>
          <w:szCs w:val="24"/>
        </w:rPr>
        <w:t>应为：</w:t>
      </w:r>
    </w:p>
    <w:p w14:paraId="7C25017B">
      <w:pPr>
        <w:pStyle w:val="58"/>
        <w:spacing w:line="360" w:lineRule="auto"/>
        <w:jc w:val="righ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ab/>
      </w:r>
      <w:r>
        <w:rPr>
          <w:rFonts w:hint="default" w:ascii="Times New Roman" w:hAnsi="Times New Roman" w:eastAsia="宋体" w:cs="Times New Roman"/>
          <w:position w:val="-18"/>
          <w:sz w:val="24"/>
          <w:szCs w:val="24"/>
        </w:rPr>
        <w:object>
          <v:shape id="_x0000_i1041" o:spt="75" type="#_x0000_t75" style="height:24.9pt;width:148.45pt;" o:ole="t" filled="f" o:preferrelative="t" stroked="f" coordsize="21600,21600">
            <v:path/>
            <v:fill on="f" focussize="0,0"/>
            <v:stroke on="f" joinstyle="miter"/>
            <v:imagedata r:id="rId39" o:title=""/>
            <o:lock v:ext="edit" aspectratio="t"/>
            <w10:wrap type="none"/>
            <w10:anchorlock/>
          </v:shape>
          <o:OLEObject Type="Embed" ProgID="Equation.DSMT4" ShapeID="_x0000_i1041" DrawAspect="Content" ObjectID="_1468075741" r:id="rId38">
            <o:LockedField>false</o:LockedField>
          </o:OLEObject>
        </w:object>
      </w:r>
      <w:r>
        <w:rPr>
          <w:rFonts w:hint="default" w:ascii="Times New Roman" w:hAnsi="Times New Roman" w:eastAsia="宋体" w:cs="Times New Roman"/>
          <w:sz w:val="24"/>
          <w:szCs w:val="24"/>
        </w:rPr>
        <w:tab/>
      </w:r>
      <w:r>
        <w:rPr>
          <w:rFonts w:hint="eastAsia" w:cs="Times New Roman"/>
          <w:sz w:val="24"/>
          <w:szCs w:val="24"/>
          <w:lang w:eastAsia="zh-CN"/>
        </w:rPr>
        <w:t>（</w:t>
      </w:r>
      <w:r>
        <w:rPr>
          <w:rFonts w:hint="eastAsia" w:cs="Times New Roman"/>
          <w:sz w:val="24"/>
          <w:szCs w:val="24"/>
          <w:lang w:val="en-US" w:eastAsia="zh-CN"/>
        </w:rPr>
        <w:t>8</w:t>
      </w:r>
      <w:r>
        <w:rPr>
          <w:rFonts w:hint="eastAsia" w:cs="Times New Roman"/>
          <w:sz w:val="24"/>
          <w:szCs w:val="24"/>
          <w:lang w:eastAsia="zh-CN"/>
        </w:rPr>
        <w:t>）</w:t>
      </w:r>
    </w:p>
    <w:p w14:paraId="0B71007B">
      <w:pPr>
        <w:snapToGrid w:val="0"/>
        <w:spacing w:line="360" w:lineRule="auto"/>
        <w:ind w:firstLine="56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其中，</w:t>
      </w:r>
      <w:r>
        <w:rPr>
          <w:rFonts w:hint="default" w:ascii="Times New Roman" w:hAnsi="Times New Roman" w:eastAsia="宋体" w:cs="Times New Roman"/>
          <w:position w:val="-14"/>
          <w:sz w:val="24"/>
          <w:szCs w:val="24"/>
        </w:rPr>
        <w:object>
          <v:shape id="_x0000_i1042" o:spt="75" type="#_x0000_t75" style="height:19.1pt;width:26.95pt;" o:ole="t" filled="f" o:preferrelative="t" stroked="f" coordsize="21600,21600">
            <v:path/>
            <v:fill on="f" focussize="0,0"/>
            <v:stroke on="f" joinstyle="miter"/>
            <v:imagedata r:id="rId41" o:title=""/>
            <o:lock v:ext="edit" aspectratio="t"/>
            <w10:wrap type="none"/>
            <w10:anchorlock/>
          </v:shape>
          <o:OLEObject Type="Embed" ProgID="Equation.DSMT4" ShapeID="_x0000_i1042" DrawAspect="Content" ObjectID="_1468075742" r:id="rId40">
            <o:LockedField>false</o:LockedField>
          </o:OLEObject>
        </w:object>
      </w:r>
      <w:r>
        <w:rPr>
          <w:rFonts w:hint="default" w:ascii="Times New Roman" w:hAnsi="Times New Roman" w:eastAsia="宋体" w:cs="Times New Roman"/>
          <w:sz w:val="24"/>
          <w:szCs w:val="24"/>
        </w:rPr>
        <w:t>为修正不完整误差，其与最大运动位移</w:t>
      </w:r>
      <w:r>
        <w:rPr>
          <w:rFonts w:hint="default" w:ascii="Times New Roman" w:hAnsi="Times New Roman" w:eastAsia="宋体" w:cs="Times New Roman"/>
          <w:position w:val="-12"/>
          <w:sz w:val="24"/>
          <w:szCs w:val="24"/>
        </w:rPr>
        <w:object>
          <v:shape id="_x0000_i1043" o:spt="75" type="#_x0000_t75" style="height:18.1pt;width:21.85pt;" o:ole="t" filled="f" o:preferrelative="t" stroked="f" coordsize="21600,21600">
            <v:path/>
            <v:fill on="f" focussize="0,0"/>
            <v:stroke on="f" joinstyle="miter"/>
            <v:imagedata r:id="rId43" o:title=""/>
            <o:lock v:ext="edit" aspectratio="t"/>
            <w10:wrap type="none"/>
            <w10:anchorlock/>
          </v:shape>
          <o:OLEObject Type="Embed" ProgID="Equation.DSMT4" ShapeID="_x0000_i1043" DrawAspect="Content" ObjectID="_1468075743" r:id="rId42">
            <o:LockedField>false</o:LockedField>
          </o:OLEObject>
        </w:object>
      </w:r>
      <w:r>
        <w:rPr>
          <w:rFonts w:hint="default" w:ascii="Times New Roman" w:hAnsi="Times New Roman" w:eastAsia="宋体" w:cs="Times New Roman"/>
          <w:sz w:val="24"/>
          <w:szCs w:val="24"/>
        </w:rPr>
        <w:t>有关。</w:t>
      </w:r>
      <w:r>
        <w:rPr>
          <w:rFonts w:hint="default" w:ascii="Times New Roman" w:hAnsi="Times New Roman" w:eastAsia="宋体" w:cs="Times New Roman"/>
          <w:position w:val="-14"/>
          <w:sz w:val="24"/>
          <w:szCs w:val="24"/>
        </w:rPr>
        <w:object>
          <v:shape id="_x0000_i1044" o:spt="75" type="#_x0000_t75" style="height:19.45pt;width:28.65pt;" o:ole="t" filled="f" o:preferrelative="t" stroked="f" coordsize="21600,21600">
            <v:path/>
            <v:fill on="f" focussize="0,0"/>
            <v:stroke on="f" joinstyle="miter"/>
            <v:imagedata r:id="rId37" o:title=""/>
            <o:lock v:ext="edit" aspectratio="t"/>
            <w10:wrap type="none"/>
            <w10:anchorlock/>
          </v:shape>
          <o:OLEObject Type="Embed" ProgID="Equation.DSMT4" ShapeID="_x0000_i1044" DrawAspect="Content" ObjectID="_1468075744" r:id="rId44">
            <o:LockedField>false</o:LockedField>
          </o:OLEObject>
        </w:object>
      </w:r>
      <w:r>
        <w:rPr>
          <w:rFonts w:hint="default" w:ascii="Times New Roman" w:hAnsi="Times New Roman" w:eastAsia="宋体" w:cs="Times New Roman"/>
          <w:sz w:val="24"/>
          <w:szCs w:val="24"/>
        </w:rPr>
        <w:t>的泰勒级数展开为：</w:t>
      </w:r>
    </w:p>
    <w:p w14:paraId="07C2F84D">
      <w:pPr>
        <w:pStyle w:val="58"/>
        <w:spacing w:line="360" w:lineRule="auto"/>
        <w:ind w:left="0" w:leftChars="0" w:firstLine="0" w:firstLineChars="0"/>
        <w:jc w:val="right"/>
        <w:rPr>
          <w:rFonts w:hint="eastAsia" w:ascii="Times New Roman" w:hAnsi="Times New Roman" w:eastAsia="宋体" w:cs="Times New Roman"/>
          <w:sz w:val="24"/>
          <w:szCs w:val="24"/>
          <w:lang w:eastAsia="zh-CN"/>
        </w:rPr>
      </w:pPr>
      <w:r>
        <w:rPr>
          <w:rFonts w:hint="default" w:ascii="Times New Roman" w:hAnsi="Times New Roman" w:eastAsia="宋体" w:cs="Times New Roman"/>
          <w:position w:val="-60"/>
          <w:sz w:val="24"/>
          <w:szCs w:val="24"/>
        </w:rPr>
        <w:object>
          <v:shape id="_x0000_i1045" o:spt="75" type="#_x0000_t75" style="height:68.95pt;width:366.8pt;" o:ole="t" filled="f" o:preferrelative="t" stroked="f" coordsize="21600,21600">
            <v:path/>
            <v:fill on="f" focussize="0,0"/>
            <v:stroke on="f" joinstyle="miter"/>
            <v:imagedata r:id="rId46" o:title=""/>
            <o:lock v:ext="edit" aspectratio="t"/>
            <w10:wrap type="none"/>
            <w10:anchorlock/>
          </v:shape>
          <o:OLEObject Type="Embed" ProgID="Equation.DSMT4" ShapeID="_x0000_i1045" DrawAspect="Content" ObjectID="_1468075745" r:id="rId45">
            <o:LockedField>false</o:LockedField>
          </o:OLEObject>
        </w:object>
      </w:r>
      <w:r>
        <w:rPr>
          <w:rFonts w:hint="default" w:ascii="Times New Roman" w:hAnsi="Times New Roman" w:eastAsia="宋体" w:cs="Times New Roman"/>
          <w:sz w:val="24"/>
          <w:szCs w:val="24"/>
        </w:rPr>
        <w:tab/>
      </w:r>
      <w:r>
        <w:rPr>
          <w:rFonts w:hint="eastAsia" w:cs="Times New Roman"/>
          <w:sz w:val="24"/>
          <w:szCs w:val="24"/>
          <w:lang w:eastAsia="zh-CN"/>
        </w:rPr>
        <w:t>（</w:t>
      </w:r>
      <w:r>
        <w:rPr>
          <w:rFonts w:hint="eastAsia" w:cs="Times New Roman"/>
          <w:sz w:val="24"/>
          <w:szCs w:val="24"/>
          <w:lang w:val="en-US" w:eastAsia="zh-CN"/>
        </w:rPr>
        <w:t>9</w:t>
      </w:r>
      <w:r>
        <w:rPr>
          <w:rFonts w:hint="eastAsia" w:cs="Times New Roman"/>
          <w:sz w:val="24"/>
          <w:szCs w:val="24"/>
          <w:lang w:eastAsia="zh-CN"/>
        </w:rPr>
        <w:t>）</w:t>
      </w:r>
    </w:p>
    <w:p w14:paraId="7175F94F">
      <w:pPr>
        <w:snapToGrid w:val="0"/>
        <w:spacing w:line="360" w:lineRule="auto"/>
        <w:ind w:firstLine="56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因此，通过对</w:t>
      </w:r>
      <w:r>
        <w:rPr>
          <w:rFonts w:hint="default" w:ascii="Times New Roman" w:hAnsi="Times New Roman" w:eastAsia="宋体" w:cs="Times New Roman"/>
          <w:position w:val="-14"/>
          <w:sz w:val="24"/>
          <w:szCs w:val="24"/>
        </w:rPr>
        <w:object>
          <v:shape id="_x0000_i1046" o:spt="75" type="#_x0000_t75" style="height:19.45pt;width:28.65pt;" o:ole="t" filled="f" o:preferrelative="t" stroked="f" coordsize="21600,21600">
            <v:path/>
            <v:fill on="f" focussize="0,0"/>
            <v:stroke on="f" joinstyle="miter"/>
            <v:imagedata r:id="rId37" o:title=""/>
            <o:lock v:ext="edit" aspectratio="t"/>
            <w10:wrap type="none"/>
            <w10:anchorlock/>
          </v:shape>
          <o:OLEObject Type="Embed" ProgID="Equation.DSMT4" ShapeID="_x0000_i1046" DrawAspect="Content" ObjectID="_1468075746" r:id="rId47">
            <o:LockedField>false</o:LockedField>
          </o:OLEObject>
        </w:object>
      </w:r>
      <w:r>
        <w:rPr>
          <w:rFonts w:hint="default" w:ascii="Times New Roman" w:hAnsi="Times New Roman" w:eastAsia="宋体" w:cs="Times New Roman"/>
          <w:sz w:val="24"/>
          <w:szCs w:val="24"/>
        </w:rPr>
        <w:t>进行频谱分析，获得其FFT频谱的奇数次谐波频谱幅值。采用仿真方式生成理想基波与各次谐波的合成波形，再进行正弦曲线拟合，理想基波分量与合成波形拟合分量之差即为</w:t>
      </w:r>
      <w:r>
        <w:rPr>
          <w:rFonts w:hint="default" w:ascii="Times New Roman" w:hAnsi="Times New Roman" w:eastAsia="宋体" w:cs="Times New Roman"/>
          <w:position w:val="-14"/>
          <w:sz w:val="24"/>
          <w:szCs w:val="24"/>
        </w:rPr>
        <w:object>
          <v:shape id="_x0000_i1047" o:spt="75" type="#_x0000_t75" style="height:19.1pt;width:26.95pt;" o:ole="t" filled="f" o:preferrelative="t" stroked="f" coordsize="21600,21600">
            <v:path/>
            <v:fill on="f" focussize="0,0"/>
            <v:stroke on="f" joinstyle="miter"/>
            <v:imagedata r:id="rId49" o:title=""/>
            <o:lock v:ext="edit" aspectratio="t"/>
            <w10:wrap type="none"/>
            <w10:anchorlock/>
          </v:shape>
          <o:OLEObject Type="Embed" ProgID="Equation.DSMT4" ShapeID="_x0000_i1047" DrawAspect="Content" ObjectID="_1468075747" r:id="rId48">
            <o:LockedField>false</o:LockedField>
          </o:OLEObject>
        </w:object>
      </w:r>
      <w:r>
        <w:rPr>
          <w:rFonts w:hint="default" w:ascii="Times New Roman" w:hAnsi="Times New Roman" w:eastAsia="宋体" w:cs="Times New Roman"/>
          <w:sz w:val="24"/>
          <w:szCs w:val="24"/>
        </w:rPr>
        <w:t>。</w:t>
      </w:r>
    </w:p>
    <w:p w14:paraId="254FD3BA">
      <w:pPr>
        <w:spacing w:line="360" w:lineRule="auto"/>
        <w:ind w:firstLine="56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（7）显示器以刷新率</w:t>
      </w:r>
      <w:r>
        <w:rPr>
          <w:rFonts w:hint="default" w:ascii="Times New Roman" w:hAnsi="Times New Roman" w:eastAsia="宋体" w:cs="Times New Roman"/>
          <w:i/>
          <w:iCs/>
          <w:sz w:val="24"/>
          <w:szCs w:val="24"/>
        </w:rPr>
        <w:t>F</w:t>
      </w:r>
      <w:r>
        <w:rPr>
          <w:rFonts w:hint="default" w:ascii="Times New Roman" w:hAnsi="Times New Roman" w:eastAsia="宋体" w:cs="Times New Roman"/>
          <w:i/>
          <w:iCs/>
          <w:sz w:val="24"/>
          <w:szCs w:val="24"/>
          <w:vertAlign w:val="subscript"/>
        </w:rPr>
        <w:t>r</w:t>
      </w:r>
      <w:r>
        <w:rPr>
          <w:rFonts w:hint="default" w:ascii="Times New Roman" w:hAnsi="Times New Roman" w:eastAsia="宋体" w:cs="Times New Roman"/>
          <w:sz w:val="24"/>
          <w:szCs w:val="24"/>
        </w:rPr>
        <w:t>输出标准正弦振动，采用B类不确定度评估方法确定</w:t>
      </w:r>
      <w:r>
        <w:rPr>
          <w:rFonts w:hint="default" w:ascii="Times New Roman" w:hAnsi="Times New Roman" w:eastAsia="宋体" w:cs="Times New Roman"/>
          <w:i/>
          <w:iCs/>
          <w:sz w:val="24"/>
          <w:szCs w:val="24"/>
        </w:rPr>
        <w:t>F</w:t>
      </w:r>
      <w:r>
        <w:rPr>
          <w:rFonts w:hint="default" w:ascii="Times New Roman" w:hAnsi="Times New Roman" w:eastAsia="宋体" w:cs="Times New Roman"/>
          <w:i/>
          <w:iCs/>
          <w:sz w:val="24"/>
          <w:szCs w:val="24"/>
          <w:vertAlign w:val="subscript"/>
        </w:rPr>
        <w:t>r</w:t>
      </w:r>
      <w:r>
        <w:rPr>
          <w:rFonts w:hint="default" w:ascii="Times New Roman" w:hAnsi="Times New Roman" w:eastAsia="宋体" w:cs="Times New Roman"/>
          <w:sz w:val="24"/>
          <w:szCs w:val="24"/>
        </w:rPr>
        <w:t>的不确定度</w:t>
      </w:r>
      <w:r>
        <w:rPr>
          <w:rFonts w:hint="default" w:ascii="Times New Roman" w:hAnsi="Times New Roman" w:eastAsia="宋体" w:cs="Times New Roman"/>
          <w:i/>
          <w:iCs/>
          <w:sz w:val="24"/>
          <w:szCs w:val="24"/>
        </w:rPr>
        <w:t>u</w:t>
      </w:r>
      <w:r>
        <w:rPr>
          <w:rFonts w:hint="default" w:ascii="Times New Roman" w:hAnsi="Times New Roman" w:eastAsia="宋体" w:cs="Times New Roman"/>
          <w:sz w:val="24"/>
          <w:szCs w:val="24"/>
        </w:rPr>
        <w:t>(</w:t>
      </w:r>
      <w:r>
        <w:rPr>
          <w:rFonts w:hint="default" w:ascii="Times New Roman" w:hAnsi="Times New Roman" w:eastAsia="宋体" w:cs="Times New Roman"/>
          <w:i/>
          <w:iCs/>
          <w:sz w:val="24"/>
          <w:szCs w:val="24"/>
        </w:rPr>
        <w:t>F</w:t>
      </w:r>
      <w:r>
        <w:rPr>
          <w:rFonts w:hint="default" w:ascii="Times New Roman" w:hAnsi="Times New Roman" w:eastAsia="宋体" w:cs="Times New Roman"/>
          <w:i/>
          <w:iCs/>
          <w:sz w:val="24"/>
          <w:szCs w:val="24"/>
          <w:vertAlign w:val="subscript"/>
        </w:rPr>
        <w:t>r</w:t>
      </w:r>
      <w:r>
        <w:rPr>
          <w:rFonts w:hint="default" w:ascii="Times New Roman" w:hAnsi="Times New Roman" w:eastAsia="宋体" w:cs="Times New Roman"/>
          <w:sz w:val="24"/>
          <w:szCs w:val="24"/>
        </w:rPr>
        <w:t>)：</w:t>
      </w:r>
    </w:p>
    <w:p w14:paraId="027A48A9">
      <w:pPr>
        <w:pStyle w:val="58"/>
        <w:spacing w:line="360" w:lineRule="auto"/>
        <w:jc w:val="righ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ab/>
      </w:r>
      <w:r>
        <w:rPr>
          <w:rFonts w:hint="default" w:ascii="Times New Roman" w:hAnsi="Times New Roman" w:eastAsia="宋体" w:cs="Times New Roman"/>
          <w:position w:val="-14"/>
          <w:sz w:val="24"/>
          <w:szCs w:val="24"/>
        </w:rPr>
        <w:object>
          <v:shape id="_x0000_i1048" o:spt="75" type="#_x0000_t75" style="height:24.25pt;width:84.3pt;" o:ole="t" filled="f" o:preferrelative="t" stroked="f" coordsize="21600,21600">
            <v:path/>
            <v:fill on="f" focussize="0,0"/>
            <v:stroke on="f" joinstyle="miter"/>
            <v:imagedata r:id="rId51" o:title=""/>
            <o:lock v:ext="edit" aspectratio="t"/>
            <w10:wrap type="none"/>
            <w10:anchorlock/>
          </v:shape>
          <o:OLEObject Type="Embed" ProgID="Equation.DSMT4" ShapeID="_x0000_i1048" DrawAspect="Content" ObjectID="_1468075748" r:id="rId50">
            <o:LockedField>false</o:LockedField>
          </o:OLEObject>
        </w:object>
      </w:r>
      <w:r>
        <w:rPr>
          <w:rFonts w:hint="default" w:ascii="Times New Roman" w:hAnsi="Times New Roman" w:eastAsia="宋体" w:cs="Times New Roman"/>
          <w:sz w:val="24"/>
          <w:szCs w:val="24"/>
        </w:rPr>
        <w:tab/>
      </w:r>
      <w:r>
        <w:rPr>
          <w:rFonts w:hint="eastAsia" w:cs="Times New Roman"/>
          <w:sz w:val="24"/>
          <w:szCs w:val="24"/>
          <w:lang w:eastAsia="zh-CN"/>
        </w:rPr>
        <w:t>（</w:t>
      </w:r>
      <w:r>
        <w:rPr>
          <w:rFonts w:hint="eastAsia" w:cs="Times New Roman"/>
          <w:sz w:val="24"/>
          <w:szCs w:val="24"/>
          <w:lang w:val="en-US" w:eastAsia="zh-CN"/>
        </w:rPr>
        <w:t>10</w:t>
      </w:r>
      <w:r>
        <w:rPr>
          <w:rFonts w:hint="eastAsia" w:cs="Times New Roman"/>
          <w:sz w:val="24"/>
          <w:szCs w:val="24"/>
          <w:lang w:eastAsia="zh-CN"/>
        </w:rPr>
        <w:t>）</w:t>
      </w:r>
    </w:p>
    <w:p w14:paraId="284236D0">
      <w:pPr>
        <w:spacing w:line="360" w:lineRule="auto"/>
        <w:ind w:firstLine="0"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式中：</w:t>
      </w:r>
      <w:r>
        <w:rPr>
          <w:rFonts w:hint="default" w:ascii="Times New Roman" w:hAnsi="Times New Roman" w:eastAsia="宋体" w:cs="Times New Roman"/>
          <w:sz w:val="24"/>
          <w:szCs w:val="24"/>
        </w:rPr>
        <w:sym w:font="Symbol" w:char="F044"/>
      </w:r>
      <w:r>
        <w:rPr>
          <w:rFonts w:hint="default" w:ascii="Times New Roman" w:hAnsi="Times New Roman" w:eastAsia="宋体" w:cs="Times New Roman"/>
          <w:i/>
          <w:iCs/>
          <w:sz w:val="24"/>
          <w:szCs w:val="24"/>
          <w:vertAlign w:val="subscript"/>
        </w:rPr>
        <w:t>F</w:t>
      </w:r>
      <w:r>
        <w:rPr>
          <w:rFonts w:hint="default" w:ascii="Times New Roman" w:hAnsi="Times New Roman" w:eastAsia="宋体" w:cs="Times New Roman"/>
          <w:sz w:val="24"/>
          <w:szCs w:val="24"/>
        </w:rPr>
        <w:t>为显示器的刷新率精度。</w:t>
      </w:r>
    </w:p>
    <w:p w14:paraId="16B3BDC9">
      <w:pPr>
        <w:spacing w:line="360" w:lineRule="auto"/>
        <w:ind w:firstLine="56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（8）显示器的像素尺寸</w:t>
      </w:r>
      <w:r>
        <w:rPr>
          <w:rFonts w:hint="default" w:ascii="Times New Roman" w:hAnsi="Times New Roman" w:eastAsia="宋体" w:cs="Times New Roman"/>
          <w:i/>
          <w:iCs/>
          <w:sz w:val="24"/>
          <w:szCs w:val="24"/>
        </w:rPr>
        <w:t>D</w:t>
      </w:r>
      <w:r>
        <w:rPr>
          <w:rFonts w:hint="default" w:ascii="Times New Roman" w:hAnsi="Times New Roman" w:eastAsia="宋体" w:cs="Times New Roman"/>
          <w:sz w:val="24"/>
          <w:szCs w:val="24"/>
        </w:rPr>
        <w:t>的误差引入的测量不确定度分量</w:t>
      </w:r>
      <w:r>
        <w:rPr>
          <w:rFonts w:hint="default" w:ascii="Times New Roman" w:hAnsi="Times New Roman" w:eastAsia="宋体" w:cs="Times New Roman"/>
          <w:i/>
          <w:iCs/>
          <w:sz w:val="24"/>
          <w:szCs w:val="24"/>
        </w:rPr>
        <w:t>u</w:t>
      </w:r>
      <w:r>
        <w:rPr>
          <w:rFonts w:hint="default" w:ascii="Times New Roman" w:hAnsi="Times New Roman" w:eastAsia="宋体" w:cs="Times New Roman"/>
          <w:sz w:val="24"/>
          <w:szCs w:val="24"/>
        </w:rPr>
        <w:t>(</w:t>
      </w:r>
      <w:r>
        <w:rPr>
          <w:rFonts w:hint="default" w:ascii="Times New Roman" w:hAnsi="Times New Roman" w:eastAsia="宋体" w:cs="Times New Roman"/>
          <w:i/>
          <w:iCs/>
          <w:sz w:val="24"/>
          <w:szCs w:val="24"/>
        </w:rPr>
        <w:t>D</w:t>
      </w:r>
      <w:r>
        <w:rPr>
          <w:rFonts w:hint="default" w:ascii="Times New Roman" w:hAnsi="Times New Roman" w:eastAsia="宋体" w:cs="Times New Roman"/>
          <w:sz w:val="24"/>
          <w:szCs w:val="24"/>
        </w:rPr>
        <w:t>)采用B类不确定度评估方法确定：</w:t>
      </w:r>
    </w:p>
    <w:p w14:paraId="0AB0D755">
      <w:pPr>
        <w:pStyle w:val="58"/>
        <w:spacing w:line="360" w:lineRule="auto"/>
        <w:jc w:val="righ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ab/>
      </w:r>
      <w:r>
        <w:rPr>
          <w:rFonts w:hint="default" w:ascii="Times New Roman" w:hAnsi="Times New Roman" w:eastAsia="宋体" w:cs="Times New Roman"/>
          <w:position w:val="-14"/>
          <w:sz w:val="24"/>
          <w:szCs w:val="24"/>
        </w:rPr>
        <w:object>
          <v:shape id="_x0000_i1049" o:spt="75" type="#_x0000_t75" style="height:21.85pt;width:82.9pt;" o:ole="t" filled="f" o:preferrelative="t" stroked="f" coordsize="21600,21600">
            <v:path/>
            <v:fill on="f" focussize="0,0"/>
            <v:stroke on="f" joinstyle="miter"/>
            <v:imagedata r:id="rId53" o:title=""/>
            <o:lock v:ext="edit" aspectratio="t"/>
            <w10:wrap type="none"/>
            <w10:anchorlock/>
          </v:shape>
          <o:OLEObject Type="Embed" ProgID="Equation.DSMT4" ShapeID="_x0000_i1049" DrawAspect="Content" ObjectID="_1468075749" r:id="rId52">
            <o:LockedField>false</o:LockedField>
          </o:OLEObject>
        </w:object>
      </w:r>
      <w:r>
        <w:rPr>
          <w:rFonts w:hint="default" w:ascii="Times New Roman" w:hAnsi="Times New Roman" w:eastAsia="宋体" w:cs="Times New Roman"/>
          <w:sz w:val="24"/>
          <w:szCs w:val="24"/>
        </w:rPr>
        <w:tab/>
      </w:r>
      <w:r>
        <w:rPr>
          <w:rFonts w:hint="eastAsia" w:cs="Times New Roman"/>
          <w:sz w:val="24"/>
          <w:szCs w:val="24"/>
          <w:lang w:eastAsia="zh-CN"/>
        </w:rPr>
        <w:t>（</w:t>
      </w:r>
      <w:r>
        <w:rPr>
          <w:rFonts w:hint="eastAsia" w:cs="Times New Roman"/>
          <w:sz w:val="24"/>
          <w:szCs w:val="24"/>
          <w:lang w:val="en-US" w:eastAsia="zh-CN"/>
        </w:rPr>
        <w:t>11</w:t>
      </w:r>
      <w:r>
        <w:rPr>
          <w:rFonts w:hint="eastAsia" w:cs="Times New Roman"/>
          <w:sz w:val="24"/>
          <w:szCs w:val="24"/>
          <w:lang w:eastAsia="zh-CN"/>
        </w:rPr>
        <w:t>）</w:t>
      </w:r>
    </w:p>
    <w:p w14:paraId="66356728">
      <w:pPr>
        <w:spacing w:line="360" w:lineRule="auto"/>
        <w:ind w:firstLine="0"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其中，</w:t>
      </w:r>
      <w:r>
        <w:rPr>
          <w:rFonts w:hint="default" w:ascii="Times New Roman" w:hAnsi="Times New Roman" w:eastAsia="宋体" w:cs="Times New Roman"/>
          <w:sz w:val="24"/>
          <w:szCs w:val="24"/>
        </w:rPr>
        <w:sym w:font="Symbol" w:char="F044"/>
      </w:r>
      <w:r>
        <w:rPr>
          <w:rFonts w:hint="default" w:ascii="Times New Roman" w:hAnsi="Times New Roman" w:eastAsia="宋体" w:cs="Times New Roman"/>
          <w:i/>
          <w:iCs/>
          <w:sz w:val="24"/>
          <w:szCs w:val="24"/>
          <w:vertAlign w:val="subscript"/>
        </w:rPr>
        <w:t>D</w:t>
      </w:r>
      <w:r>
        <w:rPr>
          <w:rFonts w:hint="default" w:ascii="Times New Roman" w:hAnsi="Times New Roman" w:eastAsia="宋体" w:cs="Times New Roman"/>
          <w:sz w:val="24"/>
          <w:szCs w:val="24"/>
        </w:rPr>
        <w:t>为显示器的像素尺寸精度。</w:t>
      </w:r>
    </w:p>
    <w:p w14:paraId="0F3DA4FB">
      <w:pPr>
        <w:spacing w:line="360" w:lineRule="auto"/>
        <w:ind w:firstLine="56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（9）正弦振动序列图像的采集时间</w:t>
      </w:r>
      <w:r>
        <w:rPr>
          <w:rFonts w:hint="default" w:ascii="Times New Roman" w:hAnsi="Times New Roman" w:eastAsia="宋体" w:cs="Times New Roman"/>
          <w:i/>
          <w:iCs/>
          <w:sz w:val="24"/>
          <w:szCs w:val="24"/>
        </w:rPr>
        <w:t>t</w:t>
      </w:r>
      <w:r>
        <w:rPr>
          <w:rFonts w:hint="default" w:ascii="Times New Roman" w:hAnsi="Times New Roman" w:eastAsia="宋体" w:cs="Times New Roman"/>
          <w:i/>
          <w:iCs/>
          <w:sz w:val="24"/>
          <w:szCs w:val="24"/>
          <w:vertAlign w:val="subscript"/>
        </w:rPr>
        <w:t>i</w:t>
      </w:r>
      <w:r>
        <w:rPr>
          <w:rFonts w:hint="default" w:ascii="Times New Roman" w:hAnsi="Times New Roman" w:eastAsia="宋体" w:cs="Times New Roman"/>
          <w:sz w:val="24"/>
          <w:szCs w:val="24"/>
        </w:rPr>
        <w:t>与摄像机帧率</w:t>
      </w:r>
      <w:r>
        <w:rPr>
          <w:rFonts w:hint="default" w:ascii="Times New Roman" w:hAnsi="Times New Roman" w:eastAsia="宋体" w:cs="Times New Roman"/>
          <w:i/>
          <w:iCs/>
          <w:sz w:val="24"/>
          <w:szCs w:val="24"/>
        </w:rPr>
        <w:t>F</w:t>
      </w:r>
      <w:r>
        <w:rPr>
          <w:rFonts w:hint="default" w:ascii="Times New Roman" w:hAnsi="Times New Roman" w:eastAsia="宋体" w:cs="Times New Roman"/>
          <w:i/>
          <w:iCs/>
          <w:sz w:val="24"/>
          <w:szCs w:val="24"/>
          <w:vertAlign w:val="subscript"/>
        </w:rPr>
        <w:t>c</w:t>
      </w:r>
      <w:r>
        <w:rPr>
          <w:rFonts w:hint="default" w:ascii="Times New Roman" w:hAnsi="Times New Roman" w:eastAsia="宋体" w:cs="Times New Roman"/>
          <w:sz w:val="24"/>
          <w:szCs w:val="24"/>
        </w:rPr>
        <w:t>及曝光时间</w:t>
      </w:r>
      <w:r>
        <w:rPr>
          <w:rFonts w:hint="default" w:ascii="Times New Roman" w:hAnsi="Times New Roman" w:eastAsia="宋体" w:cs="Times New Roman"/>
          <w:i/>
          <w:iCs/>
          <w:sz w:val="24"/>
          <w:szCs w:val="24"/>
        </w:rPr>
        <w:t>t</w:t>
      </w:r>
      <w:r>
        <w:rPr>
          <w:rFonts w:hint="default" w:ascii="Times New Roman" w:hAnsi="Times New Roman" w:eastAsia="宋体" w:cs="Times New Roman"/>
          <w:i/>
          <w:iCs/>
          <w:sz w:val="24"/>
          <w:szCs w:val="24"/>
          <w:vertAlign w:val="subscript"/>
        </w:rPr>
        <w:t>e</w:t>
      </w:r>
      <w:r>
        <w:rPr>
          <w:rFonts w:hint="default" w:ascii="Times New Roman" w:hAnsi="Times New Roman" w:eastAsia="宋体" w:cs="Times New Roman"/>
          <w:sz w:val="24"/>
          <w:szCs w:val="24"/>
        </w:rPr>
        <w:t>有关，</w:t>
      </w:r>
      <w:r>
        <w:rPr>
          <w:rFonts w:hint="default" w:ascii="Times New Roman" w:hAnsi="Times New Roman" w:eastAsia="宋体" w:cs="Times New Roman"/>
          <w:i/>
          <w:iCs/>
          <w:sz w:val="24"/>
          <w:szCs w:val="24"/>
        </w:rPr>
        <w:t>F</w:t>
      </w:r>
      <w:r>
        <w:rPr>
          <w:rFonts w:hint="default" w:ascii="Times New Roman" w:hAnsi="Times New Roman" w:eastAsia="宋体" w:cs="Times New Roman"/>
          <w:i/>
          <w:iCs/>
          <w:sz w:val="24"/>
          <w:szCs w:val="24"/>
          <w:vertAlign w:val="subscript"/>
        </w:rPr>
        <w:t>c</w:t>
      </w:r>
      <w:r>
        <w:rPr>
          <w:rFonts w:hint="default" w:ascii="Times New Roman" w:hAnsi="Times New Roman" w:eastAsia="宋体" w:cs="Times New Roman"/>
          <w:sz w:val="24"/>
          <w:szCs w:val="24"/>
        </w:rPr>
        <w:t>由函数信号发生器提供。则</w:t>
      </w:r>
      <w:r>
        <w:rPr>
          <w:rFonts w:hint="default" w:ascii="Times New Roman" w:hAnsi="Times New Roman" w:eastAsia="宋体" w:cs="Times New Roman"/>
          <w:i/>
          <w:iCs/>
          <w:sz w:val="24"/>
          <w:szCs w:val="24"/>
        </w:rPr>
        <w:t>t</w:t>
      </w:r>
      <w:r>
        <w:rPr>
          <w:rFonts w:hint="default" w:ascii="Times New Roman" w:hAnsi="Times New Roman" w:eastAsia="宋体" w:cs="Times New Roman"/>
          <w:i/>
          <w:iCs/>
          <w:sz w:val="24"/>
          <w:szCs w:val="24"/>
          <w:vertAlign w:val="subscript"/>
        </w:rPr>
        <w:t>i</w:t>
      </w:r>
      <w:r>
        <w:rPr>
          <w:rFonts w:hint="default" w:ascii="Times New Roman" w:hAnsi="Times New Roman" w:eastAsia="宋体" w:cs="Times New Roman"/>
          <w:sz w:val="24"/>
          <w:szCs w:val="24"/>
        </w:rPr>
        <w:t>的不确定度</w:t>
      </w:r>
      <w:r>
        <w:rPr>
          <w:rFonts w:hint="default" w:ascii="Times New Roman" w:hAnsi="Times New Roman" w:eastAsia="宋体" w:cs="Times New Roman"/>
          <w:i/>
          <w:iCs/>
          <w:sz w:val="24"/>
          <w:szCs w:val="24"/>
        </w:rPr>
        <w:t>u</w:t>
      </w:r>
      <w:r>
        <w:rPr>
          <w:rFonts w:hint="default" w:ascii="Times New Roman" w:hAnsi="Times New Roman" w:eastAsia="宋体" w:cs="Times New Roman"/>
          <w:sz w:val="24"/>
          <w:szCs w:val="24"/>
        </w:rPr>
        <w:t>(</w:t>
      </w:r>
      <w:r>
        <w:rPr>
          <w:rFonts w:hint="default" w:ascii="Times New Roman" w:hAnsi="Times New Roman" w:eastAsia="宋体" w:cs="Times New Roman"/>
          <w:i/>
          <w:iCs/>
          <w:sz w:val="24"/>
          <w:szCs w:val="24"/>
        </w:rPr>
        <w:t>t</w:t>
      </w:r>
      <w:r>
        <w:rPr>
          <w:rFonts w:hint="default" w:ascii="Times New Roman" w:hAnsi="Times New Roman" w:eastAsia="宋体" w:cs="Times New Roman"/>
          <w:i/>
          <w:iCs/>
          <w:sz w:val="24"/>
          <w:szCs w:val="24"/>
          <w:vertAlign w:val="subscript"/>
        </w:rPr>
        <w:t>i</w:t>
      </w:r>
      <w:r>
        <w:rPr>
          <w:rFonts w:hint="default" w:ascii="Times New Roman" w:hAnsi="Times New Roman" w:eastAsia="宋体" w:cs="Times New Roman"/>
          <w:sz w:val="24"/>
          <w:szCs w:val="24"/>
        </w:rPr>
        <w:t>)为：</w:t>
      </w:r>
    </w:p>
    <w:p w14:paraId="4AEEEC60">
      <w:pPr>
        <w:pStyle w:val="58"/>
        <w:spacing w:line="360" w:lineRule="auto"/>
        <w:jc w:val="righ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ab/>
      </w:r>
      <w:r>
        <w:rPr>
          <w:rFonts w:hint="default" w:ascii="Times New Roman" w:hAnsi="Times New Roman" w:eastAsia="宋体" w:cs="Times New Roman"/>
          <w:position w:val="-18"/>
          <w:sz w:val="24"/>
          <w:szCs w:val="24"/>
        </w:rPr>
        <w:object>
          <v:shape id="_x0000_i1050" o:spt="75" type="#_x0000_t75" style="height:30.05pt;width:168.25pt;" o:ole="t" filled="f" o:preferrelative="t" stroked="f" coordsize="21600,21600">
            <v:path/>
            <v:fill on="f" focussize="0,0"/>
            <v:stroke on="f" joinstyle="miter"/>
            <v:imagedata r:id="rId55" o:title=""/>
            <o:lock v:ext="edit" aspectratio="t"/>
            <w10:wrap type="none"/>
            <w10:anchorlock/>
          </v:shape>
          <o:OLEObject Type="Embed" ProgID="Equation.DSMT4" ShapeID="_x0000_i1050" DrawAspect="Content" ObjectID="_1468075750" r:id="rId54">
            <o:LockedField>false</o:LockedField>
          </o:OLEObject>
        </w:object>
      </w:r>
      <w:r>
        <w:rPr>
          <w:rFonts w:hint="default" w:ascii="Times New Roman" w:hAnsi="Times New Roman" w:eastAsia="宋体" w:cs="Times New Roman"/>
          <w:sz w:val="24"/>
          <w:szCs w:val="24"/>
        </w:rPr>
        <w:tab/>
      </w:r>
      <w:r>
        <w:rPr>
          <w:rFonts w:hint="eastAsia" w:cs="Times New Roman"/>
          <w:sz w:val="24"/>
          <w:szCs w:val="24"/>
          <w:lang w:eastAsia="zh-CN"/>
        </w:rPr>
        <w:t>（</w:t>
      </w:r>
      <w:r>
        <w:rPr>
          <w:rFonts w:hint="eastAsia" w:cs="Times New Roman"/>
          <w:sz w:val="24"/>
          <w:szCs w:val="24"/>
          <w:lang w:val="en-US" w:eastAsia="zh-CN"/>
        </w:rPr>
        <w:t>12</w:t>
      </w:r>
      <w:r>
        <w:rPr>
          <w:rFonts w:hint="eastAsia" w:cs="Times New Roman"/>
          <w:sz w:val="24"/>
          <w:szCs w:val="24"/>
          <w:lang w:eastAsia="zh-CN"/>
        </w:rPr>
        <w:t>）</w:t>
      </w:r>
    </w:p>
    <w:p w14:paraId="4AEF0BBF">
      <w:pPr>
        <w:spacing w:line="360" w:lineRule="auto"/>
        <w:ind w:firstLine="0"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式中：</w:t>
      </w:r>
      <w:r>
        <w:rPr>
          <w:rFonts w:hint="default" w:ascii="Times New Roman" w:hAnsi="Times New Roman" w:eastAsia="宋体" w:cs="Times New Roman"/>
          <w:i/>
          <w:iCs/>
          <w:sz w:val="24"/>
          <w:szCs w:val="24"/>
        </w:rPr>
        <w:t>u</w:t>
      </w:r>
      <w:r>
        <w:rPr>
          <w:rFonts w:hint="default" w:ascii="Times New Roman" w:hAnsi="Times New Roman" w:eastAsia="宋体" w:cs="Times New Roman"/>
          <w:sz w:val="24"/>
          <w:szCs w:val="24"/>
        </w:rPr>
        <w:t>(</w:t>
      </w:r>
      <w:r>
        <w:rPr>
          <w:rFonts w:hint="default" w:ascii="Times New Roman" w:hAnsi="Times New Roman" w:eastAsia="宋体" w:cs="Times New Roman"/>
          <w:i/>
          <w:iCs/>
          <w:sz w:val="24"/>
          <w:szCs w:val="24"/>
        </w:rPr>
        <w:t>F</w:t>
      </w:r>
      <w:r>
        <w:rPr>
          <w:rFonts w:hint="default" w:ascii="Times New Roman" w:hAnsi="Times New Roman" w:eastAsia="宋体" w:cs="Times New Roman"/>
          <w:i/>
          <w:iCs/>
          <w:sz w:val="24"/>
          <w:szCs w:val="24"/>
          <w:vertAlign w:val="subscript"/>
        </w:rPr>
        <w:t>c</w:t>
      </w:r>
      <w:r>
        <w:rPr>
          <w:rFonts w:hint="default" w:ascii="Times New Roman" w:hAnsi="Times New Roman" w:eastAsia="宋体" w:cs="Times New Roman"/>
          <w:sz w:val="24"/>
          <w:szCs w:val="24"/>
        </w:rPr>
        <w:t>)与</w:t>
      </w:r>
      <w:r>
        <w:rPr>
          <w:rFonts w:hint="default" w:ascii="Times New Roman" w:hAnsi="Times New Roman" w:eastAsia="宋体" w:cs="Times New Roman"/>
          <w:i/>
          <w:iCs/>
          <w:sz w:val="24"/>
          <w:szCs w:val="24"/>
        </w:rPr>
        <w:t>u</w:t>
      </w:r>
      <w:r>
        <w:rPr>
          <w:rFonts w:hint="default" w:ascii="Times New Roman" w:hAnsi="Times New Roman" w:eastAsia="宋体" w:cs="Times New Roman"/>
          <w:sz w:val="24"/>
          <w:szCs w:val="24"/>
        </w:rPr>
        <w:t>(</w:t>
      </w:r>
      <w:r>
        <w:rPr>
          <w:rFonts w:hint="default" w:ascii="Times New Roman" w:hAnsi="Times New Roman" w:eastAsia="宋体" w:cs="Times New Roman"/>
          <w:i/>
          <w:iCs/>
          <w:sz w:val="24"/>
          <w:szCs w:val="24"/>
        </w:rPr>
        <w:t>t</w:t>
      </w:r>
      <w:r>
        <w:rPr>
          <w:rFonts w:hint="default" w:ascii="Times New Roman" w:hAnsi="Times New Roman" w:eastAsia="宋体" w:cs="Times New Roman"/>
          <w:i/>
          <w:iCs/>
          <w:sz w:val="24"/>
          <w:szCs w:val="24"/>
          <w:vertAlign w:val="subscript"/>
        </w:rPr>
        <w:t>c</w:t>
      </w:r>
      <w:r>
        <w:rPr>
          <w:rFonts w:hint="default" w:ascii="Times New Roman" w:hAnsi="Times New Roman" w:eastAsia="宋体" w:cs="Times New Roman"/>
          <w:sz w:val="24"/>
          <w:szCs w:val="24"/>
        </w:rPr>
        <w:t>)分别为函数信号发生器输出频率精度与摄像机曝光时间精度。</w:t>
      </w:r>
    </w:p>
    <w:p w14:paraId="4FA2754E">
      <w:pPr>
        <w:pStyle w:val="58"/>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在测量过程中，由于这些不确定度来源相互独立，它们的相关系数为零。因此，机器视觉低频振动测量系统数字化扁平化校准的合成标准不确定度可根据不确定度传播定律按如下方式合成：</w:t>
      </w:r>
    </w:p>
    <w:p w14:paraId="267AFFCA">
      <w:pPr>
        <w:pStyle w:val="58"/>
        <w:spacing w:line="360" w:lineRule="auto"/>
        <w:jc w:val="right"/>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ab/>
      </w:r>
      <w:r>
        <w:rPr>
          <w:rFonts w:hint="default" w:ascii="Times New Roman" w:hAnsi="Times New Roman" w:eastAsia="宋体" w:cs="Times New Roman"/>
          <w:position w:val="-32"/>
          <w:sz w:val="24"/>
          <w:szCs w:val="24"/>
        </w:rPr>
        <w:object>
          <v:shape id="_x0000_i1051" o:spt="75" type="#_x0000_t75" style="height:41.95pt;width:119.75pt;" o:ole="t" filled="f" o:preferrelative="t" stroked="f" coordsize="21600,21600">
            <v:path/>
            <v:fill on="f" focussize="0,0"/>
            <v:stroke on="f" joinstyle="miter"/>
            <v:imagedata r:id="rId57" o:title=""/>
            <o:lock v:ext="edit" aspectratio="t"/>
            <w10:wrap type="none"/>
            <w10:anchorlock/>
          </v:shape>
          <o:OLEObject Type="Embed" ProgID="Equation.DSMT4" ShapeID="_x0000_i1051" DrawAspect="Content" ObjectID="_1468075751" r:id="rId56">
            <o:LockedField>false</o:LockedField>
          </o:OLEObject>
        </w:object>
      </w:r>
      <w:r>
        <w:rPr>
          <w:rFonts w:hint="default" w:ascii="Times New Roman" w:hAnsi="Times New Roman" w:eastAsia="宋体" w:cs="Times New Roman"/>
          <w:sz w:val="24"/>
          <w:szCs w:val="24"/>
        </w:rPr>
        <w:tab/>
      </w:r>
      <w:r>
        <w:rPr>
          <w:rFonts w:hint="eastAsia" w:cs="Times New Roman"/>
          <w:sz w:val="24"/>
          <w:szCs w:val="24"/>
          <w:lang w:eastAsia="zh-CN"/>
        </w:rPr>
        <w:t>（</w:t>
      </w:r>
      <w:r>
        <w:rPr>
          <w:rFonts w:hint="eastAsia" w:cs="Times New Roman"/>
          <w:sz w:val="24"/>
          <w:szCs w:val="24"/>
          <w:lang w:val="en-US" w:eastAsia="zh-CN"/>
        </w:rPr>
        <w:t>13</w:t>
      </w:r>
      <w:r>
        <w:rPr>
          <w:rFonts w:hint="eastAsia" w:cs="Times New Roman"/>
          <w:sz w:val="24"/>
          <w:szCs w:val="24"/>
          <w:lang w:eastAsia="zh-CN"/>
        </w:rPr>
        <w:t>）</w:t>
      </w:r>
    </w:p>
    <w:p w14:paraId="13017851">
      <w:pPr>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其扩展不确定度为2</w:t>
      </w:r>
      <w:r>
        <w:rPr>
          <w:rFonts w:hint="default" w:ascii="Times New Roman" w:hAnsi="Times New Roman" w:eastAsia="宋体" w:cs="Times New Roman"/>
          <w:i/>
          <w:iCs/>
          <w:sz w:val="24"/>
          <w:szCs w:val="24"/>
        </w:rPr>
        <w:t>u</w:t>
      </w:r>
      <w:r>
        <w:rPr>
          <w:rFonts w:hint="default" w:ascii="Times New Roman" w:hAnsi="Times New Roman" w:eastAsia="宋体" w:cs="Times New Roman"/>
          <w:i/>
          <w:iCs/>
          <w:sz w:val="24"/>
          <w:szCs w:val="24"/>
          <w:vertAlign w:val="subscript"/>
        </w:rPr>
        <w:t>c</w:t>
      </w:r>
      <w:r>
        <w:rPr>
          <w:rFonts w:hint="default" w:ascii="Times New Roman" w:hAnsi="Times New Roman" w:eastAsia="宋体" w:cs="Times New Roman"/>
          <w:sz w:val="24"/>
          <w:szCs w:val="24"/>
        </w:rPr>
        <w:t>(</w:t>
      </w:r>
      <w:r>
        <w:rPr>
          <w:rFonts w:hint="default" w:ascii="Times New Roman" w:hAnsi="Times New Roman" w:eastAsia="宋体" w:cs="Times New Roman"/>
          <w:i/>
          <w:iCs/>
          <w:sz w:val="24"/>
          <w:szCs w:val="24"/>
        </w:rPr>
        <w:t>y</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w:t>
      </w:r>
      <w:r>
        <w:rPr>
          <w:rFonts w:hint="default" w:ascii="Times New Roman" w:hAnsi="Times New Roman" w:eastAsia="宋体" w:cs="Times New Roman"/>
          <w:i/>
          <w:iCs/>
          <w:sz w:val="24"/>
          <w:szCs w:val="24"/>
        </w:rPr>
        <w:t>k</w:t>
      </w:r>
      <w:r>
        <w:rPr>
          <w:rFonts w:hint="default" w:ascii="Times New Roman" w:hAnsi="Times New Roman" w:eastAsia="宋体" w:cs="Times New Roman"/>
          <w:sz w:val="24"/>
          <w:szCs w:val="24"/>
        </w:rPr>
        <w:t>=2)。</w:t>
      </w:r>
    </w:p>
    <w:p w14:paraId="27D71A71">
      <w:pPr>
        <w:spacing w:line="360" w:lineRule="auto"/>
        <w:jc w:val="center"/>
        <w:rPr>
          <w:rFonts w:hint="default" w:ascii="Times New Roman" w:hAnsi="Times New Roman" w:eastAsia="黑体" w:cs="Times New Roman"/>
          <w:color w:val="000000" w:themeColor="text1"/>
          <w:sz w:val="21"/>
          <w:szCs w:val="21"/>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14:textFill>
            <w14:solidFill>
              <w14:schemeClr w14:val="tx1"/>
            </w14:solidFill>
          </w14:textFill>
        </w:rPr>
        <w:t>表</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1</w:t>
      </w:r>
      <w:r>
        <w:rPr>
          <w:rFonts w:hint="default" w:ascii="Times New Roman" w:hAnsi="Times New Roman" w:eastAsia="黑体" w:cs="Times New Roman"/>
          <w:color w:val="000000" w:themeColor="text1"/>
          <w:sz w:val="21"/>
          <w:szCs w:val="21"/>
          <w14:textFill>
            <w14:solidFill>
              <w14:schemeClr w14:val="tx1"/>
            </w14:solidFill>
          </w14:textFill>
        </w:rPr>
        <w:t xml:space="preserve"> 机器视觉低频振动测量系统</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幅值校准的不确定度</w:t>
      </w:r>
    </w:p>
    <w:tbl>
      <w:tblPr>
        <w:tblStyle w:val="17"/>
        <w:tblW w:w="46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3839"/>
        <w:gridCol w:w="1220"/>
        <w:gridCol w:w="655"/>
        <w:gridCol w:w="584"/>
        <w:gridCol w:w="782"/>
        <w:gridCol w:w="1069"/>
      </w:tblGrid>
      <w:tr w14:paraId="0B52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021E2D68">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序号</w:t>
            </w:r>
          </w:p>
        </w:tc>
        <w:tc>
          <w:tcPr>
            <w:tcW w:w="2228" w:type="pct"/>
            <w:vAlign w:val="center"/>
          </w:tcPr>
          <w:p w14:paraId="5AC0A5C7">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不确定度源</w:t>
            </w:r>
          </w:p>
        </w:tc>
        <w:tc>
          <w:tcPr>
            <w:tcW w:w="708" w:type="pct"/>
            <w:vAlign w:val="center"/>
          </w:tcPr>
          <w:p w14:paraId="2BA4A993">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不确</w:t>
            </w:r>
          </w:p>
          <w:p w14:paraId="670A348E">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定度</w:t>
            </w:r>
          </w:p>
        </w:tc>
        <w:tc>
          <w:tcPr>
            <w:tcW w:w="380" w:type="pct"/>
            <w:vAlign w:val="center"/>
          </w:tcPr>
          <w:p w14:paraId="0D8F28B8">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分布</w:t>
            </w:r>
          </w:p>
        </w:tc>
        <w:tc>
          <w:tcPr>
            <w:tcW w:w="339" w:type="pct"/>
            <w:vAlign w:val="center"/>
          </w:tcPr>
          <w:p w14:paraId="4819DB5B">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因子</w:t>
            </w:r>
          </w:p>
        </w:tc>
        <w:tc>
          <w:tcPr>
            <w:tcW w:w="453" w:type="pct"/>
            <w:vAlign w:val="center"/>
          </w:tcPr>
          <w:p w14:paraId="23011AF6">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灵敏系数</w:t>
            </w:r>
          </w:p>
        </w:tc>
        <w:tc>
          <w:tcPr>
            <w:tcW w:w="620" w:type="pct"/>
            <w:vAlign w:val="center"/>
          </w:tcPr>
          <w:p w14:paraId="7C740E3B">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相对贡献(%)</w:t>
            </w:r>
          </w:p>
        </w:tc>
      </w:tr>
      <w:tr w14:paraId="0E5CB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03FB200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2228" w:type="pct"/>
            <w:vAlign w:val="center"/>
          </w:tcPr>
          <w:p w14:paraId="54076861">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光照、光电转换及外部环境噪声等对图像采集的影响</w:t>
            </w:r>
          </w:p>
        </w:tc>
        <w:tc>
          <w:tcPr>
            <w:tcW w:w="708" w:type="pct"/>
            <w:tcBorders>
              <w:top w:val="single" w:color="auto" w:sz="4" w:space="0"/>
              <w:bottom w:val="single" w:color="auto" w:sz="4" w:space="0"/>
            </w:tcBorders>
            <w:vAlign w:val="center"/>
          </w:tcPr>
          <w:p w14:paraId="3B3C3CE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0.030%</w:t>
            </w:r>
          </w:p>
        </w:tc>
        <w:tc>
          <w:tcPr>
            <w:tcW w:w="380" w:type="pct"/>
            <w:vAlign w:val="center"/>
          </w:tcPr>
          <w:p w14:paraId="10F9912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5142958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0270434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tcBorders>
              <w:top w:val="single" w:color="auto" w:sz="4" w:space="0"/>
              <w:bottom w:val="single" w:color="auto" w:sz="4" w:space="0"/>
            </w:tcBorders>
            <w:vAlign w:val="center"/>
          </w:tcPr>
          <w:p w14:paraId="27D0BFD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0.0150</w:t>
            </w:r>
          </w:p>
        </w:tc>
      </w:tr>
      <w:tr w14:paraId="7A753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166238F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2228" w:type="pct"/>
            <w:vAlign w:val="center"/>
          </w:tcPr>
          <w:p w14:paraId="51301E0B">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图像像素点量化误差的影响</w:t>
            </w:r>
          </w:p>
        </w:tc>
        <w:tc>
          <w:tcPr>
            <w:tcW w:w="708" w:type="pct"/>
            <w:tcBorders>
              <w:top w:val="single" w:color="auto" w:sz="4" w:space="0"/>
            </w:tcBorders>
            <w:vAlign w:val="center"/>
          </w:tcPr>
          <w:p w14:paraId="3DFD5C5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0.020%</w:t>
            </w:r>
          </w:p>
        </w:tc>
        <w:tc>
          <w:tcPr>
            <w:tcW w:w="380" w:type="pct"/>
            <w:vAlign w:val="center"/>
          </w:tcPr>
          <w:p w14:paraId="3BCB84D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矩形</w:t>
            </w:r>
          </w:p>
        </w:tc>
        <w:tc>
          <w:tcPr>
            <w:tcW w:w="339" w:type="pct"/>
            <w:vAlign w:val="center"/>
          </w:tcPr>
          <w:p w14:paraId="09B3F7C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1.73</w:t>
            </w:r>
          </w:p>
        </w:tc>
        <w:tc>
          <w:tcPr>
            <w:tcW w:w="453" w:type="pct"/>
            <w:vAlign w:val="center"/>
          </w:tcPr>
          <w:p w14:paraId="58359F0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tcBorders>
              <w:top w:val="single" w:color="auto" w:sz="4" w:space="0"/>
            </w:tcBorders>
            <w:vAlign w:val="center"/>
          </w:tcPr>
          <w:p w14:paraId="1C22B48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0.0115</w:t>
            </w:r>
          </w:p>
        </w:tc>
      </w:tr>
      <w:tr w14:paraId="4669A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7D32868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3</w:t>
            </w:r>
          </w:p>
        </w:tc>
        <w:tc>
          <w:tcPr>
            <w:tcW w:w="2228" w:type="pct"/>
            <w:vAlign w:val="center"/>
          </w:tcPr>
          <w:p w14:paraId="165FC8E1">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图像分辨率的不确定度</w:t>
            </w:r>
          </w:p>
        </w:tc>
        <w:tc>
          <w:tcPr>
            <w:tcW w:w="708" w:type="pct"/>
            <w:vAlign w:val="center"/>
          </w:tcPr>
          <w:p w14:paraId="73AA1F8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0.010%</w:t>
            </w:r>
          </w:p>
        </w:tc>
        <w:tc>
          <w:tcPr>
            <w:tcW w:w="380" w:type="pct"/>
            <w:vAlign w:val="center"/>
          </w:tcPr>
          <w:p w14:paraId="6087617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矩形</w:t>
            </w:r>
          </w:p>
        </w:tc>
        <w:tc>
          <w:tcPr>
            <w:tcW w:w="339" w:type="pct"/>
            <w:vAlign w:val="center"/>
          </w:tcPr>
          <w:p w14:paraId="44B2144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1.73</w:t>
            </w:r>
          </w:p>
        </w:tc>
        <w:tc>
          <w:tcPr>
            <w:tcW w:w="453" w:type="pct"/>
            <w:vAlign w:val="center"/>
          </w:tcPr>
          <w:p w14:paraId="7EC0B4A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41DFEBE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0.0057</w:t>
            </w:r>
          </w:p>
        </w:tc>
      </w:tr>
      <w:tr w14:paraId="32593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5D2E408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4</w:t>
            </w:r>
          </w:p>
        </w:tc>
        <w:tc>
          <w:tcPr>
            <w:tcW w:w="2228" w:type="pct"/>
            <w:vAlign w:val="center"/>
          </w:tcPr>
          <w:p w14:paraId="526F7102">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镜头畸变、摄像机成像模型及摄像机光轴与运动目标平面不严格垂直等的影响</w:t>
            </w:r>
          </w:p>
        </w:tc>
        <w:tc>
          <w:tcPr>
            <w:tcW w:w="708" w:type="pct"/>
            <w:vAlign w:val="center"/>
          </w:tcPr>
          <w:p w14:paraId="184F495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0.030%</w:t>
            </w:r>
          </w:p>
        </w:tc>
        <w:tc>
          <w:tcPr>
            <w:tcW w:w="380" w:type="pct"/>
            <w:vAlign w:val="center"/>
          </w:tcPr>
          <w:p w14:paraId="34BE8DB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0D4F74E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3C44B07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32318F7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0.0150</w:t>
            </w:r>
          </w:p>
        </w:tc>
      </w:tr>
      <w:tr w14:paraId="249E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24604E5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5</w:t>
            </w:r>
          </w:p>
        </w:tc>
        <w:tc>
          <w:tcPr>
            <w:tcW w:w="2228" w:type="pct"/>
            <w:vAlign w:val="center"/>
          </w:tcPr>
          <w:p w14:paraId="1DAAB7ED">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图像边缘检测算法对位移测量的影响</w:t>
            </w:r>
          </w:p>
        </w:tc>
        <w:tc>
          <w:tcPr>
            <w:tcW w:w="708" w:type="pct"/>
            <w:vAlign w:val="center"/>
          </w:tcPr>
          <w:p w14:paraId="395EC1C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0.004%</w:t>
            </w:r>
          </w:p>
        </w:tc>
        <w:tc>
          <w:tcPr>
            <w:tcW w:w="380" w:type="pct"/>
            <w:vAlign w:val="center"/>
          </w:tcPr>
          <w:p w14:paraId="033D08D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5788411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213629A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35E81C9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0.0020</w:t>
            </w:r>
          </w:p>
        </w:tc>
      </w:tr>
      <w:tr w14:paraId="21217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796E446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6</w:t>
            </w:r>
          </w:p>
        </w:tc>
        <w:tc>
          <w:tcPr>
            <w:tcW w:w="2228" w:type="pct"/>
            <w:vAlign w:val="center"/>
          </w:tcPr>
          <w:p w14:paraId="16427E1B">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最小二乘法拟合直线对位移测量的影响</w:t>
            </w:r>
          </w:p>
        </w:tc>
        <w:tc>
          <w:tcPr>
            <w:tcW w:w="708" w:type="pct"/>
            <w:vAlign w:val="center"/>
          </w:tcPr>
          <w:p w14:paraId="0FEC9A4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0.002%</w:t>
            </w:r>
          </w:p>
        </w:tc>
        <w:tc>
          <w:tcPr>
            <w:tcW w:w="380" w:type="pct"/>
            <w:vAlign w:val="center"/>
          </w:tcPr>
          <w:p w14:paraId="02E6EEF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706AE99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508F96C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2F9924B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0.0010</w:t>
            </w:r>
          </w:p>
        </w:tc>
      </w:tr>
      <w:tr w14:paraId="26840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1C8DEDF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7</w:t>
            </w:r>
          </w:p>
        </w:tc>
        <w:tc>
          <w:tcPr>
            <w:tcW w:w="2228" w:type="pct"/>
            <w:vAlign w:val="center"/>
          </w:tcPr>
          <w:p w14:paraId="0BEE4452">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误差模型修正不完善对位移测量的影响</w:t>
            </w:r>
          </w:p>
        </w:tc>
        <w:tc>
          <w:tcPr>
            <w:tcW w:w="708" w:type="pct"/>
            <w:vAlign w:val="center"/>
          </w:tcPr>
          <w:p w14:paraId="4EBFA46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0.010%</w:t>
            </w:r>
          </w:p>
        </w:tc>
        <w:tc>
          <w:tcPr>
            <w:tcW w:w="380" w:type="pct"/>
            <w:vAlign w:val="center"/>
          </w:tcPr>
          <w:p w14:paraId="2911E59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2EA2CA1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362EEF0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4195AFB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0.0050</w:t>
            </w:r>
          </w:p>
        </w:tc>
      </w:tr>
      <w:tr w14:paraId="638F4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32F57D5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8</w:t>
            </w:r>
          </w:p>
        </w:tc>
        <w:tc>
          <w:tcPr>
            <w:tcW w:w="2228" w:type="pct"/>
            <w:vAlign w:val="center"/>
          </w:tcPr>
          <w:p w14:paraId="0ED58537">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显示器刷新率的不确定度</w:t>
            </w:r>
          </w:p>
        </w:tc>
        <w:tc>
          <w:tcPr>
            <w:tcW w:w="708" w:type="pct"/>
            <w:vAlign w:val="center"/>
          </w:tcPr>
          <w:p w14:paraId="30643AF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1</w:t>
            </w:r>
            <w:r>
              <w:rPr>
                <w:rFonts w:hint="default" w:ascii="Times New Roman" w:hAnsi="Times New Roman" w:eastAsia="仿宋_GB2312" w:cs="Times New Roman"/>
                <w:color w:val="000000" w:themeColor="text1"/>
                <w:sz w:val="21"/>
                <w:szCs w:val="21"/>
                <w14:textFill>
                  <w14:solidFill>
                    <w14:schemeClr w14:val="tx1"/>
                  </w14:solidFill>
                </w14:textFill>
              </w:rPr>
              <w:t>%</w:t>
            </w:r>
          </w:p>
        </w:tc>
        <w:tc>
          <w:tcPr>
            <w:tcW w:w="380" w:type="pct"/>
            <w:vAlign w:val="center"/>
          </w:tcPr>
          <w:p w14:paraId="1036E11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矩形</w:t>
            </w:r>
          </w:p>
        </w:tc>
        <w:tc>
          <w:tcPr>
            <w:tcW w:w="339" w:type="pct"/>
            <w:vAlign w:val="center"/>
          </w:tcPr>
          <w:p w14:paraId="2466BEA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1.73</w:t>
            </w:r>
          </w:p>
        </w:tc>
        <w:tc>
          <w:tcPr>
            <w:tcW w:w="453" w:type="pct"/>
            <w:vAlign w:val="center"/>
          </w:tcPr>
          <w:p w14:paraId="14AD9B9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6337825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578</w:t>
            </w:r>
          </w:p>
        </w:tc>
      </w:tr>
      <w:tr w14:paraId="5D569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0A4A863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9</w:t>
            </w:r>
          </w:p>
        </w:tc>
        <w:tc>
          <w:tcPr>
            <w:tcW w:w="2228" w:type="pct"/>
            <w:vAlign w:val="center"/>
          </w:tcPr>
          <w:p w14:paraId="680C2FB1">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显示器像素尺寸误差</w:t>
            </w:r>
          </w:p>
        </w:tc>
        <w:tc>
          <w:tcPr>
            <w:tcW w:w="708" w:type="pct"/>
            <w:vAlign w:val="center"/>
          </w:tcPr>
          <w:p w14:paraId="368E843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0.02</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m</w:t>
            </w:r>
            <w:r>
              <w:rPr>
                <w:rFonts w:hint="default" w:ascii="Times New Roman" w:hAnsi="Times New Roman" w:eastAsia="仿宋_GB2312" w:cs="Times New Roman"/>
                <w:color w:val="000000" w:themeColor="text1"/>
                <w:sz w:val="21"/>
                <w:szCs w:val="21"/>
                <w14:textFill>
                  <w14:solidFill>
                    <w14:schemeClr w14:val="tx1"/>
                  </w14:solidFill>
                </w14:textFill>
              </w:rPr>
              <w:t>m</w:t>
            </w:r>
          </w:p>
        </w:tc>
        <w:tc>
          <w:tcPr>
            <w:tcW w:w="380" w:type="pct"/>
            <w:vAlign w:val="center"/>
          </w:tcPr>
          <w:p w14:paraId="1473604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矩形</w:t>
            </w:r>
          </w:p>
        </w:tc>
        <w:tc>
          <w:tcPr>
            <w:tcW w:w="339" w:type="pct"/>
            <w:vAlign w:val="center"/>
          </w:tcPr>
          <w:p w14:paraId="2940D73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1.73</w:t>
            </w:r>
          </w:p>
        </w:tc>
        <w:tc>
          <w:tcPr>
            <w:tcW w:w="453" w:type="pct"/>
            <w:vAlign w:val="center"/>
          </w:tcPr>
          <w:p w14:paraId="378D098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38B39B3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0.0001</w:t>
            </w:r>
          </w:p>
        </w:tc>
      </w:tr>
      <w:tr w14:paraId="1E99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5D78A9F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10</w:t>
            </w:r>
          </w:p>
        </w:tc>
        <w:tc>
          <w:tcPr>
            <w:tcW w:w="2228" w:type="pct"/>
            <w:vAlign w:val="center"/>
          </w:tcPr>
          <w:p w14:paraId="791DBDD3">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摄像机曝光时间的不确定度</w:t>
            </w:r>
          </w:p>
        </w:tc>
        <w:tc>
          <w:tcPr>
            <w:tcW w:w="708" w:type="pct"/>
            <w:vAlign w:val="center"/>
          </w:tcPr>
          <w:p w14:paraId="050837F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1μs</w:t>
            </w:r>
          </w:p>
        </w:tc>
        <w:tc>
          <w:tcPr>
            <w:tcW w:w="380" w:type="pct"/>
            <w:vAlign w:val="center"/>
          </w:tcPr>
          <w:p w14:paraId="275809B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矩形</w:t>
            </w:r>
          </w:p>
        </w:tc>
        <w:tc>
          <w:tcPr>
            <w:tcW w:w="339" w:type="pct"/>
            <w:vAlign w:val="center"/>
          </w:tcPr>
          <w:p w14:paraId="7779D5D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1.73</w:t>
            </w:r>
          </w:p>
        </w:tc>
        <w:tc>
          <w:tcPr>
            <w:tcW w:w="453" w:type="pct"/>
            <w:vAlign w:val="center"/>
          </w:tcPr>
          <w:p w14:paraId="180EB9C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07FA0B8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0.0001</w:t>
            </w:r>
          </w:p>
        </w:tc>
      </w:tr>
      <w:tr w14:paraId="3EFFF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064888B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11</w:t>
            </w:r>
          </w:p>
        </w:tc>
        <w:tc>
          <w:tcPr>
            <w:tcW w:w="2228" w:type="pct"/>
            <w:vAlign w:val="center"/>
          </w:tcPr>
          <w:p w14:paraId="27B08408">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标准正弦振动数字视频数据精度</w:t>
            </w:r>
          </w:p>
        </w:tc>
        <w:tc>
          <w:tcPr>
            <w:tcW w:w="708" w:type="pct"/>
            <w:vAlign w:val="center"/>
          </w:tcPr>
          <w:p w14:paraId="39C5F44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kern w:val="0"/>
                <w:sz w:val="21"/>
                <w:szCs w:val="21"/>
                <w14:textFill>
                  <w14:solidFill>
                    <w14:schemeClr w14:val="tx1"/>
                  </w14:solidFill>
                </w14:textFill>
              </w:rPr>
              <w:t>8.8</w:t>
            </w:r>
            <w:r>
              <w:rPr>
                <w:rFonts w:hint="default" w:ascii="Times New Roman" w:hAnsi="Times New Roman" w:eastAsia="仿宋_GB2312" w:cs="Times New Roman"/>
                <w:color w:val="000000" w:themeColor="text1"/>
                <w:sz w:val="21"/>
                <w:szCs w:val="21"/>
                <w14:textFill>
                  <w14:solidFill>
                    <w14:schemeClr w14:val="tx1"/>
                  </w14:solidFill>
                </w14:textFill>
              </w:rPr>
              <w:t>×10</w:t>
            </w:r>
            <w:r>
              <w:rPr>
                <w:rFonts w:hint="default" w:ascii="Times New Roman" w:hAnsi="Times New Roman" w:eastAsia="仿宋_GB2312" w:cs="Times New Roman"/>
                <w:color w:val="000000" w:themeColor="text1"/>
                <w:sz w:val="21"/>
                <w:szCs w:val="21"/>
                <w:vertAlign w:val="superscript"/>
                <w14:textFill>
                  <w14:solidFill>
                    <w14:schemeClr w14:val="tx1"/>
                  </w14:solidFill>
                </w14:textFill>
              </w:rPr>
              <w:t>-13</w:t>
            </w:r>
            <w:r>
              <w:rPr>
                <w:rFonts w:hint="default" w:ascii="Times New Roman" w:hAnsi="Times New Roman" w:eastAsia="仿宋_GB2312" w:cs="Times New Roman"/>
                <w:color w:val="000000" w:themeColor="text1"/>
                <w:sz w:val="21"/>
                <w:szCs w:val="21"/>
                <w14:textFill>
                  <w14:solidFill>
                    <w14:schemeClr w14:val="tx1"/>
                  </w14:solidFill>
                </w14:textFill>
              </w:rPr>
              <w:t>px</w:t>
            </w:r>
          </w:p>
        </w:tc>
        <w:tc>
          <w:tcPr>
            <w:tcW w:w="380" w:type="pct"/>
            <w:vAlign w:val="center"/>
          </w:tcPr>
          <w:p w14:paraId="7A3A468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矩形</w:t>
            </w:r>
          </w:p>
        </w:tc>
        <w:tc>
          <w:tcPr>
            <w:tcW w:w="339" w:type="pct"/>
            <w:vAlign w:val="center"/>
          </w:tcPr>
          <w:p w14:paraId="28B07BF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1.73</w:t>
            </w:r>
          </w:p>
        </w:tc>
        <w:tc>
          <w:tcPr>
            <w:tcW w:w="453" w:type="pct"/>
            <w:vAlign w:val="center"/>
          </w:tcPr>
          <w:p w14:paraId="159175C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085EFC4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0.0001</w:t>
            </w:r>
          </w:p>
        </w:tc>
      </w:tr>
      <w:tr w14:paraId="025FE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vAlign w:val="center"/>
          </w:tcPr>
          <w:p w14:paraId="7BD70175">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重复性引入的测量不确定度分量</w:t>
            </w:r>
          </w:p>
        </w:tc>
      </w:tr>
      <w:tr w14:paraId="32C24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2DD27816">
            <w:pPr>
              <w:jc w:val="center"/>
              <w:rPr>
                <w:rFonts w:hint="default" w:ascii="Times New Roman" w:hAnsi="Times New Roman" w:eastAsia="仿宋_GB2312"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12</w:t>
            </w:r>
          </w:p>
        </w:tc>
        <w:tc>
          <w:tcPr>
            <w:tcW w:w="2228" w:type="pct"/>
            <w:vAlign w:val="center"/>
          </w:tcPr>
          <w:p w14:paraId="7E55BB6E">
            <w:pPr>
              <w:jc w:val="both"/>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重复性</w:t>
            </w:r>
          </w:p>
        </w:tc>
        <w:tc>
          <w:tcPr>
            <w:tcW w:w="708" w:type="pct"/>
            <w:vAlign w:val="center"/>
          </w:tcPr>
          <w:p w14:paraId="3A046A31">
            <w:pPr>
              <w:jc w:val="center"/>
              <w:rPr>
                <w:rFonts w:hint="default" w:ascii="Times New Roman" w:hAnsi="Times New Roman" w:eastAsia="仿宋_GB2312" w:cs="Times New Roman"/>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94%</w:t>
            </w:r>
          </w:p>
        </w:tc>
        <w:tc>
          <w:tcPr>
            <w:tcW w:w="380" w:type="pct"/>
            <w:vAlign w:val="center"/>
          </w:tcPr>
          <w:p w14:paraId="566A9DC2">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53331203">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6946E490">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5FBB6298">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0.0470</w:t>
            </w:r>
          </w:p>
        </w:tc>
      </w:tr>
      <w:tr w14:paraId="3E26A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78471EB0">
            <w:pPr>
              <w:jc w:val="center"/>
              <w:rPr>
                <w:rFonts w:hint="default" w:ascii="Times New Roman" w:hAnsi="Times New Roman" w:eastAsia="仿宋_GB2312" w:cs="Times New Roman"/>
                <w:color w:val="000000" w:themeColor="text1"/>
                <w:sz w:val="21"/>
                <w:szCs w:val="21"/>
                <w14:textFill>
                  <w14:solidFill>
                    <w14:schemeClr w14:val="tx1"/>
                  </w14:solidFill>
                </w14:textFill>
              </w:rPr>
            </w:pPr>
          </w:p>
        </w:tc>
        <w:tc>
          <w:tcPr>
            <w:tcW w:w="2228" w:type="pct"/>
            <w:vAlign w:val="center"/>
          </w:tcPr>
          <w:p w14:paraId="5B71338E">
            <w:pPr>
              <w:jc w:val="both"/>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合成测量不确定度</w:t>
            </w:r>
          </w:p>
        </w:tc>
        <w:tc>
          <w:tcPr>
            <w:tcW w:w="708" w:type="pct"/>
            <w:vAlign w:val="center"/>
          </w:tcPr>
          <w:p w14:paraId="20D3C4E6">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w:t>
            </w:r>
          </w:p>
        </w:tc>
        <w:tc>
          <w:tcPr>
            <w:tcW w:w="380" w:type="pct"/>
            <w:vAlign w:val="center"/>
          </w:tcPr>
          <w:p w14:paraId="77357E1F">
            <w:pPr>
              <w:jc w:val="center"/>
              <w:rPr>
                <w:rFonts w:hint="default" w:ascii="Times New Roman" w:hAnsi="Times New Roman" w:eastAsia="仿宋_GB2312" w:cs="Times New Roman"/>
                <w:i/>
                <w:iCs/>
                <w:color w:val="000000" w:themeColor="text1"/>
                <w:sz w:val="21"/>
                <w:szCs w:val="21"/>
                <w14:textFill>
                  <w14:solidFill>
                    <w14:schemeClr w14:val="tx1"/>
                  </w14:solidFill>
                </w14:textFill>
              </w:rPr>
            </w:pPr>
            <w:r>
              <w:rPr>
                <w:rFonts w:hint="default" w:ascii="Times New Roman" w:hAnsi="Times New Roman" w:eastAsia="仿宋_GB2312" w:cs="Times New Roman"/>
                <w:i/>
                <w:iCs/>
                <w:color w:val="000000" w:themeColor="text1"/>
                <w:sz w:val="21"/>
                <w:szCs w:val="21"/>
                <w14:textFill>
                  <w14:solidFill>
                    <w14:schemeClr w14:val="tx1"/>
                  </w14:solidFill>
                </w14:textFill>
              </w:rPr>
              <w:t>k</w:t>
            </w:r>
            <w:r>
              <w:rPr>
                <w:rFonts w:hint="default" w:ascii="Times New Roman" w:hAnsi="Times New Roman" w:eastAsia="仿宋_GB2312" w:cs="Times New Roman"/>
                <w:color w:val="000000" w:themeColor="text1"/>
                <w:sz w:val="21"/>
                <w:szCs w:val="21"/>
                <w14:textFill>
                  <w14:solidFill>
                    <w14:schemeClr w14:val="tx1"/>
                  </w14:solidFill>
                </w14:textFill>
              </w:rPr>
              <w:t xml:space="preserve"> = 1</w:t>
            </w:r>
          </w:p>
        </w:tc>
        <w:tc>
          <w:tcPr>
            <w:tcW w:w="339" w:type="pct"/>
            <w:vAlign w:val="center"/>
          </w:tcPr>
          <w:p w14:paraId="5A3471E8">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453" w:type="pct"/>
            <w:vAlign w:val="center"/>
          </w:tcPr>
          <w:p w14:paraId="2902BADB">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w:t>
            </w:r>
          </w:p>
        </w:tc>
        <w:tc>
          <w:tcPr>
            <w:tcW w:w="1069" w:type="dxa"/>
            <w:vAlign w:val="center"/>
          </w:tcPr>
          <w:p w14:paraId="68C73AC6">
            <w:pPr>
              <w:jc w:val="center"/>
              <w:rPr>
                <w:rFonts w:hint="default" w:ascii="Times New Roman" w:hAnsi="Times New Roman" w:eastAsia="仿宋_GB2312" w:cs="Times New Roman"/>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0787</w:t>
            </w:r>
          </w:p>
        </w:tc>
      </w:tr>
      <w:tr w14:paraId="15FCC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01F71544">
            <w:pPr>
              <w:jc w:val="center"/>
              <w:rPr>
                <w:rFonts w:hint="default" w:ascii="Times New Roman" w:hAnsi="Times New Roman" w:eastAsia="仿宋_GB2312" w:cs="Times New Roman"/>
                <w:color w:val="000000" w:themeColor="text1"/>
                <w:sz w:val="21"/>
                <w:szCs w:val="21"/>
                <w14:textFill>
                  <w14:solidFill>
                    <w14:schemeClr w14:val="tx1"/>
                  </w14:solidFill>
                </w14:textFill>
              </w:rPr>
            </w:pPr>
          </w:p>
        </w:tc>
        <w:tc>
          <w:tcPr>
            <w:tcW w:w="2228" w:type="pct"/>
            <w:vAlign w:val="center"/>
          </w:tcPr>
          <w:p w14:paraId="7EF786C0">
            <w:pPr>
              <w:jc w:val="both"/>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扩展测量不确定度</w:t>
            </w:r>
          </w:p>
        </w:tc>
        <w:tc>
          <w:tcPr>
            <w:tcW w:w="708" w:type="pct"/>
            <w:vAlign w:val="center"/>
          </w:tcPr>
          <w:p w14:paraId="78F964AB">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w:t>
            </w:r>
          </w:p>
        </w:tc>
        <w:tc>
          <w:tcPr>
            <w:tcW w:w="380" w:type="pct"/>
            <w:vAlign w:val="center"/>
          </w:tcPr>
          <w:p w14:paraId="1297DAB3">
            <w:pPr>
              <w:jc w:val="center"/>
              <w:rPr>
                <w:rFonts w:hint="default" w:ascii="Times New Roman" w:hAnsi="Times New Roman" w:eastAsia="仿宋_GB2312" w:cs="Times New Roman"/>
                <w:i/>
                <w:iCs/>
                <w:color w:val="000000" w:themeColor="text1"/>
                <w:sz w:val="21"/>
                <w:szCs w:val="21"/>
                <w14:textFill>
                  <w14:solidFill>
                    <w14:schemeClr w14:val="tx1"/>
                  </w14:solidFill>
                </w14:textFill>
              </w:rPr>
            </w:pPr>
            <w:r>
              <w:rPr>
                <w:rFonts w:hint="default" w:ascii="Times New Roman" w:hAnsi="Times New Roman" w:eastAsia="仿宋_GB2312" w:cs="Times New Roman"/>
                <w:i/>
                <w:iCs/>
                <w:color w:val="000000" w:themeColor="text1"/>
                <w:sz w:val="21"/>
                <w:szCs w:val="21"/>
                <w14:textFill>
                  <w14:solidFill>
                    <w14:schemeClr w14:val="tx1"/>
                  </w14:solidFill>
                </w14:textFill>
              </w:rPr>
              <w:t>k</w:t>
            </w:r>
            <w:r>
              <w:rPr>
                <w:rFonts w:hint="default" w:ascii="Times New Roman" w:hAnsi="Times New Roman" w:eastAsia="仿宋_GB2312" w:cs="Times New Roman"/>
                <w:color w:val="000000" w:themeColor="text1"/>
                <w:sz w:val="21"/>
                <w:szCs w:val="21"/>
                <w14:textFill>
                  <w14:solidFill>
                    <w14:schemeClr w14:val="tx1"/>
                  </w14:solidFill>
                </w14:textFill>
              </w:rPr>
              <w:t xml:space="preserve"> = 2</w:t>
            </w:r>
          </w:p>
        </w:tc>
        <w:tc>
          <w:tcPr>
            <w:tcW w:w="339" w:type="pct"/>
            <w:vAlign w:val="center"/>
          </w:tcPr>
          <w:p w14:paraId="66ADD220">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3563124F">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w:t>
            </w:r>
          </w:p>
        </w:tc>
        <w:tc>
          <w:tcPr>
            <w:tcW w:w="1069" w:type="dxa"/>
            <w:vAlign w:val="center"/>
          </w:tcPr>
          <w:p w14:paraId="34C21DC4">
            <w:pPr>
              <w:jc w:val="center"/>
              <w:rPr>
                <w:rFonts w:hint="default" w:ascii="Times New Roman" w:hAnsi="Times New Roman" w:eastAsia="仿宋_GB2312" w:cs="Times New Roman"/>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157</w:t>
            </w:r>
          </w:p>
        </w:tc>
      </w:tr>
    </w:tbl>
    <w:p w14:paraId="60F9E26E">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在</w:t>
      </w:r>
      <w:r>
        <w:rPr>
          <w:rFonts w:hint="eastAsia" w:cs="Times New Roman"/>
          <w:color w:val="000000" w:themeColor="text1"/>
          <w:sz w:val="24"/>
          <w:szCs w:val="24"/>
          <w:lang w:val="en-US" w:eastAsia="zh-CN"/>
          <w14:textFill>
            <w14:solidFill>
              <w14:schemeClr w14:val="tx1"/>
            </w14:solidFill>
          </w14:textFill>
        </w:rPr>
        <w:t>DC</w:t>
      </w:r>
      <w:r>
        <w:rPr>
          <w:rFonts w:hint="default" w:ascii="Times New Roman" w:hAnsi="Times New Roman" w:eastAsia="宋体" w:cs="Times New Roman"/>
          <w:color w:val="000000" w:themeColor="text1"/>
          <w:sz w:val="24"/>
          <w:szCs w:val="24"/>
          <w14:textFill>
            <w14:solidFill>
              <w14:schemeClr w14:val="tx1"/>
            </w14:solidFill>
          </w14:textFill>
        </w:rPr>
        <w:t>~20</w:t>
      </w:r>
      <w:r>
        <w:rPr>
          <w:rFonts w:hint="eastAsia"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Hz频率范围内</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机器视觉低频振动测量系统</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幅值校准</w:t>
      </w:r>
      <w:r>
        <w:rPr>
          <w:rFonts w:hint="default" w:ascii="Times New Roman" w:hAnsi="Times New Roman" w:eastAsia="宋体" w:cs="Times New Roman"/>
          <w:color w:val="000000" w:themeColor="text1"/>
          <w:sz w:val="24"/>
          <w:szCs w:val="24"/>
          <w14:textFill>
            <w14:solidFill>
              <w14:schemeClr w14:val="tx1"/>
            </w14:solidFill>
          </w14:textFill>
        </w:rPr>
        <w:t>的扩展不确定度</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为</w:t>
      </w:r>
      <w:r>
        <w:rPr>
          <w:rFonts w:hint="default" w:ascii="Times New Roman" w:hAnsi="Times New Roman" w:eastAsia="宋体" w:cs="Times New Roman"/>
          <w:color w:val="000000" w:themeColor="text1"/>
          <w:sz w:val="24"/>
          <w:szCs w:val="24"/>
          <w14:textFill>
            <w14:solidFill>
              <w14:schemeClr w14:val="tx1"/>
            </w14:solidFill>
          </w14:textFill>
        </w:rPr>
        <w:t>：0.1</w:t>
      </w:r>
      <w:r>
        <w:rPr>
          <w:rFonts w:hint="eastAsia" w:cs="Times New Roman"/>
          <w:color w:val="000000" w:themeColor="text1"/>
          <w:sz w:val="24"/>
          <w:szCs w:val="24"/>
          <w:lang w:val="en-US" w:eastAsia="zh-CN"/>
          <w14:textFill>
            <w14:solidFill>
              <w14:schemeClr w14:val="tx1"/>
            </w14:solidFill>
          </w14:textFill>
        </w:rPr>
        <w:t>6</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i/>
          <w:color w:val="000000" w:themeColor="text1"/>
          <w:sz w:val="24"/>
          <w:szCs w:val="24"/>
          <w14:textFill>
            <w14:solidFill>
              <w14:schemeClr w14:val="tx1"/>
            </w14:solidFill>
          </w14:textFill>
        </w:rPr>
        <w:t>k</w:t>
      </w:r>
      <w:r>
        <w:rPr>
          <w:rFonts w:hint="default" w:ascii="Times New Roman" w:hAnsi="Times New Roman" w:eastAsia="宋体" w:cs="Times New Roman"/>
          <w:color w:val="000000" w:themeColor="text1"/>
          <w:sz w:val="24"/>
          <w:szCs w:val="24"/>
          <w14:textFill>
            <w14:solidFill>
              <w14:schemeClr w14:val="tx1"/>
            </w14:solidFill>
          </w14:textFill>
        </w:rPr>
        <w:t>=2）。考虑到存在其他没有分析到的影响因素，将机器视觉低频振动测量系统</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幅值校准</w:t>
      </w:r>
      <w:r>
        <w:rPr>
          <w:rFonts w:hint="default" w:ascii="Times New Roman" w:hAnsi="Times New Roman" w:eastAsia="宋体" w:cs="Times New Roman"/>
          <w:color w:val="000000" w:themeColor="text1"/>
          <w:sz w:val="24"/>
          <w:szCs w:val="24"/>
          <w14:textFill>
            <w14:solidFill>
              <w14:schemeClr w14:val="tx1"/>
            </w14:solidFill>
          </w14:textFill>
        </w:rPr>
        <w:t>的不确定度适当放大为：0.</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i/>
          <w:color w:val="000000" w:themeColor="text1"/>
          <w:sz w:val="24"/>
          <w:szCs w:val="24"/>
          <w14:textFill>
            <w14:solidFill>
              <w14:schemeClr w14:val="tx1"/>
            </w14:solidFill>
          </w14:textFill>
        </w:rPr>
        <w:t>k</w:t>
      </w:r>
      <w:r>
        <w:rPr>
          <w:rFonts w:hint="default" w:ascii="Times New Roman" w:hAnsi="Times New Roman" w:eastAsia="宋体" w:cs="Times New Roman"/>
          <w:color w:val="000000" w:themeColor="text1"/>
          <w:sz w:val="24"/>
          <w:szCs w:val="24"/>
          <w14:textFill>
            <w14:solidFill>
              <w14:schemeClr w14:val="tx1"/>
            </w14:solidFill>
          </w14:textFill>
        </w:rPr>
        <w:t>=2）。</w:t>
      </w:r>
    </w:p>
    <w:p w14:paraId="4423CE4C">
      <w:pPr>
        <w:spacing w:line="360" w:lineRule="auto"/>
        <w:jc w:val="center"/>
        <w:rPr>
          <w:rFonts w:hint="default" w:ascii="Times New Roman" w:hAnsi="Times New Roman" w:eastAsia="黑体" w:cs="Times New Roman"/>
          <w:color w:val="000000" w:themeColor="text1"/>
          <w:sz w:val="21"/>
          <w:szCs w:val="21"/>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14:textFill>
            <w14:solidFill>
              <w14:schemeClr w14:val="tx1"/>
            </w14:solidFill>
          </w14:textFill>
        </w:rPr>
        <w:t>表</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 xml:space="preserve">2 </w:t>
      </w:r>
      <w:r>
        <w:rPr>
          <w:rFonts w:hint="default" w:ascii="Times New Roman" w:hAnsi="Times New Roman" w:eastAsia="黑体" w:cs="Times New Roman"/>
          <w:color w:val="000000" w:themeColor="text1"/>
          <w:sz w:val="21"/>
          <w:szCs w:val="21"/>
          <w14:textFill>
            <w14:solidFill>
              <w14:schemeClr w14:val="tx1"/>
            </w14:solidFill>
          </w14:textFill>
        </w:rPr>
        <w:t>机器视觉低频振动测量系统</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相位校准的不确定度</w:t>
      </w:r>
    </w:p>
    <w:tbl>
      <w:tblPr>
        <w:tblStyle w:val="17"/>
        <w:tblW w:w="46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3839"/>
        <w:gridCol w:w="1220"/>
        <w:gridCol w:w="655"/>
        <w:gridCol w:w="584"/>
        <w:gridCol w:w="782"/>
        <w:gridCol w:w="1069"/>
      </w:tblGrid>
      <w:tr w14:paraId="35C4B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0AF2BC48">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序号</w:t>
            </w:r>
          </w:p>
        </w:tc>
        <w:tc>
          <w:tcPr>
            <w:tcW w:w="2228" w:type="pct"/>
            <w:vAlign w:val="center"/>
          </w:tcPr>
          <w:p w14:paraId="001887D1">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不确定度源</w:t>
            </w:r>
          </w:p>
        </w:tc>
        <w:tc>
          <w:tcPr>
            <w:tcW w:w="708" w:type="pct"/>
            <w:vAlign w:val="center"/>
          </w:tcPr>
          <w:p w14:paraId="2EAA6671">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不确</w:t>
            </w:r>
          </w:p>
          <w:p w14:paraId="3CBFE4E5">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定度</w:t>
            </w:r>
          </w:p>
        </w:tc>
        <w:tc>
          <w:tcPr>
            <w:tcW w:w="380" w:type="pct"/>
            <w:vAlign w:val="center"/>
          </w:tcPr>
          <w:p w14:paraId="22A0A7EE">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分布</w:t>
            </w:r>
          </w:p>
        </w:tc>
        <w:tc>
          <w:tcPr>
            <w:tcW w:w="339" w:type="pct"/>
            <w:vAlign w:val="center"/>
          </w:tcPr>
          <w:p w14:paraId="552DC680">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因子</w:t>
            </w:r>
          </w:p>
        </w:tc>
        <w:tc>
          <w:tcPr>
            <w:tcW w:w="453" w:type="pct"/>
            <w:vAlign w:val="center"/>
          </w:tcPr>
          <w:p w14:paraId="5F65D862">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灵敏系数</w:t>
            </w:r>
          </w:p>
        </w:tc>
        <w:tc>
          <w:tcPr>
            <w:tcW w:w="620" w:type="pct"/>
            <w:vAlign w:val="center"/>
          </w:tcPr>
          <w:p w14:paraId="3079D59D">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相对贡献(</w:t>
            </w:r>
            <w:r>
              <w:rPr>
                <w:rFonts w:hint="eastAsia" w:ascii="Times New Roman" w:hAnsi="Times New Roman" w:eastAsia="黑体" w:cs="Times New Roman"/>
                <w:color w:val="000000" w:themeColor="text1"/>
                <w:szCs w:val="21"/>
                <w:lang w:val="en-US" w:eastAsia="zh-CN"/>
                <w14:textFill>
                  <w14:solidFill>
                    <w14:schemeClr w14:val="tx1"/>
                  </w14:solidFill>
                </w14:textFill>
              </w:rPr>
              <w:t>°</w:t>
            </w:r>
            <w:r>
              <w:rPr>
                <w:rFonts w:hint="default" w:ascii="Times New Roman" w:hAnsi="Times New Roman" w:eastAsia="黑体" w:cs="Times New Roman"/>
                <w:color w:val="000000" w:themeColor="text1"/>
                <w:szCs w:val="21"/>
                <w14:textFill>
                  <w14:solidFill>
                    <w14:schemeClr w14:val="tx1"/>
                  </w14:solidFill>
                </w14:textFill>
              </w:rPr>
              <w:t>)</w:t>
            </w:r>
          </w:p>
        </w:tc>
      </w:tr>
      <w:tr w14:paraId="66FD6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0A3169C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2228" w:type="pct"/>
            <w:vAlign w:val="center"/>
          </w:tcPr>
          <w:p w14:paraId="2441FDE3">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光照、光电转换及外部环境噪声等对图像采集的影响</w:t>
            </w:r>
          </w:p>
        </w:tc>
        <w:tc>
          <w:tcPr>
            <w:tcW w:w="708" w:type="pct"/>
            <w:tcBorders>
              <w:top w:val="single" w:color="auto" w:sz="4" w:space="0"/>
              <w:bottom w:val="single" w:color="auto" w:sz="4" w:space="0"/>
            </w:tcBorders>
            <w:vAlign w:val="center"/>
          </w:tcPr>
          <w:p w14:paraId="6D257314">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themeColor="text1"/>
                <w:sz w:val="21"/>
                <w:szCs w:val="21"/>
                <w:lang w:eastAsia="zh-CN"/>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0.030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w:t>
            </w:r>
          </w:p>
        </w:tc>
        <w:tc>
          <w:tcPr>
            <w:tcW w:w="380" w:type="pct"/>
            <w:vAlign w:val="center"/>
          </w:tcPr>
          <w:p w14:paraId="22B5631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758A52F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68E71B6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tcBorders>
              <w:top w:val="single" w:color="auto" w:sz="4" w:space="0"/>
              <w:bottom w:val="single" w:color="auto" w:sz="4" w:space="0"/>
            </w:tcBorders>
            <w:vAlign w:val="center"/>
          </w:tcPr>
          <w:p w14:paraId="55FB6ED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0.0150</w:t>
            </w:r>
          </w:p>
        </w:tc>
      </w:tr>
      <w:tr w14:paraId="0694A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438B9C4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2228" w:type="pct"/>
            <w:vAlign w:val="center"/>
          </w:tcPr>
          <w:p w14:paraId="05DE74BC">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图像像素点量化误差的影响</w:t>
            </w:r>
          </w:p>
        </w:tc>
        <w:tc>
          <w:tcPr>
            <w:tcW w:w="708" w:type="pct"/>
            <w:tcBorders>
              <w:top w:val="single" w:color="auto" w:sz="4" w:space="0"/>
            </w:tcBorders>
            <w:vAlign w:val="center"/>
          </w:tcPr>
          <w:p w14:paraId="04ACB1D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0.020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w:t>
            </w:r>
          </w:p>
        </w:tc>
        <w:tc>
          <w:tcPr>
            <w:tcW w:w="380" w:type="pct"/>
            <w:vAlign w:val="center"/>
          </w:tcPr>
          <w:p w14:paraId="1BC8BFD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矩形</w:t>
            </w:r>
          </w:p>
        </w:tc>
        <w:tc>
          <w:tcPr>
            <w:tcW w:w="339" w:type="pct"/>
            <w:vAlign w:val="center"/>
          </w:tcPr>
          <w:p w14:paraId="6991428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1.73</w:t>
            </w:r>
          </w:p>
        </w:tc>
        <w:tc>
          <w:tcPr>
            <w:tcW w:w="453" w:type="pct"/>
            <w:vAlign w:val="center"/>
          </w:tcPr>
          <w:p w14:paraId="58D0DFE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tcBorders>
              <w:top w:val="single" w:color="auto" w:sz="4" w:space="0"/>
            </w:tcBorders>
            <w:vAlign w:val="center"/>
          </w:tcPr>
          <w:p w14:paraId="3B69980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0.0115</w:t>
            </w:r>
          </w:p>
        </w:tc>
      </w:tr>
      <w:tr w14:paraId="46B7E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2D13C75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3</w:t>
            </w:r>
          </w:p>
        </w:tc>
        <w:tc>
          <w:tcPr>
            <w:tcW w:w="2228" w:type="pct"/>
            <w:vAlign w:val="center"/>
          </w:tcPr>
          <w:p w14:paraId="461197F3">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图像分辨率的不确定度</w:t>
            </w:r>
          </w:p>
        </w:tc>
        <w:tc>
          <w:tcPr>
            <w:tcW w:w="708" w:type="pct"/>
            <w:vAlign w:val="center"/>
          </w:tcPr>
          <w:p w14:paraId="35D7862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0.010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w:t>
            </w:r>
          </w:p>
        </w:tc>
        <w:tc>
          <w:tcPr>
            <w:tcW w:w="380" w:type="pct"/>
            <w:vAlign w:val="center"/>
          </w:tcPr>
          <w:p w14:paraId="6874BB4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矩形</w:t>
            </w:r>
          </w:p>
        </w:tc>
        <w:tc>
          <w:tcPr>
            <w:tcW w:w="339" w:type="pct"/>
            <w:vAlign w:val="center"/>
          </w:tcPr>
          <w:p w14:paraId="62EA784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1.73</w:t>
            </w:r>
          </w:p>
        </w:tc>
        <w:tc>
          <w:tcPr>
            <w:tcW w:w="453" w:type="pct"/>
            <w:vAlign w:val="center"/>
          </w:tcPr>
          <w:p w14:paraId="66BB08D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4DADB24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0.0057</w:t>
            </w:r>
          </w:p>
        </w:tc>
      </w:tr>
      <w:tr w14:paraId="30533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65D0E0C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4</w:t>
            </w:r>
          </w:p>
        </w:tc>
        <w:tc>
          <w:tcPr>
            <w:tcW w:w="2228" w:type="pct"/>
            <w:vAlign w:val="center"/>
          </w:tcPr>
          <w:p w14:paraId="603A5BDA">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镜头畸变、摄像机成像模型及摄像机光轴与运动目标平面不严格垂直等的影响</w:t>
            </w:r>
          </w:p>
        </w:tc>
        <w:tc>
          <w:tcPr>
            <w:tcW w:w="708" w:type="pct"/>
            <w:vAlign w:val="center"/>
          </w:tcPr>
          <w:p w14:paraId="7364A93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0.030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w:t>
            </w:r>
          </w:p>
        </w:tc>
        <w:tc>
          <w:tcPr>
            <w:tcW w:w="380" w:type="pct"/>
            <w:vAlign w:val="center"/>
          </w:tcPr>
          <w:p w14:paraId="6F093B1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7440EC0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05297A5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6DD7ED1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0.0150</w:t>
            </w:r>
          </w:p>
        </w:tc>
      </w:tr>
      <w:tr w14:paraId="20D4A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4C008F5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5</w:t>
            </w:r>
          </w:p>
        </w:tc>
        <w:tc>
          <w:tcPr>
            <w:tcW w:w="2228" w:type="pct"/>
            <w:vAlign w:val="center"/>
          </w:tcPr>
          <w:p w14:paraId="3D340BED">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图像边缘检测算法对位移测量的影响</w:t>
            </w:r>
          </w:p>
        </w:tc>
        <w:tc>
          <w:tcPr>
            <w:tcW w:w="708" w:type="pct"/>
            <w:vAlign w:val="center"/>
          </w:tcPr>
          <w:p w14:paraId="40922EA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0.004</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w:t>
            </w:r>
          </w:p>
        </w:tc>
        <w:tc>
          <w:tcPr>
            <w:tcW w:w="380" w:type="pct"/>
            <w:vAlign w:val="center"/>
          </w:tcPr>
          <w:p w14:paraId="344255F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1D4CB98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30A1B82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1435FB8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0.0020</w:t>
            </w:r>
          </w:p>
        </w:tc>
      </w:tr>
      <w:tr w14:paraId="7F39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6C27FBD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6</w:t>
            </w:r>
          </w:p>
        </w:tc>
        <w:tc>
          <w:tcPr>
            <w:tcW w:w="2228" w:type="pct"/>
            <w:vAlign w:val="center"/>
          </w:tcPr>
          <w:p w14:paraId="69BC46BE">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最小二乘法拟合直线对位移测量的影响</w:t>
            </w:r>
          </w:p>
        </w:tc>
        <w:tc>
          <w:tcPr>
            <w:tcW w:w="708" w:type="pct"/>
            <w:vAlign w:val="center"/>
          </w:tcPr>
          <w:p w14:paraId="5A268FE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0.002</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w:t>
            </w:r>
          </w:p>
        </w:tc>
        <w:tc>
          <w:tcPr>
            <w:tcW w:w="380" w:type="pct"/>
            <w:vAlign w:val="center"/>
          </w:tcPr>
          <w:p w14:paraId="710C204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3525721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6643CC9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5BAFB16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0.0010</w:t>
            </w:r>
          </w:p>
        </w:tc>
      </w:tr>
      <w:tr w14:paraId="6FD37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287CB76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7</w:t>
            </w:r>
          </w:p>
        </w:tc>
        <w:tc>
          <w:tcPr>
            <w:tcW w:w="2228" w:type="pct"/>
            <w:vAlign w:val="center"/>
          </w:tcPr>
          <w:p w14:paraId="79FE23BC">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误差模型修正不完善对位移测量的影响</w:t>
            </w:r>
          </w:p>
        </w:tc>
        <w:tc>
          <w:tcPr>
            <w:tcW w:w="708" w:type="pct"/>
            <w:vAlign w:val="center"/>
          </w:tcPr>
          <w:p w14:paraId="43154DA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0.010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w:t>
            </w:r>
          </w:p>
        </w:tc>
        <w:tc>
          <w:tcPr>
            <w:tcW w:w="380" w:type="pct"/>
            <w:vAlign w:val="center"/>
          </w:tcPr>
          <w:p w14:paraId="4E36EB8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0C3C7F1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218E442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24B5C5A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0.0050</w:t>
            </w:r>
          </w:p>
        </w:tc>
      </w:tr>
      <w:tr w14:paraId="6A58B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78D94CE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8</w:t>
            </w:r>
          </w:p>
        </w:tc>
        <w:tc>
          <w:tcPr>
            <w:tcW w:w="2228" w:type="pct"/>
            <w:vAlign w:val="center"/>
          </w:tcPr>
          <w:p w14:paraId="38DC878D">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显示器刷新率的不确定度</w:t>
            </w:r>
          </w:p>
        </w:tc>
        <w:tc>
          <w:tcPr>
            <w:tcW w:w="708" w:type="pct"/>
            <w:vAlign w:val="center"/>
          </w:tcPr>
          <w:p w14:paraId="2A8D1FF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1</w:t>
            </w:r>
            <w:r>
              <w:rPr>
                <w:rFonts w:hint="default" w:ascii="Times New Roman" w:hAnsi="Times New Roman" w:eastAsia="仿宋_GB2312" w:cs="Times New Roman"/>
                <w:color w:val="000000" w:themeColor="text1"/>
                <w:sz w:val="21"/>
                <w:szCs w:val="21"/>
                <w14:textFill>
                  <w14:solidFill>
                    <w14:schemeClr w14:val="tx1"/>
                  </w14:solidFill>
                </w14:textFill>
              </w:rPr>
              <w:t>%</w:t>
            </w:r>
          </w:p>
        </w:tc>
        <w:tc>
          <w:tcPr>
            <w:tcW w:w="380" w:type="pct"/>
            <w:vAlign w:val="center"/>
          </w:tcPr>
          <w:p w14:paraId="3D5EABE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矩形</w:t>
            </w:r>
          </w:p>
        </w:tc>
        <w:tc>
          <w:tcPr>
            <w:tcW w:w="339" w:type="pct"/>
            <w:vAlign w:val="center"/>
          </w:tcPr>
          <w:p w14:paraId="3985D0B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1.73</w:t>
            </w:r>
          </w:p>
        </w:tc>
        <w:tc>
          <w:tcPr>
            <w:tcW w:w="453" w:type="pct"/>
            <w:vAlign w:val="center"/>
          </w:tcPr>
          <w:p w14:paraId="10A63C2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7D467FF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578</w:t>
            </w:r>
          </w:p>
        </w:tc>
      </w:tr>
      <w:tr w14:paraId="3FEEB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7604C9D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9</w:t>
            </w:r>
          </w:p>
        </w:tc>
        <w:tc>
          <w:tcPr>
            <w:tcW w:w="2228" w:type="pct"/>
            <w:vAlign w:val="center"/>
          </w:tcPr>
          <w:p w14:paraId="5A045695">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显示器像素尺寸误差</w:t>
            </w:r>
          </w:p>
        </w:tc>
        <w:tc>
          <w:tcPr>
            <w:tcW w:w="708" w:type="pct"/>
            <w:vAlign w:val="center"/>
          </w:tcPr>
          <w:p w14:paraId="26F4D69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0.02</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m</w:t>
            </w:r>
            <w:r>
              <w:rPr>
                <w:rFonts w:hint="default" w:ascii="Times New Roman" w:hAnsi="Times New Roman" w:eastAsia="仿宋_GB2312" w:cs="Times New Roman"/>
                <w:color w:val="000000" w:themeColor="text1"/>
                <w:sz w:val="21"/>
                <w:szCs w:val="21"/>
                <w14:textFill>
                  <w14:solidFill>
                    <w14:schemeClr w14:val="tx1"/>
                  </w14:solidFill>
                </w14:textFill>
              </w:rPr>
              <w:t>m</w:t>
            </w:r>
          </w:p>
        </w:tc>
        <w:tc>
          <w:tcPr>
            <w:tcW w:w="380" w:type="pct"/>
            <w:vAlign w:val="center"/>
          </w:tcPr>
          <w:p w14:paraId="400E891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矩形</w:t>
            </w:r>
          </w:p>
        </w:tc>
        <w:tc>
          <w:tcPr>
            <w:tcW w:w="339" w:type="pct"/>
            <w:vAlign w:val="center"/>
          </w:tcPr>
          <w:p w14:paraId="3963969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1.73</w:t>
            </w:r>
          </w:p>
        </w:tc>
        <w:tc>
          <w:tcPr>
            <w:tcW w:w="453" w:type="pct"/>
            <w:vAlign w:val="center"/>
          </w:tcPr>
          <w:p w14:paraId="3359C37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2E9D787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0.0001</w:t>
            </w:r>
          </w:p>
        </w:tc>
      </w:tr>
      <w:tr w14:paraId="1C21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7C4B92C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10</w:t>
            </w:r>
          </w:p>
        </w:tc>
        <w:tc>
          <w:tcPr>
            <w:tcW w:w="2228" w:type="pct"/>
            <w:vAlign w:val="center"/>
          </w:tcPr>
          <w:p w14:paraId="62B98730">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摄像机曝光时间的不确定度</w:t>
            </w:r>
          </w:p>
        </w:tc>
        <w:tc>
          <w:tcPr>
            <w:tcW w:w="708" w:type="pct"/>
            <w:vAlign w:val="center"/>
          </w:tcPr>
          <w:p w14:paraId="232EEC3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1μs</w:t>
            </w:r>
          </w:p>
        </w:tc>
        <w:tc>
          <w:tcPr>
            <w:tcW w:w="380" w:type="pct"/>
            <w:vAlign w:val="center"/>
          </w:tcPr>
          <w:p w14:paraId="2CDD0C5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矩形</w:t>
            </w:r>
          </w:p>
        </w:tc>
        <w:tc>
          <w:tcPr>
            <w:tcW w:w="339" w:type="pct"/>
            <w:vAlign w:val="center"/>
          </w:tcPr>
          <w:p w14:paraId="15B961C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1.73</w:t>
            </w:r>
          </w:p>
        </w:tc>
        <w:tc>
          <w:tcPr>
            <w:tcW w:w="453" w:type="pct"/>
            <w:vAlign w:val="center"/>
          </w:tcPr>
          <w:p w14:paraId="0586AC0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4BA4324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0.0001</w:t>
            </w:r>
          </w:p>
        </w:tc>
      </w:tr>
      <w:tr w14:paraId="0829C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53A83B6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11</w:t>
            </w:r>
          </w:p>
        </w:tc>
        <w:tc>
          <w:tcPr>
            <w:tcW w:w="2228" w:type="pct"/>
            <w:vAlign w:val="center"/>
          </w:tcPr>
          <w:p w14:paraId="29FBA734">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标准正弦振动数字视频数据精度</w:t>
            </w:r>
          </w:p>
        </w:tc>
        <w:tc>
          <w:tcPr>
            <w:tcW w:w="708" w:type="pct"/>
            <w:vAlign w:val="center"/>
          </w:tcPr>
          <w:p w14:paraId="535233A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kern w:val="0"/>
                <w:sz w:val="21"/>
                <w:szCs w:val="21"/>
                <w14:textFill>
                  <w14:solidFill>
                    <w14:schemeClr w14:val="tx1"/>
                  </w14:solidFill>
                </w14:textFill>
              </w:rPr>
              <w:t>8.8</w:t>
            </w:r>
            <w:r>
              <w:rPr>
                <w:rFonts w:hint="default" w:ascii="Times New Roman" w:hAnsi="Times New Roman" w:eastAsia="仿宋_GB2312" w:cs="Times New Roman"/>
                <w:color w:val="000000" w:themeColor="text1"/>
                <w:sz w:val="21"/>
                <w:szCs w:val="21"/>
                <w14:textFill>
                  <w14:solidFill>
                    <w14:schemeClr w14:val="tx1"/>
                  </w14:solidFill>
                </w14:textFill>
              </w:rPr>
              <w:t>×10</w:t>
            </w:r>
            <w:r>
              <w:rPr>
                <w:rFonts w:hint="default" w:ascii="Times New Roman" w:hAnsi="Times New Roman" w:eastAsia="仿宋_GB2312" w:cs="Times New Roman"/>
                <w:color w:val="000000" w:themeColor="text1"/>
                <w:sz w:val="21"/>
                <w:szCs w:val="21"/>
                <w:vertAlign w:val="superscript"/>
                <w14:textFill>
                  <w14:solidFill>
                    <w14:schemeClr w14:val="tx1"/>
                  </w14:solidFill>
                </w14:textFill>
              </w:rPr>
              <w:t>-13</w:t>
            </w:r>
            <w:r>
              <w:rPr>
                <w:rFonts w:hint="default" w:ascii="Times New Roman" w:hAnsi="Times New Roman" w:eastAsia="仿宋_GB2312" w:cs="Times New Roman"/>
                <w:color w:val="000000" w:themeColor="text1"/>
                <w:sz w:val="21"/>
                <w:szCs w:val="21"/>
                <w14:textFill>
                  <w14:solidFill>
                    <w14:schemeClr w14:val="tx1"/>
                  </w14:solidFill>
                </w14:textFill>
              </w:rPr>
              <w:t>px</w:t>
            </w:r>
          </w:p>
        </w:tc>
        <w:tc>
          <w:tcPr>
            <w:tcW w:w="380" w:type="pct"/>
            <w:vAlign w:val="center"/>
          </w:tcPr>
          <w:p w14:paraId="39D5C96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矩形</w:t>
            </w:r>
          </w:p>
        </w:tc>
        <w:tc>
          <w:tcPr>
            <w:tcW w:w="339" w:type="pct"/>
            <w:vAlign w:val="center"/>
          </w:tcPr>
          <w:p w14:paraId="2573C68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1.73</w:t>
            </w:r>
          </w:p>
        </w:tc>
        <w:tc>
          <w:tcPr>
            <w:tcW w:w="453" w:type="pct"/>
            <w:vAlign w:val="center"/>
          </w:tcPr>
          <w:p w14:paraId="145D189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2DD0385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0.0001</w:t>
            </w:r>
          </w:p>
        </w:tc>
      </w:tr>
      <w:tr w14:paraId="472E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vAlign w:val="center"/>
          </w:tcPr>
          <w:p w14:paraId="6F26218A">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重复性引入的测量不确定度分量</w:t>
            </w:r>
          </w:p>
        </w:tc>
      </w:tr>
      <w:tr w14:paraId="61B2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60067DB5">
            <w:pPr>
              <w:jc w:val="center"/>
              <w:rPr>
                <w:rFonts w:hint="default" w:ascii="Times New Roman" w:hAnsi="Times New Roman" w:eastAsia="仿宋_GB2312"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12</w:t>
            </w:r>
          </w:p>
        </w:tc>
        <w:tc>
          <w:tcPr>
            <w:tcW w:w="2228" w:type="pct"/>
            <w:vAlign w:val="center"/>
          </w:tcPr>
          <w:p w14:paraId="1E1F8459">
            <w:pPr>
              <w:jc w:val="both"/>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重复性</w:t>
            </w:r>
          </w:p>
        </w:tc>
        <w:tc>
          <w:tcPr>
            <w:tcW w:w="708" w:type="pct"/>
            <w:vAlign w:val="center"/>
          </w:tcPr>
          <w:p w14:paraId="0ACEB28B">
            <w:pPr>
              <w:jc w:val="center"/>
              <w:rPr>
                <w:rFonts w:hint="default" w:ascii="Times New Roman" w:hAnsi="Times New Roman" w:eastAsia="仿宋_GB2312" w:cs="Times New Roman"/>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6%</w:t>
            </w:r>
          </w:p>
        </w:tc>
        <w:tc>
          <w:tcPr>
            <w:tcW w:w="380" w:type="pct"/>
            <w:vAlign w:val="center"/>
          </w:tcPr>
          <w:p w14:paraId="3A2F9C9A">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541BFE94">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7BA3927B">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21FEE601">
            <w:pPr>
              <w:jc w:val="cente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3</w:t>
            </w:r>
          </w:p>
        </w:tc>
      </w:tr>
      <w:tr w14:paraId="7B77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3756C18C">
            <w:pPr>
              <w:jc w:val="center"/>
              <w:rPr>
                <w:rFonts w:hint="default" w:ascii="Times New Roman" w:hAnsi="Times New Roman" w:eastAsia="仿宋_GB2312" w:cs="Times New Roman"/>
                <w:color w:val="000000" w:themeColor="text1"/>
                <w:sz w:val="21"/>
                <w:szCs w:val="21"/>
                <w14:textFill>
                  <w14:solidFill>
                    <w14:schemeClr w14:val="tx1"/>
                  </w14:solidFill>
                </w14:textFill>
              </w:rPr>
            </w:pPr>
          </w:p>
        </w:tc>
        <w:tc>
          <w:tcPr>
            <w:tcW w:w="2228" w:type="pct"/>
            <w:vAlign w:val="center"/>
          </w:tcPr>
          <w:p w14:paraId="33710AA8">
            <w:pPr>
              <w:jc w:val="both"/>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合成测量不确定度</w:t>
            </w:r>
          </w:p>
        </w:tc>
        <w:tc>
          <w:tcPr>
            <w:tcW w:w="708" w:type="pct"/>
            <w:vAlign w:val="center"/>
          </w:tcPr>
          <w:p w14:paraId="7F3996DD">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w:t>
            </w:r>
          </w:p>
        </w:tc>
        <w:tc>
          <w:tcPr>
            <w:tcW w:w="380" w:type="pct"/>
            <w:vAlign w:val="center"/>
          </w:tcPr>
          <w:p w14:paraId="735B1412">
            <w:pPr>
              <w:jc w:val="center"/>
              <w:rPr>
                <w:rFonts w:hint="default" w:ascii="Times New Roman" w:hAnsi="Times New Roman" w:eastAsia="仿宋_GB2312" w:cs="Times New Roman"/>
                <w:i/>
                <w:iCs/>
                <w:color w:val="000000" w:themeColor="text1"/>
                <w:sz w:val="21"/>
                <w:szCs w:val="21"/>
                <w14:textFill>
                  <w14:solidFill>
                    <w14:schemeClr w14:val="tx1"/>
                  </w14:solidFill>
                </w14:textFill>
              </w:rPr>
            </w:pPr>
            <w:r>
              <w:rPr>
                <w:rFonts w:hint="default" w:ascii="Times New Roman" w:hAnsi="Times New Roman" w:eastAsia="仿宋_GB2312" w:cs="Times New Roman"/>
                <w:i/>
                <w:iCs/>
                <w:color w:val="000000" w:themeColor="text1"/>
                <w:sz w:val="21"/>
                <w:szCs w:val="21"/>
                <w14:textFill>
                  <w14:solidFill>
                    <w14:schemeClr w14:val="tx1"/>
                  </w14:solidFill>
                </w14:textFill>
              </w:rPr>
              <w:t>k</w:t>
            </w:r>
            <w:r>
              <w:rPr>
                <w:rFonts w:hint="default" w:ascii="Times New Roman" w:hAnsi="Times New Roman" w:eastAsia="仿宋_GB2312" w:cs="Times New Roman"/>
                <w:color w:val="000000" w:themeColor="text1"/>
                <w:sz w:val="21"/>
                <w:szCs w:val="21"/>
                <w14:textFill>
                  <w14:solidFill>
                    <w14:schemeClr w14:val="tx1"/>
                  </w14:solidFill>
                </w14:textFill>
              </w:rPr>
              <w:t xml:space="preserve"> = 1</w:t>
            </w:r>
          </w:p>
        </w:tc>
        <w:tc>
          <w:tcPr>
            <w:tcW w:w="339" w:type="pct"/>
            <w:vAlign w:val="center"/>
          </w:tcPr>
          <w:p w14:paraId="58DC9422">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453" w:type="pct"/>
            <w:vAlign w:val="center"/>
          </w:tcPr>
          <w:p w14:paraId="07271797">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w:t>
            </w:r>
          </w:p>
        </w:tc>
        <w:tc>
          <w:tcPr>
            <w:tcW w:w="620" w:type="pct"/>
            <w:vAlign w:val="center"/>
          </w:tcPr>
          <w:p w14:paraId="153724A3">
            <w:pPr>
              <w:jc w:val="center"/>
              <w:rPr>
                <w:rFonts w:hint="default" w:ascii="Times New Roman" w:hAnsi="Times New Roman" w:eastAsia="仿宋_GB2312" w:cs="Times New Roman"/>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0699</w:t>
            </w:r>
          </w:p>
        </w:tc>
      </w:tr>
      <w:tr w14:paraId="77830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27B751BC">
            <w:pPr>
              <w:jc w:val="center"/>
              <w:rPr>
                <w:rFonts w:hint="default" w:ascii="Times New Roman" w:hAnsi="Times New Roman" w:eastAsia="仿宋_GB2312" w:cs="Times New Roman"/>
                <w:color w:val="000000" w:themeColor="text1"/>
                <w:sz w:val="21"/>
                <w:szCs w:val="21"/>
                <w14:textFill>
                  <w14:solidFill>
                    <w14:schemeClr w14:val="tx1"/>
                  </w14:solidFill>
                </w14:textFill>
              </w:rPr>
            </w:pPr>
          </w:p>
        </w:tc>
        <w:tc>
          <w:tcPr>
            <w:tcW w:w="2228" w:type="pct"/>
            <w:vAlign w:val="center"/>
          </w:tcPr>
          <w:p w14:paraId="06C4A69E">
            <w:pPr>
              <w:jc w:val="both"/>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扩展测量不确定度</w:t>
            </w:r>
          </w:p>
        </w:tc>
        <w:tc>
          <w:tcPr>
            <w:tcW w:w="708" w:type="pct"/>
            <w:vAlign w:val="center"/>
          </w:tcPr>
          <w:p w14:paraId="31450FA4">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w:t>
            </w:r>
          </w:p>
        </w:tc>
        <w:tc>
          <w:tcPr>
            <w:tcW w:w="380" w:type="pct"/>
            <w:vAlign w:val="center"/>
          </w:tcPr>
          <w:p w14:paraId="1EF92826">
            <w:pPr>
              <w:jc w:val="center"/>
              <w:rPr>
                <w:rFonts w:hint="default" w:ascii="Times New Roman" w:hAnsi="Times New Roman" w:eastAsia="仿宋_GB2312" w:cs="Times New Roman"/>
                <w:i/>
                <w:iCs/>
                <w:color w:val="000000" w:themeColor="text1"/>
                <w:sz w:val="21"/>
                <w:szCs w:val="21"/>
                <w14:textFill>
                  <w14:solidFill>
                    <w14:schemeClr w14:val="tx1"/>
                  </w14:solidFill>
                </w14:textFill>
              </w:rPr>
            </w:pPr>
            <w:r>
              <w:rPr>
                <w:rFonts w:hint="default" w:ascii="Times New Roman" w:hAnsi="Times New Roman" w:eastAsia="仿宋_GB2312" w:cs="Times New Roman"/>
                <w:i/>
                <w:iCs/>
                <w:color w:val="000000" w:themeColor="text1"/>
                <w:sz w:val="21"/>
                <w:szCs w:val="21"/>
                <w14:textFill>
                  <w14:solidFill>
                    <w14:schemeClr w14:val="tx1"/>
                  </w14:solidFill>
                </w14:textFill>
              </w:rPr>
              <w:t>k</w:t>
            </w:r>
            <w:r>
              <w:rPr>
                <w:rFonts w:hint="default" w:ascii="Times New Roman" w:hAnsi="Times New Roman" w:eastAsia="仿宋_GB2312" w:cs="Times New Roman"/>
                <w:color w:val="000000" w:themeColor="text1"/>
                <w:sz w:val="21"/>
                <w:szCs w:val="21"/>
                <w14:textFill>
                  <w14:solidFill>
                    <w14:schemeClr w14:val="tx1"/>
                  </w14:solidFill>
                </w14:textFill>
              </w:rPr>
              <w:t xml:space="preserve"> = 2</w:t>
            </w:r>
          </w:p>
        </w:tc>
        <w:tc>
          <w:tcPr>
            <w:tcW w:w="339" w:type="pct"/>
            <w:vAlign w:val="center"/>
          </w:tcPr>
          <w:p w14:paraId="5E5C742C">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6385E39E">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w:t>
            </w:r>
          </w:p>
        </w:tc>
        <w:tc>
          <w:tcPr>
            <w:tcW w:w="620" w:type="pct"/>
            <w:vAlign w:val="center"/>
          </w:tcPr>
          <w:p w14:paraId="479EC2DA">
            <w:pPr>
              <w:jc w:val="center"/>
              <w:rPr>
                <w:rFonts w:hint="default" w:ascii="Times New Roman" w:hAnsi="Times New Roman" w:eastAsia="仿宋_GB2312" w:cs="Times New Roman"/>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140</w:t>
            </w:r>
          </w:p>
        </w:tc>
      </w:tr>
    </w:tbl>
    <w:p w14:paraId="51A0C602">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在</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0.01~20</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Hz频率范围内</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机器视觉低频振动测量系统</w:t>
      </w:r>
      <w:r>
        <w:rPr>
          <w:rFonts w:hint="eastAsia" w:ascii="Times New Roman" w:hAnsi="Times New Roman" w:cs="Times New Roman"/>
          <w:color w:val="000000" w:themeColor="text1"/>
          <w:sz w:val="24"/>
          <w:szCs w:val="24"/>
          <w:lang w:val="en-US" w:eastAsia="zh-CN"/>
          <w14:textFill>
            <w14:solidFill>
              <w14:schemeClr w14:val="tx1"/>
            </w14:solidFill>
          </w14:textFill>
        </w:rPr>
        <w:t>相位</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校准</w:t>
      </w:r>
      <w:r>
        <w:rPr>
          <w:rFonts w:hint="default" w:ascii="Times New Roman" w:hAnsi="Times New Roman" w:eastAsia="宋体" w:cs="Times New Roman"/>
          <w:color w:val="000000" w:themeColor="text1"/>
          <w:sz w:val="24"/>
          <w:szCs w:val="24"/>
          <w14:textFill>
            <w14:solidFill>
              <w14:schemeClr w14:val="tx1"/>
            </w14:solidFill>
          </w14:textFill>
        </w:rPr>
        <w:t>的扩展不确定度</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为</w:t>
      </w:r>
      <w:r>
        <w:rPr>
          <w:rFonts w:hint="default" w:ascii="Times New Roman" w:hAnsi="Times New Roman" w:eastAsia="宋体" w:cs="Times New Roman"/>
          <w:color w:val="000000" w:themeColor="text1"/>
          <w:sz w:val="24"/>
          <w:szCs w:val="24"/>
          <w14:textFill>
            <w14:solidFill>
              <w14:schemeClr w14:val="tx1"/>
            </w14:solidFill>
          </w14:textFill>
        </w:rPr>
        <w:t>：0.1</w:t>
      </w:r>
      <w:r>
        <w:rPr>
          <w:rFonts w:hint="eastAsia" w:cs="Times New Roman"/>
          <w:color w:val="000000" w:themeColor="text1"/>
          <w:sz w:val="24"/>
          <w:szCs w:val="24"/>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i/>
          <w:color w:val="000000" w:themeColor="text1"/>
          <w:sz w:val="24"/>
          <w:szCs w:val="24"/>
          <w14:textFill>
            <w14:solidFill>
              <w14:schemeClr w14:val="tx1"/>
            </w14:solidFill>
          </w14:textFill>
        </w:rPr>
        <w:t>k</w:t>
      </w:r>
      <w:r>
        <w:rPr>
          <w:rFonts w:hint="default" w:ascii="Times New Roman" w:hAnsi="Times New Roman" w:eastAsia="宋体" w:cs="Times New Roman"/>
          <w:color w:val="000000" w:themeColor="text1"/>
          <w:sz w:val="24"/>
          <w:szCs w:val="24"/>
          <w14:textFill>
            <w14:solidFill>
              <w14:schemeClr w14:val="tx1"/>
            </w14:solidFill>
          </w14:textFill>
        </w:rPr>
        <w:t>=2）。考虑到存在其他没有分析到的影响因素，将机器视觉低频振动测量系统</w:t>
      </w:r>
      <w:r>
        <w:rPr>
          <w:rFonts w:hint="eastAsia" w:ascii="Times New Roman" w:hAnsi="Times New Roman" w:cs="Times New Roman"/>
          <w:color w:val="000000" w:themeColor="text1"/>
          <w:sz w:val="24"/>
          <w:szCs w:val="24"/>
          <w:lang w:val="en-US" w:eastAsia="zh-CN"/>
          <w14:textFill>
            <w14:solidFill>
              <w14:schemeClr w14:val="tx1"/>
            </w14:solidFill>
          </w14:textFill>
        </w:rPr>
        <w:t>相位</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校准</w:t>
      </w:r>
      <w:r>
        <w:rPr>
          <w:rFonts w:hint="default" w:ascii="Times New Roman" w:hAnsi="Times New Roman" w:eastAsia="宋体" w:cs="Times New Roman"/>
          <w:color w:val="000000" w:themeColor="text1"/>
          <w:sz w:val="24"/>
          <w:szCs w:val="24"/>
          <w14:textFill>
            <w14:solidFill>
              <w14:schemeClr w14:val="tx1"/>
            </w14:solidFill>
          </w14:textFill>
        </w:rPr>
        <w:t>的不确定度适当放大为：0.</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2</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i/>
          <w:color w:val="000000" w:themeColor="text1"/>
          <w:sz w:val="24"/>
          <w:szCs w:val="24"/>
          <w14:textFill>
            <w14:solidFill>
              <w14:schemeClr w14:val="tx1"/>
            </w14:solidFill>
          </w14:textFill>
        </w:rPr>
        <w:t>k</w:t>
      </w:r>
      <w:r>
        <w:rPr>
          <w:rFonts w:hint="default" w:ascii="Times New Roman" w:hAnsi="Times New Roman" w:eastAsia="宋体" w:cs="Times New Roman"/>
          <w:color w:val="000000" w:themeColor="text1"/>
          <w:sz w:val="24"/>
          <w:szCs w:val="24"/>
          <w14:textFill>
            <w14:solidFill>
              <w14:schemeClr w14:val="tx1"/>
            </w14:solidFill>
          </w14:textFill>
        </w:rPr>
        <w:t>=2）。</w:t>
      </w:r>
    </w:p>
    <w:p w14:paraId="47E432A2">
      <w:pPr>
        <w:spacing w:line="360" w:lineRule="auto"/>
        <w:rPr>
          <w:rFonts w:hint="default" w:ascii="Times New Roman" w:hAnsi="Times New Roman" w:eastAsia="宋体" w:cs="Times New Roman"/>
          <w:sz w:val="24"/>
          <w:szCs w:val="24"/>
        </w:rPr>
      </w:pPr>
    </w:p>
    <w:p w14:paraId="14838FE6">
      <w:pPr>
        <w:spacing w:line="360" w:lineRule="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、机器视觉振动测量算法/软件校准的测量不确定度</w:t>
      </w:r>
    </w:p>
    <w:p w14:paraId="52497C23">
      <w:pPr>
        <w:spacing w:line="360" w:lineRule="auto"/>
        <w:ind w:firstLine="480" w:firstLineChars="200"/>
        <w:rPr>
          <w:rFonts w:hint="eastAsia" w:cs="Times New Roman"/>
          <w:sz w:val="24"/>
          <w:szCs w:val="24"/>
          <w:lang w:val="en-US" w:eastAsia="zh-CN"/>
        </w:rPr>
      </w:pPr>
      <w:r>
        <w:rPr>
          <w:rFonts w:hint="default" w:ascii="Times New Roman" w:hAnsi="Times New Roman" w:eastAsia="宋体" w:cs="Times New Roman"/>
          <w:sz w:val="24"/>
          <w:szCs w:val="24"/>
        </w:rPr>
        <w:t>机器视觉振动测量算法/软件</w:t>
      </w:r>
      <w:r>
        <w:rPr>
          <w:rFonts w:hint="eastAsia" w:ascii="Times New Roman" w:hAnsi="Times New Roman" w:cs="Times New Roman"/>
          <w:sz w:val="24"/>
          <w:szCs w:val="24"/>
          <w:lang w:val="en-US" w:eastAsia="zh-CN"/>
        </w:rPr>
        <w:t>直接通过振动参考视频进行校准，不</w:t>
      </w:r>
      <w:r>
        <w:rPr>
          <w:rFonts w:hint="default" w:ascii="Times New Roman" w:hAnsi="Times New Roman" w:eastAsia="宋体" w:cs="Times New Roman"/>
          <w:sz w:val="24"/>
          <w:szCs w:val="24"/>
        </w:rPr>
        <w:t>受外部光学特性、摄像机参数及标定、环境噪声等</w:t>
      </w:r>
      <w:r>
        <w:rPr>
          <w:rFonts w:hint="eastAsia" w:cs="Times New Roman"/>
          <w:sz w:val="24"/>
          <w:szCs w:val="24"/>
          <w:lang w:val="en-US" w:eastAsia="zh-CN"/>
        </w:rPr>
        <w:t>外界</w:t>
      </w:r>
      <w:r>
        <w:rPr>
          <w:rFonts w:hint="default" w:ascii="Times New Roman" w:hAnsi="Times New Roman" w:eastAsia="宋体" w:cs="Times New Roman"/>
          <w:sz w:val="24"/>
          <w:szCs w:val="24"/>
        </w:rPr>
        <w:t>因素的影响。</w:t>
      </w:r>
      <w:r>
        <w:rPr>
          <w:rFonts w:hint="eastAsia" w:cs="Times New Roman"/>
          <w:sz w:val="24"/>
          <w:szCs w:val="24"/>
          <w:lang w:val="en-US" w:eastAsia="zh-CN"/>
        </w:rPr>
        <w:t>其幅值和相位校准的测量不确定如表3和表4所示。</w:t>
      </w:r>
    </w:p>
    <w:p w14:paraId="713DBA5E">
      <w:pPr>
        <w:spacing w:line="360" w:lineRule="auto"/>
        <w:jc w:val="center"/>
        <w:rPr>
          <w:rFonts w:hint="default" w:ascii="Times New Roman" w:hAnsi="Times New Roman" w:eastAsia="黑体" w:cs="Times New Roman"/>
          <w:color w:val="000000" w:themeColor="text1"/>
          <w:sz w:val="21"/>
          <w:szCs w:val="21"/>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14:textFill>
            <w14:solidFill>
              <w14:schemeClr w14:val="tx1"/>
            </w14:solidFill>
          </w14:textFill>
        </w:rPr>
        <w:t>表</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3</w:t>
      </w:r>
      <w:r>
        <w:rPr>
          <w:rFonts w:hint="default" w:ascii="Times New Roman" w:hAnsi="Times New Roman" w:eastAsia="黑体" w:cs="Times New Roman"/>
          <w:color w:val="000000" w:themeColor="text1"/>
          <w:sz w:val="21"/>
          <w:szCs w:val="21"/>
          <w14:textFill>
            <w14:solidFill>
              <w14:schemeClr w14:val="tx1"/>
            </w14:solidFill>
          </w14:textFill>
        </w:rPr>
        <w:t xml:space="preserve"> 机器视觉振动测量算法/软件</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幅值校准的不确定度</w:t>
      </w:r>
    </w:p>
    <w:tbl>
      <w:tblPr>
        <w:tblStyle w:val="17"/>
        <w:tblW w:w="46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3839"/>
        <w:gridCol w:w="1220"/>
        <w:gridCol w:w="655"/>
        <w:gridCol w:w="584"/>
        <w:gridCol w:w="782"/>
        <w:gridCol w:w="1069"/>
      </w:tblGrid>
      <w:tr w14:paraId="58EF4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6C5329D0">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序号</w:t>
            </w:r>
          </w:p>
        </w:tc>
        <w:tc>
          <w:tcPr>
            <w:tcW w:w="2228" w:type="pct"/>
            <w:vAlign w:val="center"/>
          </w:tcPr>
          <w:p w14:paraId="46CAE738">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不确定度源</w:t>
            </w:r>
          </w:p>
        </w:tc>
        <w:tc>
          <w:tcPr>
            <w:tcW w:w="708" w:type="pct"/>
            <w:vAlign w:val="center"/>
          </w:tcPr>
          <w:p w14:paraId="2F98EDAB">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不确</w:t>
            </w:r>
          </w:p>
          <w:p w14:paraId="61E7A49A">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定度</w:t>
            </w:r>
          </w:p>
        </w:tc>
        <w:tc>
          <w:tcPr>
            <w:tcW w:w="380" w:type="pct"/>
            <w:vAlign w:val="center"/>
          </w:tcPr>
          <w:p w14:paraId="3DBCF70B">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分布</w:t>
            </w:r>
          </w:p>
        </w:tc>
        <w:tc>
          <w:tcPr>
            <w:tcW w:w="339" w:type="pct"/>
            <w:vAlign w:val="center"/>
          </w:tcPr>
          <w:p w14:paraId="64BD6225">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因子</w:t>
            </w:r>
          </w:p>
        </w:tc>
        <w:tc>
          <w:tcPr>
            <w:tcW w:w="453" w:type="pct"/>
            <w:vAlign w:val="center"/>
          </w:tcPr>
          <w:p w14:paraId="57F39CE4">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灵敏系数</w:t>
            </w:r>
          </w:p>
        </w:tc>
        <w:tc>
          <w:tcPr>
            <w:tcW w:w="620" w:type="pct"/>
            <w:vAlign w:val="center"/>
          </w:tcPr>
          <w:p w14:paraId="3F15B0B8">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相对贡献(%)</w:t>
            </w:r>
          </w:p>
        </w:tc>
      </w:tr>
      <w:tr w14:paraId="42B56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598FB8D2">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1</w:t>
            </w:r>
          </w:p>
        </w:tc>
        <w:tc>
          <w:tcPr>
            <w:tcW w:w="2228" w:type="pct"/>
            <w:vAlign w:val="center"/>
          </w:tcPr>
          <w:p w14:paraId="2C1A95CE">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图像像素点量化误差的影响</w:t>
            </w:r>
          </w:p>
        </w:tc>
        <w:tc>
          <w:tcPr>
            <w:tcW w:w="708" w:type="pct"/>
            <w:tcBorders>
              <w:top w:val="single" w:color="auto" w:sz="4" w:space="0"/>
            </w:tcBorders>
            <w:vAlign w:val="center"/>
          </w:tcPr>
          <w:p w14:paraId="2856743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0.020%</w:t>
            </w:r>
          </w:p>
        </w:tc>
        <w:tc>
          <w:tcPr>
            <w:tcW w:w="380" w:type="pct"/>
            <w:vAlign w:val="center"/>
          </w:tcPr>
          <w:p w14:paraId="349EEE4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矩形</w:t>
            </w:r>
          </w:p>
        </w:tc>
        <w:tc>
          <w:tcPr>
            <w:tcW w:w="339" w:type="pct"/>
            <w:vAlign w:val="center"/>
          </w:tcPr>
          <w:p w14:paraId="423371A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1.73</w:t>
            </w:r>
          </w:p>
        </w:tc>
        <w:tc>
          <w:tcPr>
            <w:tcW w:w="453" w:type="pct"/>
            <w:vAlign w:val="center"/>
          </w:tcPr>
          <w:p w14:paraId="69DE1B7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tcBorders>
              <w:top w:val="single" w:color="auto" w:sz="4" w:space="0"/>
            </w:tcBorders>
            <w:vAlign w:val="center"/>
          </w:tcPr>
          <w:p w14:paraId="593BBE4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0.0115</w:t>
            </w:r>
          </w:p>
        </w:tc>
      </w:tr>
      <w:tr w14:paraId="3F1D8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41D7AB8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2</w:t>
            </w:r>
          </w:p>
        </w:tc>
        <w:tc>
          <w:tcPr>
            <w:tcW w:w="2228" w:type="pct"/>
            <w:vAlign w:val="center"/>
          </w:tcPr>
          <w:p w14:paraId="52397EE9">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图像分辨率的不确定度</w:t>
            </w:r>
          </w:p>
        </w:tc>
        <w:tc>
          <w:tcPr>
            <w:tcW w:w="708" w:type="pct"/>
            <w:vAlign w:val="center"/>
          </w:tcPr>
          <w:p w14:paraId="6D44FDC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0.010%</w:t>
            </w:r>
          </w:p>
        </w:tc>
        <w:tc>
          <w:tcPr>
            <w:tcW w:w="380" w:type="pct"/>
            <w:vAlign w:val="center"/>
          </w:tcPr>
          <w:p w14:paraId="2163DAE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矩形</w:t>
            </w:r>
          </w:p>
        </w:tc>
        <w:tc>
          <w:tcPr>
            <w:tcW w:w="339" w:type="pct"/>
            <w:vAlign w:val="center"/>
          </w:tcPr>
          <w:p w14:paraId="05ECC8C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1.73</w:t>
            </w:r>
          </w:p>
        </w:tc>
        <w:tc>
          <w:tcPr>
            <w:tcW w:w="453" w:type="pct"/>
            <w:vAlign w:val="center"/>
          </w:tcPr>
          <w:p w14:paraId="5D4FEDE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4021534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0.0057</w:t>
            </w:r>
          </w:p>
        </w:tc>
      </w:tr>
      <w:tr w14:paraId="5F1DB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4C2EF01B">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3</w:t>
            </w:r>
          </w:p>
        </w:tc>
        <w:tc>
          <w:tcPr>
            <w:tcW w:w="2228" w:type="pct"/>
            <w:vAlign w:val="center"/>
          </w:tcPr>
          <w:p w14:paraId="53B5F0CD">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图像边缘检测算法对位移测量的影响</w:t>
            </w:r>
          </w:p>
        </w:tc>
        <w:tc>
          <w:tcPr>
            <w:tcW w:w="708" w:type="pct"/>
            <w:vAlign w:val="center"/>
          </w:tcPr>
          <w:p w14:paraId="600EAC7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0.004%</w:t>
            </w:r>
          </w:p>
        </w:tc>
        <w:tc>
          <w:tcPr>
            <w:tcW w:w="380" w:type="pct"/>
            <w:vAlign w:val="center"/>
          </w:tcPr>
          <w:p w14:paraId="0BE079A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5CBBE9B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39078E0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46CFF8D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0.0020</w:t>
            </w:r>
          </w:p>
        </w:tc>
      </w:tr>
      <w:tr w14:paraId="46CC6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69B2415E">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4</w:t>
            </w:r>
          </w:p>
        </w:tc>
        <w:tc>
          <w:tcPr>
            <w:tcW w:w="2228" w:type="pct"/>
            <w:vAlign w:val="center"/>
          </w:tcPr>
          <w:p w14:paraId="265F3C2F">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最小二乘法拟合直线对位移测量的影响</w:t>
            </w:r>
          </w:p>
        </w:tc>
        <w:tc>
          <w:tcPr>
            <w:tcW w:w="708" w:type="pct"/>
            <w:vAlign w:val="center"/>
          </w:tcPr>
          <w:p w14:paraId="050CB73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0.002%</w:t>
            </w:r>
          </w:p>
        </w:tc>
        <w:tc>
          <w:tcPr>
            <w:tcW w:w="380" w:type="pct"/>
            <w:vAlign w:val="center"/>
          </w:tcPr>
          <w:p w14:paraId="67CBF96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58FE663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5E5E446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3B7F4B9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0.0010</w:t>
            </w:r>
          </w:p>
        </w:tc>
      </w:tr>
      <w:tr w14:paraId="5B7E6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2413A26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5</w:t>
            </w:r>
          </w:p>
        </w:tc>
        <w:tc>
          <w:tcPr>
            <w:tcW w:w="2228" w:type="pct"/>
            <w:vAlign w:val="center"/>
          </w:tcPr>
          <w:p w14:paraId="621A55DE">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误差模型修正不完善对位移测量的影响</w:t>
            </w:r>
          </w:p>
        </w:tc>
        <w:tc>
          <w:tcPr>
            <w:tcW w:w="708" w:type="pct"/>
            <w:vAlign w:val="center"/>
          </w:tcPr>
          <w:p w14:paraId="389279F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0.010%</w:t>
            </w:r>
          </w:p>
        </w:tc>
        <w:tc>
          <w:tcPr>
            <w:tcW w:w="380" w:type="pct"/>
            <w:vAlign w:val="center"/>
          </w:tcPr>
          <w:p w14:paraId="36CF4B8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6D5CBB6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62F7F4D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6955F12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0.0050</w:t>
            </w:r>
          </w:p>
        </w:tc>
      </w:tr>
      <w:tr w14:paraId="5B372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639806D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6</w:t>
            </w:r>
          </w:p>
        </w:tc>
        <w:tc>
          <w:tcPr>
            <w:tcW w:w="2228" w:type="pct"/>
            <w:vAlign w:val="center"/>
          </w:tcPr>
          <w:p w14:paraId="6622123C">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标准正弦振动数字视频数据精度</w:t>
            </w:r>
          </w:p>
        </w:tc>
        <w:tc>
          <w:tcPr>
            <w:tcW w:w="708" w:type="pct"/>
            <w:vAlign w:val="center"/>
          </w:tcPr>
          <w:p w14:paraId="43FFBCE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kern w:val="0"/>
                <w:sz w:val="21"/>
                <w:szCs w:val="21"/>
                <w14:textFill>
                  <w14:solidFill>
                    <w14:schemeClr w14:val="tx1"/>
                  </w14:solidFill>
                </w14:textFill>
              </w:rPr>
              <w:t>8.8</w:t>
            </w:r>
            <w:r>
              <w:rPr>
                <w:rFonts w:hint="default" w:ascii="Times New Roman" w:hAnsi="Times New Roman" w:eastAsia="仿宋_GB2312" w:cs="Times New Roman"/>
                <w:color w:val="000000" w:themeColor="text1"/>
                <w:sz w:val="21"/>
                <w:szCs w:val="21"/>
                <w14:textFill>
                  <w14:solidFill>
                    <w14:schemeClr w14:val="tx1"/>
                  </w14:solidFill>
                </w14:textFill>
              </w:rPr>
              <w:t>×10</w:t>
            </w:r>
            <w:r>
              <w:rPr>
                <w:rFonts w:hint="default" w:ascii="Times New Roman" w:hAnsi="Times New Roman" w:eastAsia="仿宋_GB2312" w:cs="Times New Roman"/>
                <w:color w:val="000000" w:themeColor="text1"/>
                <w:sz w:val="21"/>
                <w:szCs w:val="21"/>
                <w:vertAlign w:val="superscript"/>
                <w14:textFill>
                  <w14:solidFill>
                    <w14:schemeClr w14:val="tx1"/>
                  </w14:solidFill>
                </w14:textFill>
              </w:rPr>
              <w:t>-13</w:t>
            </w:r>
            <w:r>
              <w:rPr>
                <w:rFonts w:hint="default" w:ascii="Times New Roman" w:hAnsi="Times New Roman" w:eastAsia="仿宋_GB2312" w:cs="Times New Roman"/>
                <w:color w:val="000000" w:themeColor="text1"/>
                <w:sz w:val="21"/>
                <w:szCs w:val="21"/>
                <w14:textFill>
                  <w14:solidFill>
                    <w14:schemeClr w14:val="tx1"/>
                  </w14:solidFill>
                </w14:textFill>
              </w:rPr>
              <w:t>px</w:t>
            </w:r>
          </w:p>
        </w:tc>
        <w:tc>
          <w:tcPr>
            <w:tcW w:w="380" w:type="pct"/>
            <w:vAlign w:val="center"/>
          </w:tcPr>
          <w:p w14:paraId="18C962D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矩形</w:t>
            </w:r>
          </w:p>
        </w:tc>
        <w:tc>
          <w:tcPr>
            <w:tcW w:w="339" w:type="pct"/>
            <w:vAlign w:val="center"/>
          </w:tcPr>
          <w:p w14:paraId="3C367F9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1.73</w:t>
            </w:r>
          </w:p>
        </w:tc>
        <w:tc>
          <w:tcPr>
            <w:tcW w:w="453" w:type="pct"/>
            <w:vAlign w:val="center"/>
          </w:tcPr>
          <w:p w14:paraId="38F67C1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64C33E8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0.0001</w:t>
            </w:r>
          </w:p>
        </w:tc>
      </w:tr>
      <w:tr w14:paraId="0EFF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vAlign w:val="center"/>
          </w:tcPr>
          <w:p w14:paraId="259B600E">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重复性引入的测量不确定度分量</w:t>
            </w:r>
          </w:p>
        </w:tc>
      </w:tr>
      <w:tr w14:paraId="2B6B2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28D6E5EE">
            <w:pPr>
              <w:jc w:val="cente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7</w:t>
            </w:r>
          </w:p>
        </w:tc>
        <w:tc>
          <w:tcPr>
            <w:tcW w:w="2228" w:type="pct"/>
            <w:vAlign w:val="center"/>
          </w:tcPr>
          <w:p w14:paraId="6E573C43">
            <w:pPr>
              <w:jc w:val="both"/>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重复性</w:t>
            </w:r>
          </w:p>
        </w:tc>
        <w:tc>
          <w:tcPr>
            <w:tcW w:w="708" w:type="pct"/>
            <w:vAlign w:val="center"/>
          </w:tcPr>
          <w:p w14:paraId="339F6A8D">
            <w:pPr>
              <w:jc w:val="center"/>
              <w:rPr>
                <w:rFonts w:hint="default" w:ascii="Times New Roman" w:hAnsi="Times New Roman" w:eastAsia="仿宋_GB2312" w:cs="Times New Roman"/>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2%</w:t>
            </w:r>
          </w:p>
        </w:tc>
        <w:tc>
          <w:tcPr>
            <w:tcW w:w="380" w:type="pct"/>
            <w:vAlign w:val="center"/>
          </w:tcPr>
          <w:p w14:paraId="5E19A70A">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0B26B26B">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6DAA40EC">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0F7B63F7">
            <w:pPr>
              <w:jc w:val="cente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1</w:t>
            </w:r>
          </w:p>
        </w:tc>
      </w:tr>
      <w:tr w14:paraId="3C4B8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66C38E4E">
            <w:pPr>
              <w:jc w:val="center"/>
              <w:rPr>
                <w:rFonts w:hint="default" w:ascii="Times New Roman" w:hAnsi="Times New Roman" w:eastAsia="仿宋_GB2312" w:cs="Times New Roman"/>
                <w:color w:val="000000" w:themeColor="text1"/>
                <w:sz w:val="21"/>
                <w:szCs w:val="21"/>
                <w14:textFill>
                  <w14:solidFill>
                    <w14:schemeClr w14:val="tx1"/>
                  </w14:solidFill>
                </w14:textFill>
              </w:rPr>
            </w:pPr>
          </w:p>
        </w:tc>
        <w:tc>
          <w:tcPr>
            <w:tcW w:w="2228" w:type="pct"/>
            <w:vAlign w:val="center"/>
          </w:tcPr>
          <w:p w14:paraId="69DC2E43">
            <w:pPr>
              <w:jc w:val="both"/>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合成测量不确定度</w:t>
            </w:r>
          </w:p>
        </w:tc>
        <w:tc>
          <w:tcPr>
            <w:tcW w:w="708" w:type="pct"/>
            <w:vAlign w:val="center"/>
          </w:tcPr>
          <w:p w14:paraId="4373C1FE">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w:t>
            </w:r>
          </w:p>
        </w:tc>
        <w:tc>
          <w:tcPr>
            <w:tcW w:w="380" w:type="pct"/>
            <w:vAlign w:val="center"/>
          </w:tcPr>
          <w:p w14:paraId="1419C20F">
            <w:pPr>
              <w:jc w:val="center"/>
              <w:rPr>
                <w:rFonts w:hint="default" w:ascii="Times New Roman" w:hAnsi="Times New Roman" w:eastAsia="仿宋_GB2312" w:cs="Times New Roman"/>
                <w:i/>
                <w:iCs/>
                <w:color w:val="000000" w:themeColor="text1"/>
                <w:sz w:val="21"/>
                <w:szCs w:val="21"/>
                <w14:textFill>
                  <w14:solidFill>
                    <w14:schemeClr w14:val="tx1"/>
                  </w14:solidFill>
                </w14:textFill>
              </w:rPr>
            </w:pPr>
            <w:r>
              <w:rPr>
                <w:rFonts w:hint="default" w:ascii="Times New Roman" w:hAnsi="Times New Roman" w:eastAsia="仿宋_GB2312" w:cs="Times New Roman"/>
                <w:i/>
                <w:iCs/>
                <w:color w:val="000000" w:themeColor="text1"/>
                <w:sz w:val="21"/>
                <w:szCs w:val="21"/>
                <w14:textFill>
                  <w14:solidFill>
                    <w14:schemeClr w14:val="tx1"/>
                  </w14:solidFill>
                </w14:textFill>
              </w:rPr>
              <w:t>k</w:t>
            </w:r>
            <w:r>
              <w:rPr>
                <w:rFonts w:hint="default" w:ascii="Times New Roman" w:hAnsi="Times New Roman" w:eastAsia="仿宋_GB2312" w:cs="Times New Roman"/>
                <w:color w:val="000000" w:themeColor="text1"/>
                <w:sz w:val="21"/>
                <w:szCs w:val="21"/>
                <w14:textFill>
                  <w14:solidFill>
                    <w14:schemeClr w14:val="tx1"/>
                  </w14:solidFill>
                </w14:textFill>
              </w:rPr>
              <w:t xml:space="preserve"> = 1</w:t>
            </w:r>
          </w:p>
        </w:tc>
        <w:tc>
          <w:tcPr>
            <w:tcW w:w="339" w:type="pct"/>
            <w:vAlign w:val="center"/>
          </w:tcPr>
          <w:p w14:paraId="0C4A8353">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453" w:type="pct"/>
            <w:vAlign w:val="center"/>
          </w:tcPr>
          <w:p w14:paraId="202B944D">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w:t>
            </w:r>
          </w:p>
        </w:tc>
        <w:tc>
          <w:tcPr>
            <w:tcW w:w="620" w:type="pct"/>
            <w:vAlign w:val="center"/>
          </w:tcPr>
          <w:p w14:paraId="3D799329">
            <w:pPr>
              <w:jc w:val="center"/>
              <w:rPr>
                <w:rFonts w:hint="default" w:ascii="Times New Roman" w:hAnsi="Times New Roman" w:eastAsia="仿宋_GB2312" w:cs="Times New Roman"/>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0172</w:t>
            </w:r>
          </w:p>
        </w:tc>
      </w:tr>
      <w:tr w14:paraId="059D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13ABA60D">
            <w:pPr>
              <w:jc w:val="center"/>
              <w:rPr>
                <w:rFonts w:hint="default" w:ascii="Times New Roman" w:hAnsi="Times New Roman" w:eastAsia="仿宋_GB2312" w:cs="Times New Roman"/>
                <w:color w:val="000000" w:themeColor="text1"/>
                <w:sz w:val="21"/>
                <w:szCs w:val="21"/>
                <w14:textFill>
                  <w14:solidFill>
                    <w14:schemeClr w14:val="tx1"/>
                  </w14:solidFill>
                </w14:textFill>
              </w:rPr>
            </w:pPr>
          </w:p>
        </w:tc>
        <w:tc>
          <w:tcPr>
            <w:tcW w:w="2228" w:type="pct"/>
            <w:vAlign w:val="center"/>
          </w:tcPr>
          <w:p w14:paraId="691F3327">
            <w:pPr>
              <w:jc w:val="both"/>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扩展测量不确定度</w:t>
            </w:r>
          </w:p>
        </w:tc>
        <w:tc>
          <w:tcPr>
            <w:tcW w:w="708" w:type="pct"/>
            <w:vAlign w:val="center"/>
          </w:tcPr>
          <w:p w14:paraId="69F20BE5">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w:t>
            </w:r>
          </w:p>
        </w:tc>
        <w:tc>
          <w:tcPr>
            <w:tcW w:w="380" w:type="pct"/>
            <w:vAlign w:val="center"/>
          </w:tcPr>
          <w:p w14:paraId="7AD91C22">
            <w:pPr>
              <w:jc w:val="center"/>
              <w:rPr>
                <w:rFonts w:hint="default" w:ascii="Times New Roman" w:hAnsi="Times New Roman" w:eastAsia="仿宋_GB2312" w:cs="Times New Roman"/>
                <w:i/>
                <w:iCs/>
                <w:color w:val="000000" w:themeColor="text1"/>
                <w:sz w:val="21"/>
                <w:szCs w:val="21"/>
                <w14:textFill>
                  <w14:solidFill>
                    <w14:schemeClr w14:val="tx1"/>
                  </w14:solidFill>
                </w14:textFill>
              </w:rPr>
            </w:pPr>
            <w:r>
              <w:rPr>
                <w:rFonts w:hint="default" w:ascii="Times New Roman" w:hAnsi="Times New Roman" w:eastAsia="仿宋_GB2312" w:cs="Times New Roman"/>
                <w:i/>
                <w:iCs/>
                <w:color w:val="000000" w:themeColor="text1"/>
                <w:sz w:val="21"/>
                <w:szCs w:val="21"/>
                <w14:textFill>
                  <w14:solidFill>
                    <w14:schemeClr w14:val="tx1"/>
                  </w14:solidFill>
                </w14:textFill>
              </w:rPr>
              <w:t>k</w:t>
            </w:r>
            <w:r>
              <w:rPr>
                <w:rFonts w:hint="default" w:ascii="Times New Roman" w:hAnsi="Times New Roman" w:eastAsia="仿宋_GB2312" w:cs="Times New Roman"/>
                <w:color w:val="000000" w:themeColor="text1"/>
                <w:sz w:val="21"/>
                <w:szCs w:val="21"/>
                <w14:textFill>
                  <w14:solidFill>
                    <w14:schemeClr w14:val="tx1"/>
                  </w14:solidFill>
                </w14:textFill>
              </w:rPr>
              <w:t xml:space="preserve"> = 2</w:t>
            </w:r>
          </w:p>
        </w:tc>
        <w:tc>
          <w:tcPr>
            <w:tcW w:w="339" w:type="pct"/>
            <w:vAlign w:val="center"/>
          </w:tcPr>
          <w:p w14:paraId="4D26256C">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38B25AB1">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w:t>
            </w:r>
          </w:p>
        </w:tc>
        <w:tc>
          <w:tcPr>
            <w:tcW w:w="620" w:type="pct"/>
            <w:vAlign w:val="center"/>
          </w:tcPr>
          <w:p w14:paraId="06552165">
            <w:pPr>
              <w:jc w:val="center"/>
              <w:rPr>
                <w:rFonts w:hint="default" w:ascii="Times New Roman" w:hAnsi="Times New Roman" w:eastAsia="仿宋_GB2312" w:cs="Times New Roman"/>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0343</w:t>
            </w:r>
          </w:p>
        </w:tc>
      </w:tr>
    </w:tbl>
    <w:p w14:paraId="31972C96">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在</w:t>
      </w:r>
      <w:r>
        <w:rPr>
          <w:rFonts w:hint="eastAsia" w:ascii="Times New Roman" w:hAnsi="Times New Roman" w:cs="Times New Roman"/>
          <w:color w:val="000000" w:themeColor="text1"/>
          <w:sz w:val="24"/>
          <w:szCs w:val="24"/>
          <w:lang w:val="en-US" w:eastAsia="zh-CN"/>
          <w14:textFill>
            <w14:solidFill>
              <w14:schemeClr w14:val="tx1"/>
            </w14:solidFill>
          </w14:textFill>
        </w:rPr>
        <w:t>DC</w:t>
      </w:r>
      <w:r>
        <w:rPr>
          <w:rFonts w:hint="default" w:ascii="Times New Roman" w:hAnsi="Times New Roman" w:eastAsia="宋体" w:cs="Times New Roman"/>
          <w:color w:val="000000" w:themeColor="text1"/>
          <w:sz w:val="24"/>
          <w:szCs w:val="24"/>
          <w14:textFill>
            <w14:solidFill>
              <w14:schemeClr w14:val="tx1"/>
            </w14:solidFill>
          </w14:textFill>
        </w:rPr>
        <w:t>~20</w:t>
      </w:r>
      <w:r>
        <w:rPr>
          <w:rFonts w:hint="eastAsia" w:ascii="Times New Roman" w:hAnsi="Times New Roman" w:cs="Times New Roman"/>
          <w:color w:val="000000" w:themeColor="text1"/>
          <w:sz w:val="24"/>
          <w:szCs w:val="24"/>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Hz频率范围内</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机器视觉振动测量算法/软件</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幅值校准</w:t>
      </w:r>
      <w:r>
        <w:rPr>
          <w:rFonts w:hint="default" w:ascii="Times New Roman" w:hAnsi="Times New Roman" w:eastAsia="宋体" w:cs="Times New Roman"/>
          <w:color w:val="000000" w:themeColor="text1"/>
          <w:sz w:val="24"/>
          <w:szCs w:val="24"/>
          <w14:textFill>
            <w14:solidFill>
              <w14:schemeClr w14:val="tx1"/>
            </w14:solidFill>
          </w14:textFill>
        </w:rPr>
        <w:t>的扩展不确定度</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为</w:t>
      </w:r>
      <w:r>
        <w:rPr>
          <w:rFonts w:hint="default" w:ascii="Times New Roman" w:hAnsi="Times New Roman" w:eastAsia="宋体" w:cs="Times New Roman"/>
          <w:color w:val="000000" w:themeColor="text1"/>
          <w:sz w:val="24"/>
          <w:szCs w:val="24"/>
          <w14:textFill>
            <w14:solidFill>
              <w14:schemeClr w14:val="tx1"/>
            </w14:solidFill>
          </w14:textFill>
        </w:rPr>
        <w:t>：0.</w:t>
      </w:r>
      <w:r>
        <w:rPr>
          <w:rFonts w:hint="eastAsia" w:ascii="Times New Roman" w:hAnsi="Times New Roman" w:cs="Times New Roman"/>
          <w:color w:val="000000" w:themeColor="text1"/>
          <w:sz w:val="24"/>
          <w:szCs w:val="24"/>
          <w:lang w:val="en-US" w:eastAsia="zh-CN"/>
          <w14:textFill>
            <w14:solidFill>
              <w14:schemeClr w14:val="tx1"/>
            </w14:solidFill>
          </w14:textFill>
        </w:rPr>
        <w:t>034</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i/>
          <w:color w:val="000000" w:themeColor="text1"/>
          <w:sz w:val="24"/>
          <w:szCs w:val="24"/>
          <w14:textFill>
            <w14:solidFill>
              <w14:schemeClr w14:val="tx1"/>
            </w14:solidFill>
          </w14:textFill>
        </w:rPr>
        <w:t>k</w:t>
      </w:r>
      <w:r>
        <w:rPr>
          <w:rFonts w:hint="default" w:ascii="Times New Roman" w:hAnsi="Times New Roman" w:eastAsia="宋体" w:cs="Times New Roman"/>
          <w:color w:val="000000" w:themeColor="text1"/>
          <w:sz w:val="24"/>
          <w:szCs w:val="24"/>
          <w14:textFill>
            <w14:solidFill>
              <w14:schemeClr w14:val="tx1"/>
            </w14:solidFill>
          </w14:textFill>
        </w:rPr>
        <w:t>=2）。考虑到存在其他没有分析到的影响因素，将机器视觉振动测量算法/软件</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幅值校准</w:t>
      </w:r>
      <w:r>
        <w:rPr>
          <w:rFonts w:hint="default" w:ascii="Times New Roman" w:hAnsi="Times New Roman" w:eastAsia="宋体" w:cs="Times New Roman"/>
          <w:color w:val="000000" w:themeColor="text1"/>
          <w:sz w:val="24"/>
          <w:szCs w:val="24"/>
          <w14:textFill>
            <w14:solidFill>
              <w14:schemeClr w14:val="tx1"/>
            </w14:solidFill>
          </w14:textFill>
        </w:rPr>
        <w:t>的不确定度适当放大为：0.</w:t>
      </w:r>
      <w:r>
        <w:rPr>
          <w:rFonts w:hint="eastAsia"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i/>
          <w:color w:val="000000" w:themeColor="text1"/>
          <w:sz w:val="24"/>
          <w:szCs w:val="24"/>
          <w14:textFill>
            <w14:solidFill>
              <w14:schemeClr w14:val="tx1"/>
            </w14:solidFill>
          </w14:textFill>
        </w:rPr>
        <w:t>k</w:t>
      </w:r>
      <w:r>
        <w:rPr>
          <w:rFonts w:hint="default" w:ascii="Times New Roman" w:hAnsi="Times New Roman" w:eastAsia="宋体" w:cs="Times New Roman"/>
          <w:color w:val="000000" w:themeColor="text1"/>
          <w:sz w:val="24"/>
          <w:szCs w:val="24"/>
          <w14:textFill>
            <w14:solidFill>
              <w14:schemeClr w14:val="tx1"/>
            </w14:solidFill>
          </w14:textFill>
        </w:rPr>
        <w:t>=2）。</w:t>
      </w:r>
    </w:p>
    <w:p w14:paraId="52DC89FD">
      <w:pPr>
        <w:spacing w:line="360" w:lineRule="auto"/>
        <w:jc w:val="center"/>
        <w:rPr>
          <w:rFonts w:hint="default" w:ascii="Times New Roman" w:hAnsi="Times New Roman" w:eastAsia="黑体" w:cs="Times New Roman"/>
          <w:color w:val="000000" w:themeColor="text1"/>
          <w:sz w:val="21"/>
          <w:szCs w:val="21"/>
          <w:lang w:val="en-US" w:eastAsia="zh-CN"/>
          <w14:textFill>
            <w14:solidFill>
              <w14:schemeClr w14:val="tx1"/>
            </w14:solidFill>
          </w14:textFill>
        </w:rPr>
      </w:pPr>
      <w:r>
        <w:rPr>
          <w:rFonts w:hint="default" w:ascii="Times New Roman" w:hAnsi="Times New Roman" w:eastAsia="黑体" w:cs="Times New Roman"/>
          <w:color w:val="000000" w:themeColor="text1"/>
          <w:sz w:val="21"/>
          <w:szCs w:val="21"/>
          <w14:textFill>
            <w14:solidFill>
              <w14:schemeClr w14:val="tx1"/>
            </w14:solidFill>
          </w14:textFill>
        </w:rPr>
        <w:t>表</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 xml:space="preserve">4 </w:t>
      </w:r>
      <w:r>
        <w:rPr>
          <w:rFonts w:hint="default" w:ascii="Times New Roman" w:hAnsi="Times New Roman" w:eastAsia="黑体" w:cs="Times New Roman"/>
          <w:color w:val="000000" w:themeColor="text1"/>
          <w:sz w:val="21"/>
          <w:szCs w:val="21"/>
          <w14:textFill>
            <w14:solidFill>
              <w14:schemeClr w14:val="tx1"/>
            </w14:solidFill>
          </w14:textFill>
        </w:rPr>
        <w:t>机器视觉振动测量算法/软件</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相位校准的不确定度</w:t>
      </w:r>
    </w:p>
    <w:tbl>
      <w:tblPr>
        <w:tblStyle w:val="17"/>
        <w:tblW w:w="46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3839"/>
        <w:gridCol w:w="1220"/>
        <w:gridCol w:w="655"/>
        <w:gridCol w:w="584"/>
        <w:gridCol w:w="782"/>
        <w:gridCol w:w="1069"/>
      </w:tblGrid>
      <w:tr w14:paraId="36A9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686502FC">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序号</w:t>
            </w:r>
          </w:p>
        </w:tc>
        <w:tc>
          <w:tcPr>
            <w:tcW w:w="2228" w:type="pct"/>
            <w:vAlign w:val="center"/>
          </w:tcPr>
          <w:p w14:paraId="62482877">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不确定度源</w:t>
            </w:r>
          </w:p>
        </w:tc>
        <w:tc>
          <w:tcPr>
            <w:tcW w:w="708" w:type="pct"/>
            <w:vAlign w:val="center"/>
          </w:tcPr>
          <w:p w14:paraId="31DD55BC">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不确</w:t>
            </w:r>
          </w:p>
          <w:p w14:paraId="012B602A">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定度</w:t>
            </w:r>
          </w:p>
        </w:tc>
        <w:tc>
          <w:tcPr>
            <w:tcW w:w="380" w:type="pct"/>
            <w:vAlign w:val="center"/>
          </w:tcPr>
          <w:p w14:paraId="623E6496">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分布</w:t>
            </w:r>
          </w:p>
        </w:tc>
        <w:tc>
          <w:tcPr>
            <w:tcW w:w="339" w:type="pct"/>
            <w:vAlign w:val="center"/>
          </w:tcPr>
          <w:p w14:paraId="686C3E17">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因子</w:t>
            </w:r>
          </w:p>
        </w:tc>
        <w:tc>
          <w:tcPr>
            <w:tcW w:w="453" w:type="pct"/>
            <w:vAlign w:val="center"/>
          </w:tcPr>
          <w:p w14:paraId="6F49E2D5">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灵敏系数</w:t>
            </w:r>
          </w:p>
        </w:tc>
        <w:tc>
          <w:tcPr>
            <w:tcW w:w="620" w:type="pct"/>
            <w:vAlign w:val="center"/>
          </w:tcPr>
          <w:p w14:paraId="293BC47D">
            <w:pPr>
              <w:jc w:val="center"/>
              <w:rPr>
                <w:rFonts w:hint="default" w:ascii="Times New Roman" w:hAnsi="Times New Roman" w:eastAsia="黑体" w:cs="Times New Roman"/>
                <w:color w:val="000000" w:themeColor="text1"/>
                <w:szCs w:val="21"/>
                <w14:textFill>
                  <w14:solidFill>
                    <w14:schemeClr w14:val="tx1"/>
                  </w14:solidFill>
                </w14:textFill>
              </w:rPr>
            </w:pPr>
            <w:r>
              <w:rPr>
                <w:rFonts w:hint="default" w:ascii="Times New Roman" w:hAnsi="Times New Roman" w:eastAsia="黑体" w:cs="Times New Roman"/>
                <w:color w:val="000000" w:themeColor="text1"/>
                <w:szCs w:val="21"/>
                <w14:textFill>
                  <w14:solidFill>
                    <w14:schemeClr w14:val="tx1"/>
                  </w14:solidFill>
                </w14:textFill>
              </w:rPr>
              <w:t>相对贡献(</w:t>
            </w:r>
            <w:r>
              <w:rPr>
                <w:rFonts w:hint="eastAsia" w:ascii="Times New Roman" w:hAnsi="Times New Roman" w:eastAsia="黑体" w:cs="Times New Roman"/>
                <w:color w:val="000000" w:themeColor="text1"/>
                <w:szCs w:val="21"/>
                <w:lang w:val="en-US" w:eastAsia="zh-CN"/>
                <w14:textFill>
                  <w14:solidFill>
                    <w14:schemeClr w14:val="tx1"/>
                  </w14:solidFill>
                </w14:textFill>
              </w:rPr>
              <w:t>°</w:t>
            </w:r>
            <w:r>
              <w:rPr>
                <w:rFonts w:hint="default" w:ascii="Times New Roman" w:hAnsi="Times New Roman" w:eastAsia="黑体" w:cs="Times New Roman"/>
                <w:color w:val="000000" w:themeColor="text1"/>
                <w:szCs w:val="21"/>
                <w14:textFill>
                  <w14:solidFill>
                    <w14:schemeClr w14:val="tx1"/>
                  </w14:solidFill>
                </w14:textFill>
              </w:rPr>
              <w:t>)</w:t>
            </w:r>
          </w:p>
        </w:tc>
      </w:tr>
      <w:tr w14:paraId="43E4D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5715D55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1</w:t>
            </w:r>
          </w:p>
        </w:tc>
        <w:tc>
          <w:tcPr>
            <w:tcW w:w="2228" w:type="pct"/>
            <w:vAlign w:val="center"/>
          </w:tcPr>
          <w:p w14:paraId="7765F1FE">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图像像素点量化误差的影响</w:t>
            </w:r>
          </w:p>
        </w:tc>
        <w:tc>
          <w:tcPr>
            <w:tcW w:w="708" w:type="pct"/>
            <w:tcBorders>
              <w:top w:val="single" w:color="auto" w:sz="4" w:space="0"/>
            </w:tcBorders>
            <w:vAlign w:val="center"/>
          </w:tcPr>
          <w:p w14:paraId="1ECFA27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0.020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w:t>
            </w:r>
          </w:p>
        </w:tc>
        <w:tc>
          <w:tcPr>
            <w:tcW w:w="380" w:type="pct"/>
            <w:vAlign w:val="center"/>
          </w:tcPr>
          <w:p w14:paraId="3DED0D6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矩形</w:t>
            </w:r>
          </w:p>
        </w:tc>
        <w:tc>
          <w:tcPr>
            <w:tcW w:w="339" w:type="pct"/>
            <w:vAlign w:val="center"/>
          </w:tcPr>
          <w:p w14:paraId="4A83420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1.73</w:t>
            </w:r>
          </w:p>
        </w:tc>
        <w:tc>
          <w:tcPr>
            <w:tcW w:w="453" w:type="pct"/>
            <w:vAlign w:val="center"/>
          </w:tcPr>
          <w:p w14:paraId="0AE5D0C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tcBorders>
              <w:top w:val="single" w:color="auto" w:sz="4" w:space="0"/>
            </w:tcBorders>
            <w:vAlign w:val="center"/>
          </w:tcPr>
          <w:p w14:paraId="23D0D17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0.0115</w:t>
            </w:r>
          </w:p>
        </w:tc>
      </w:tr>
      <w:tr w14:paraId="5726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499D7373">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2</w:t>
            </w:r>
          </w:p>
        </w:tc>
        <w:tc>
          <w:tcPr>
            <w:tcW w:w="2228" w:type="pct"/>
            <w:vAlign w:val="center"/>
          </w:tcPr>
          <w:p w14:paraId="14016148">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图像分辨率的不确定度</w:t>
            </w:r>
          </w:p>
        </w:tc>
        <w:tc>
          <w:tcPr>
            <w:tcW w:w="708" w:type="pct"/>
            <w:vAlign w:val="center"/>
          </w:tcPr>
          <w:p w14:paraId="7D81E25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0.010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w:t>
            </w:r>
          </w:p>
        </w:tc>
        <w:tc>
          <w:tcPr>
            <w:tcW w:w="380" w:type="pct"/>
            <w:vAlign w:val="center"/>
          </w:tcPr>
          <w:p w14:paraId="455A1AC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矩形</w:t>
            </w:r>
          </w:p>
        </w:tc>
        <w:tc>
          <w:tcPr>
            <w:tcW w:w="339" w:type="pct"/>
            <w:vAlign w:val="center"/>
          </w:tcPr>
          <w:p w14:paraId="68FD527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1.73</w:t>
            </w:r>
          </w:p>
        </w:tc>
        <w:tc>
          <w:tcPr>
            <w:tcW w:w="453" w:type="pct"/>
            <w:vAlign w:val="center"/>
          </w:tcPr>
          <w:p w14:paraId="2F1DE7A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4AB1C3E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0.0057</w:t>
            </w:r>
          </w:p>
        </w:tc>
      </w:tr>
      <w:tr w14:paraId="69925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18E787B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3</w:t>
            </w:r>
          </w:p>
        </w:tc>
        <w:tc>
          <w:tcPr>
            <w:tcW w:w="2228" w:type="pct"/>
            <w:vAlign w:val="center"/>
          </w:tcPr>
          <w:p w14:paraId="2A147148">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图像边缘检测算法对位移测量的影响</w:t>
            </w:r>
          </w:p>
        </w:tc>
        <w:tc>
          <w:tcPr>
            <w:tcW w:w="708" w:type="pct"/>
            <w:vAlign w:val="center"/>
          </w:tcPr>
          <w:p w14:paraId="2E5C7DA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0.004</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w:t>
            </w:r>
          </w:p>
        </w:tc>
        <w:tc>
          <w:tcPr>
            <w:tcW w:w="380" w:type="pct"/>
            <w:vAlign w:val="center"/>
          </w:tcPr>
          <w:p w14:paraId="17434CB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50C9366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642D473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131EA33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0.0020</w:t>
            </w:r>
          </w:p>
        </w:tc>
      </w:tr>
      <w:tr w14:paraId="5990F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537E9B51">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4</w:t>
            </w:r>
          </w:p>
        </w:tc>
        <w:tc>
          <w:tcPr>
            <w:tcW w:w="2228" w:type="pct"/>
            <w:vAlign w:val="center"/>
          </w:tcPr>
          <w:p w14:paraId="49A33CD1">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最小二乘法拟合直线对位移测量的影响</w:t>
            </w:r>
          </w:p>
        </w:tc>
        <w:tc>
          <w:tcPr>
            <w:tcW w:w="708" w:type="pct"/>
            <w:vAlign w:val="center"/>
          </w:tcPr>
          <w:p w14:paraId="47DC795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0.002</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w:t>
            </w:r>
          </w:p>
        </w:tc>
        <w:tc>
          <w:tcPr>
            <w:tcW w:w="380" w:type="pct"/>
            <w:vAlign w:val="center"/>
          </w:tcPr>
          <w:p w14:paraId="317DFAA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2B0E45F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0CE4031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111D40A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0.0010</w:t>
            </w:r>
          </w:p>
        </w:tc>
      </w:tr>
      <w:tr w14:paraId="14B1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13628086">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5</w:t>
            </w:r>
          </w:p>
        </w:tc>
        <w:tc>
          <w:tcPr>
            <w:tcW w:w="2228" w:type="pct"/>
            <w:vAlign w:val="center"/>
          </w:tcPr>
          <w:p w14:paraId="6233EE4F">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误差模型修正不完善对位移测量的影响</w:t>
            </w:r>
          </w:p>
        </w:tc>
        <w:tc>
          <w:tcPr>
            <w:tcW w:w="708" w:type="pct"/>
            <w:vAlign w:val="center"/>
          </w:tcPr>
          <w:p w14:paraId="7B17326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0.010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w:t>
            </w:r>
          </w:p>
        </w:tc>
        <w:tc>
          <w:tcPr>
            <w:tcW w:w="380" w:type="pct"/>
            <w:vAlign w:val="center"/>
          </w:tcPr>
          <w:p w14:paraId="6C95249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252CE02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3E1F957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4CA30A4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0.0050</w:t>
            </w:r>
          </w:p>
        </w:tc>
      </w:tr>
      <w:tr w14:paraId="63AB2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5B70234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6</w:t>
            </w:r>
          </w:p>
        </w:tc>
        <w:tc>
          <w:tcPr>
            <w:tcW w:w="2228" w:type="pct"/>
            <w:vAlign w:val="center"/>
          </w:tcPr>
          <w:p w14:paraId="10433FA7">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标准正弦振动数字视频数据精度</w:t>
            </w:r>
          </w:p>
        </w:tc>
        <w:tc>
          <w:tcPr>
            <w:tcW w:w="708" w:type="pct"/>
            <w:vAlign w:val="center"/>
          </w:tcPr>
          <w:p w14:paraId="50CBC2B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kern w:val="0"/>
                <w:sz w:val="21"/>
                <w:szCs w:val="21"/>
                <w14:textFill>
                  <w14:solidFill>
                    <w14:schemeClr w14:val="tx1"/>
                  </w14:solidFill>
                </w14:textFill>
              </w:rPr>
              <w:t>8.8</w:t>
            </w:r>
            <w:r>
              <w:rPr>
                <w:rFonts w:hint="default" w:ascii="Times New Roman" w:hAnsi="Times New Roman" w:eastAsia="仿宋_GB2312" w:cs="Times New Roman"/>
                <w:color w:val="000000" w:themeColor="text1"/>
                <w:sz w:val="21"/>
                <w:szCs w:val="21"/>
                <w14:textFill>
                  <w14:solidFill>
                    <w14:schemeClr w14:val="tx1"/>
                  </w14:solidFill>
                </w14:textFill>
              </w:rPr>
              <w:t>×10</w:t>
            </w:r>
            <w:r>
              <w:rPr>
                <w:rFonts w:hint="default" w:ascii="Times New Roman" w:hAnsi="Times New Roman" w:eastAsia="仿宋_GB2312" w:cs="Times New Roman"/>
                <w:color w:val="000000" w:themeColor="text1"/>
                <w:sz w:val="21"/>
                <w:szCs w:val="21"/>
                <w:vertAlign w:val="superscript"/>
                <w14:textFill>
                  <w14:solidFill>
                    <w14:schemeClr w14:val="tx1"/>
                  </w14:solidFill>
                </w14:textFill>
              </w:rPr>
              <w:t>-13</w:t>
            </w:r>
            <w:r>
              <w:rPr>
                <w:rFonts w:hint="default" w:ascii="Times New Roman" w:hAnsi="Times New Roman" w:eastAsia="仿宋_GB2312" w:cs="Times New Roman"/>
                <w:color w:val="000000" w:themeColor="text1"/>
                <w:sz w:val="21"/>
                <w:szCs w:val="21"/>
                <w14:textFill>
                  <w14:solidFill>
                    <w14:schemeClr w14:val="tx1"/>
                  </w14:solidFill>
                </w14:textFill>
              </w:rPr>
              <w:t>px</w:t>
            </w:r>
          </w:p>
        </w:tc>
        <w:tc>
          <w:tcPr>
            <w:tcW w:w="380" w:type="pct"/>
            <w:vAlign w:val="center"/>
          </w:tcPr>
          <w:p w14:paraId="36B452A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矩形</w:t>
            </w:r>
          </w:p>
        </w:tc>
        <w:tc>
          <w:tcPr>
            <w:tcW w:w="339" w:type="pct"/>
            <w:vAlign w:val="center"/>
          </w:tcPr>
          <w:p w14:paraId="0C6C094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1.73</w:t>
            </w:r>
          </w:p>
        </w:tc>
        <w:tc>
          <w:tcPr>
            <w:tcW w:w="453" w:type="pct"/>
            <w:vAlign w:val="center"/>
          </w:tcPr>
          <w:p w14:paraId="390A780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4ECDA4E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0.0001</w:t>
            </w:r>
          </w:p>
        </w:tc>
      </w:tr>
      <w:tr w14:paraId="1D0BE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vAlign w:val="center"/>
          </w:tcPr>
          <w:p w14:paraId="79CAE7C2">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重复性引入的测量不确定度分量</w:t>
            </w:r>
          </w:p>
        </w:tc>
      </w:tr>
      <w:tr w14:paraId="29433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0764668E">
            <w:pPr>
              <w:jc w:val="cente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pP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7</w:t>
            </w:r>
          </w:p>
        </w:tc>
        <w:tc>
          <w:tcPr>
            <w:tcW w:w="2228" w:type="pct"/>
            <w:vAlign w:val="center"/>
          </w:tcPr>
          <w:p w14:paraId="58E22950">
            <w:pPr>
              <w:jc w:val="both"/>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重复性</w:t>
            </w:r>
          </w:p>
        </w:tc>
        <w:tc>
          <w:tcPr>
            <w:tcW w:w="708" w:type="pct"/>
            <w:vAlign w:val="center"/>
          </w:tcPr>
          <w:p w14:paraId="7B92BD7E">
            <w:pPr>
              <w:jc w:val="center"/>
              <w:rPr>
                <w:rFonts w:hint="default" w:ascii="Times New Roman" w:hAnsi="Times New Roman" w:eastAsia="仿宋_GB2312" w:cs="Times New Roman"/>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1°</w:t>
            </w:r>
          </w:p>
        </w:tc>
        <w:tc>
          <w:tcPr>
            <w:tcW w:w="380" w:type="pct"/>
            <w:vAlign w:val="center"/>
          </w:tcPr>
          <w:p w14:paraId="02167E1A">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正态</w:t>
            </w:r>
          </w:p>
        </w:tc>
        <w:tc>
          <w:tcPr>
            <w:tcW w:w="339" w:type="pct"/>
            <w:vAlign w:val="center"/>
          </w:tcPr>
          <w:p w14:paraId="4F7879B0">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533D6CD0">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620" w:type="pct"/>
            <w:vAlign w:val="center"/>
          </w:tcPr>
          <w:p w14:paraId="497D3CCE">
            <w:pPr>
              <w:jc w:val="center"/>
              <w:rPr>
                <w:rFonts w:hint="default" w:ascii="Times New Roman" w:hAnsi="Times New Roman" w:eastAsia="仿宋_GB2312" w:cs="Times New Roman"/>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05</w:t>
            </w:r>
          </w:p>
        </w:tc>
      </w:tr>
      <w:tr w14:paraId="68B54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554EE94D">
            <w:pPr>
              <w:jc w:val="center"/>
              <w:rPr>
                <w:rFonts w:hint="default" w:ascii="Times New Roman" w:hAnsi="Times New Roman" w:eastAsia="仿宋_GB2312" w:cs="Times New Roman"/>
                <w:color w:val="000000" w:themeColor="text1"/>
                <w:sz w:val="21"/>
                <w:szCs w:val="21"/>
                <w14:textFill>
                  <w14:solidFill>
                    <w14:schemeClr w14:val="tx1"/>
                  </w14:solidFill>
                </w14:textFill>
              </w:rPr>
            </w:pPr>
          </w:p>
        </w:tc>
        <w:tc>
          <w:tcPr>
            <w:tcW w:w="2228" w:type="pct"/>
            <w:vAlign w:val="center"/>
          </w:tcPr>
          <w:p w14:paraId="11866A97">
            <w:pPr>
              <w:jc w:val="both"/>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合成测量不确定度</w:t>
            </w:r>
          </w:p>
        </w:tc>
        <w:tc>
          <w:tcPr>
            <w:tcW w:w="708" w:type="pct"/>
            <w:vAlign w:val="center"/>
          </w:tcPr>
          <w:p w14:paraId="36DBF66D">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w:t>
            </w:r>
          </w:p>
        </w:tc>
        <w:tc>
          <w:tcPr>
            <w:tcW w:w="380" w:type="pct"/>
            <w:vAlign w:val="center"/>
          </w:tcPr>
          <w:p w14:paraId="413B9093">
            <w:pPr>
              <w:jc w:val="center"/>
              <w:rPr>
                <w:rFonts w:hint="default" w:ascii="Times New Roman" w:hAnsi="Times New Roman" w:eastAsia="仿宋_GB2312" w:cs="Times New Roman"/>
                <w:i/>
                <w:iCs/>
                <w:color w:val="000000" w:themeColor="text1"/>
                <w:sz w:val="21"/>
                <w:szCs w:val="21"/>
                <w14:textFill>
                  <w14:solidFill>
                    <w14:schemeClr w14:val="tx1"/>
                  </w14:solidFill>
                </w14:textFill>
              </w:rPr>
            </w:pPr>
            <w:r>
              <w:rPr>
                <w:rFonts w:hint="default" w:ascii="Times New Roman" w:hAnsi="Times New Roman" w:eastAsia="仿宋_GB2312" w:cs="Times New Roman"/>
                <w:i/>
                <w:iCs/>
                <w:color w:val="000000" w:themeColor="text1"/>
                <w:sz w:val="21"/>
                <w:szCs w:val="21"/>
                <w14:textFill>
                  <w14:solidFill>
                    <w14:schemeClr w14:val="tx1"/>
                  </w14:solidFill>
                </w14:textFill>
              </w:rPr>
              <w:t>k</w:t>
            </w:r>
            <w:r>
              <w:rPr>
                <w:rFonts w:hint="default" w:ascii="Times New Roman" w:hAnsi="Times New Roman" w:eastAsia="仿宋_GB2312" w:cs="Times New Roman"/>
                <w:color w:val="000000" w:themeColor="text1"/>
                <w:sz w:val="21"/>
                <w:szCs w:val="21"/>
                <w14:textFill>
                  <w14:solidFill>
                    <w14:schemeClr w14:val="tx1"/>
                  </w14:solidFill>
                </w14:textFill>
              </w:rPr>
              <w:t xml:space="preserve"> = 1</w:t>
            </w:r>
          </w:p>
        </w:tc>
        <w:tc>
          <w:tcPr>
            <w:tcW w:w="339" w:type="pct"/>
            <w:vAlign w:val="center"/>
          </w:tcPr>
          <w:p w14:paraId="1E094EBD">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1</w:t>
            </w:r>
          </w:p>
        </w:tc>
        <w:tc>
          <w:tcPr>
            <w:tcW w:w="453" w:type="pct"/>
            <w:vAlign w:val="center"/>
          </w:tcPr>
          <w:p w14:paraId="5B7814F3">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w:t>
            </w:r>
          </w:p>
        </w:tc>
        <w:tc>
          <w:tcPr>
            <w:tcW w:w="620" w:type="pct"/>
            <w:vAlign w:val="center"/>
          </w:tcPr>
          <w:p w14:paraId="2F3EF42E">
            <w:pPr>
              <w:jc w:val="center"/>
              <w:rPr>
                <w:rFonts w:hint="default" w:ascii="Times New Roman" w:hAnsi="Times New Roman" w:eastAsia="仿宋_GB2312" w:cs="Times New Roman"/>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0148</w:t>
            </w:r>
          </w:p>
        </w:tc>
      </w:tr>
      <w:tr w14:paraId="3CAC7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 w:type="pct"/>
            <w:vAlign w:val="center"/>
          </w:tcPr>
          <w:p w14:paraId="6150A84E">
            <w:pPr>
              <w:jc w:val="center"/>
              <w:rPr>
                <w:rFonts w:hint="default" w:ascii="Times New Roman" w:hAnsi="Times New Roman" w:eastAsia="仿宋_GB2312" w:cs="Times New Roman"/>
                <w:color w:val="000000" w:themeColor="text1"/>
                <w:sz w:val="21"/>
                <w:szCs w:val="21"/>
                <w14:textFill>
                  <w14:solidFill>
                    <w14:schemeClr w14:val="tx1"/>
                  </w14:solidFill>
                </w14:textFill>
              </w:rPr>
            </w:pPr>
          </w:p>
        </w:tc>
        <w:tc>
          <w:tcPr>
            <w:tcW w:w="2228" w:type="pct"/>
            <w:vAlign w:val="center"/>
          </w:tcPr>
          <w:p w14:paraId="19573FC7">
            <w:pPr>
              <w:jc w:val="both"/>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扩展测量不确定度</w:t>
            </w:r>
          </w:p>
        </w:tc>
        <w:tc>
          <w:tcPr>
            <w:tcW w:w="708" w:type="pct"/>
            <w:vAlign w:val="center"/>
          </w:tcPr>
          <w:p w14:paraId="67903810">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w:t>
            </w:r>
          </w:p>
        </w:tc>
        <w:tc>
          <w:tcPr>
            <w:tcW w:w="380" w:type="pct"/>
            <w:vAlign w:val="center"/>
          </w:tcPr>
          <w:p w14:paraId="398FAAF0">
            <w:pPr>
              <w:jc w:val="center"/>
              <w:rPr>
                <w:rFonts w:hint="default" w:ascii="Times New Roman" w:hAnsi="Times New Roman" w:eastAsia="仿宋_GB2312" w:cs="Times New Roman"/>
                <w:i/>
                <w:iCs/>
                <w:color w:val="000000" w:themeColor="text1"/>
                <w:sz w:val="21"/>
                <w:szCs w:val="21"/>
                <w14:textFill>
                  <w14:solidFill>
                    <w14:schemeClr w14:val="tx1"/>
                  </w14:solidFill>
                </w14:textFill>
              </w:rPr>
            </w:pPr>
            <w:r>
              <w:rPr>
                <w:rFonts w:hint="default" w:ascii="Times New Roman" w:hAnsi="Times New Roman" w:eastAsia="仿宋_GB2312" w:cs="Times New Roman"/>
                <w:i/>
                <w:iCs/>
                <w:color w:val="000000" w:themeColor="text1"/>
                <w:sz w:val="21"/>
                <w:szCs w:val="21"/>
                <w14:textFill>
                  <w14:solidFill>
                    <w14:schemeClr w14:val="tx1"/>
                  </w14:solidFill>
                </w14:textFill>
              </w:rPr>
              <w:t>k</w:t>
            </w:r>
            <w:r>
              <w:rPr>
                <w:rFonts w:hint="default" w:ascii="Times New Roman" w:hAnsi="Times New Roman" w:eastAsia="仿宋_GB2312" w:cs="Times New Roman"/>
                <w:color w:val="000000" w:themeColor="text1"/>
                <w:sz w:val="21"/>
                <w:szCs w:val="21"/>
                <w14:textFill>
                  <w14:solidFill>
                    <w14:schemeClr w14:val="tx1"/>
                  </w14:solidFill>
                </w14:textFill>
              </w:rPr>
              <w:t xml:space="preserve"> = 2</w:t>
            </w:r>
          </w:p>
        </w:tc>
        <w:tc>
          <w:tcPr>
            <w:tcW w:w="339" w:type="pct"/>
            <w:vAlign w:val="center"/>
          </w:tcPr>
          <w:p w14:paraId="560C58CC">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2</w:t>
            </w:r>
          </w:p>
        </w:tc>
        <w:tc>
          <w:tcPr>
            <w:tcW w:w="453" w:type="pct"/>
            <w:vAlign w:val="center"/>
          </w:tcPr>
          <w:p w14:paraId="436AADE9">
            <w:pPr>
              <w:jc w:val="center"/>
              <w:rPr>
                <w:rFonts w:hint="default" w:ascii="Times New Roman" w:hAnsi="Times New Roman" w:eastAsia="仿宋_GB2312" w:cs="Times New Roman"/>
                <w:color w:val="000000" w:themeColor="text1"/>
                <w:sz w:val="21"/>
                <w:szCs w:val="21"/>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w:t>
            </w:r>
          </w:p>
        </w:tc>
        <w:tc>
          <w:tcPr>
            <w:tcW w:w="620" w:type="pct"/>
            <w:vAlign w:val="center"/>
          </w:tcPr>
          <w:p w14:paraId="6F22E212">
            <w:pPr>
              <w:jc w:val="center"/>
              <w:rPr>
                <w:rFonts w:hint="default" w:ascii="Times New Roman" w:hAnsi="Times New Roman" w:eastAsia="仿宋_GB2312" w:cs="Times New Roman"/>
                <w:color w:val="000000" w:themeColor="text1"/>
                <w:sz w:val="21"/>
                <w:szCs w:val="21"/>
                <w:lang w:val="en-US" w:eastAsia="zh-CN"/>
                <w14:textFill>
                  <w14:solidFill>
                    <w14:schemeClr w14:val="tx1"/>
                  </w14:solidFill>
                </w14:textFill>
              </w:rPr>
            </w:pPr>
            <w:r>
              <w:rPr>
                <w:rFonts w:hint="default" w:ascii="Times New Roman" w:hAnsi="Times New Roman" w:eastAsia="仿宋_GB2312" w:cs="Times New Roman"/>
                <w:color w:val="000000" w:themeColor="text1"/>
                <w:sz w:val="21"/>
                <w:szCs w:val="21"/>
                <w14:textFill>
                  <w14:solidFill>
                    <w14:schemeClr w14:val="tx1"/>
                  </w14:solidFill>
                </w14:textFill>
              </w:rPr>
              <w:t>0.</w:t>
            </w:r>
            <w:r>
              <w:rPr>
                <w:rFonts w:hint="eastAsia" w:ascii="Times New Roman" w:hAnsi="Times New Roman" w:eastAsia="仿宋_GB2312" w:cs="Times New Roman"/>
                <w:color w:val="000000" w:themeColor="text1"/>
                <w:sz w:val="21"/>
                <w:szCs w:val="21"/>
                <w:lang w:val="en-US" w:eastAsia="zh-CN"/>
                <w14:textFill>
                  <w14:solidFill>
                    <w14:schemeClr w14:val="tx1"/>
                  </w14:solidFill>
                </w14:textFill>
              </w:rPr>
              <w:t>0296</w:t>
            </w:r>
          </w:p>
        </w:tc>
      </w:tr>
    </w:tbl>
    <w:p w14:paraId="3ED01128">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textAlignment w:val="auto"/>
        <w:rPr>
          <w:rFonts w:hint="default" w:cs="Times New Roman"/>
          <w:sz w:val="24"/>
          <w:szCs w:val="24"/>
          <w:lang w:val="en-US" w:eastAsia="zh-CN"/>
        </w:rPr>
      </w:pPr>
      <w:r>
        <w:rPr>
          <w:rFonts w:hint="default" w:ascii="Times New Roman" w:hAnsi="Times New Roman" w:eastAsia="宋体" w:cs="Times New Roman"/>
          <w:color w:val="000000" w:themeColor="text1"/>
          <w:sz w:val="24"/>
          <w:szCs w:val="24"/>
          <w14:textFill>
            <w14:solidFill>
              <w14:schemeClr w14:val="tx1"/>
            </w14:solidFill>
          </w14:textFill>
        </w:rPr>
        <w:t>在</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0.01~20</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Hz频率范围内</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机器视觉振动测量算法/软件</w:t>
      </w:r>
      <w:r>
        <w:rPr>
          <w:rFonts w:hint="eastAsia" w:ascii="Times New Roman" w:hAnsi="Times New Roman" w:cs="Times New Roman"/>
          <w:color w:val="000000" w:themeColor="text1"/>
          <w:sz w:val="24"/>
          <w:szCs w:val="24"/>
          <w:lang w:val="en-US" w:eastAsia="zh-CN"/>
          <w14:textFill>
            <w14:solidFill>
              <w14:schemeClr w14:val="tx1"/>
            </w14:solidFill>
          </w14:textFill>
        </w:rPr>
        <w:t>相位</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校准</w:t>
      </w:r>
      <w:r>
        <w:rPr>
          <w:rFonts w:hint="default" w:ascii="Times New Roman" w:hAnsi="Times New Roman" w:eastAsia="宋体" w:cs="Times New Roman"/>
          <w:color w:val="000000" w:themeColor="text1"/>
          <w:sz w:val="24"/>
          <w:szCs w:val="24"/>
          <w14:textFill>
            <w14:solidFill>
              <w14:schemeClr w14:val="tx1"/>
            </w14:solidFill>
          </w14:textFill>
        </w:rPr>
        <w:t>的扩展不确定度</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为</w:t>
      </w:r>
      <w:r>
        <w:rPr>
          <w:rFonts w:hint="default" w:ascii="Times New Roman" w:hAnsi="Times New Roman" w:eastAsia="宋体" w:cs="Times New Roman"/>
          <w:color w:val="000000" w:themeColor="text1"/>
          <w:sz w:val="24"/>
          <w:szCs w:val="24"/>
          <w14:textFill>
            <w14:solidFill>
              <w14:schemeClr w14:val="tx1"/>
            </w14:solidFill>
          </w14:textFill>
        </w:rPr>
        <w:t>：0.</w:t>
      </w:r>
      <w:r>
        <w:rPr>
          <w:rFonts w:hint="eastAsia" w:ascii="Times New Roman" w:hAnsi="Times New Roman" w:cs="Times New Roman"/>
          <w:color w:val="000000" w:themeColor="text1"/>
          <w:sz w:val="24"/>
          <w:szCs w:val="24"/>
          <w:lang w:val="en-US" w:eastAsia="zh-CN"/>
          <w14:textFill>
            <w14:solidFill>
              <w14:schemeClr w14:val="tx1"/>
            </w14:solidFill>
          </w14:textFill>
        </w:rPr>
        <w:t>03</w:t>
      </w:r>
      <w:r>
        <w:rPr>
          <w:rFonts w:hint="eastAsia"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i/>
          <w:color w:val="000000" w:themeColor="text1"/>
          <w:sz w:val="24"/>
          <w:szCs w:val="24"/>
          <w14:textFill>
            <w14:solidFill>
              <w14:schemeClr w14:val="tx1"/>
            </w14:solidFill>
          </w14:textFill>
        </w:rPr>
        <w:t>k</w:t>
      </w:r>
      <w:r>
        <w:rPr>
          <w:rFonts w:hint="default" w:ascii="Times New Roman" w:hAnsi="Times New Roman" w:eastAsia="宋体" w:cs="Times New Roman"/>
          <w:color w:val="000000" w:themeColor="text1"/>
          <w:sz w:val="24"/>
          <w:szCs w:val="24"/>
          <w14:textFill>
            <w14:solidFill>
              <w14:schemeClr w14:val="tx1"/>
            </w14:solidFill>
          </w14:textFill>
        </w:rPr>
        <w:t>=2）。考虑到存在其他没有分析到的影响因素，将机器视觉振动测量算法/软件</w:t>
      </w:r>
      <w:r>
        <w:rPr>
          <w:rFonts w:hint="eastAsia" w:ascii="Times New Roman" w:hAnsi="Times New Roman" w:cs="Times New Roman"/>
          <w:color w:val="000000" w:themeColor="text1"/>
          <w:sz w:val="24"/>
          <w:szCs w:val="24"/>
          <w:lang w:val="en-US" w:eastAsia="zh-CN"/>
          <w14:textFill>
            <w14:solidFill>
              <w14:schemeClr w14:val="tx1"/>
            </w14:solidFill>
          </w14:textFill>
        </w:rPr>
        <w:t>相位</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校准</w:t>
      </w:r>
      <w:r>
        <w:rPr>
          <w:rFonts w:hint="default" w:ascii="Times New Roman" w:hAnsi="Times New Roman" w:eastAsia="宋体" w:cs="Times New Roman"/>
          <w:color w:val="000000" w:themeColor="text1"/>
          <w:sz w:val="24"/>
          <w:szCs w:val="24"/>
          <w14:textFill>
            <w14:solidFill>
              <w14:schemeClr w14:val="tx1"/>
            </w14:solidFill>
          </w14:textFill>
        </w:rPr>
        <w:t>的不确定度适当放大为：0.</w:t>
      </w:r>
      <w:r>
        <w:rPr>
          <w:rFonts w:hint="eastAsia"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i/>
          <w:color w:val="000000" w:themeColor="text1"/>
          <w:sz w:val="24"/>
          <w:szCs w:val="24"/>
          <w14:textFill>
            <w14:solidFill>
              <w14:schemeClr w14:val="tx1"/>
            </w14:solidFill>
          </w14:textFill>
        </w:rPr>
        <w:t>k</w:t>
      </w:r>
      <w:r>
        <w:rPr>
          <w:rFonts w:hint="default" w:ascii="Times New Roman" w:hAnsi="Times New Roman" w:eastAsia="宋体" w:cs="Times New Roman"/>
          <w:color w:val="000000" w:themeColor="text1"/>
          <w:sz w:val="24"/>
          <w:szCs w:val="24"/>
          <w14:textFill>
            <w14:solidFill>
              <w14:schemeClr w14:val="tx1"/>
            </w14:solidFill>
          </w14:textFill>
        </w:rPr>
        <w:t>=2）。</w:t>
      </w:r>
    </w:p>
    <w:p w14:paraId="656CE875">
      <w:pPr>
        <w:spacing w:line="360" w:lineRule="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w:t>
      </w:r>
      <w:r>
        <w:rPr>
          <w:rFonts w:hint="eastAsia" w:ascii="Times New Roman" w:hAnsi="Times New Roman" w:cs="Times New Roman"/>
          <w:sz w:val="24"/>
          <w:szCs w:val="24"/>
          <w:lang w:val="en-US" w:eastAsia="zh-CN"/>
        </w:rPr>
        <w:t>振动传感器灵敏度和振动仪校准</w:t>
      </w:r>
      <w:r>
        <w:rPr>
          <w:rFonts w:hint="default" w:ascii="Times New Roman" w:hAnsi="Times New Roman" w:eastAsia="宋体" w:cs="Times New Roman"/>
          <w:sz w:val="24"/>
          <w:szCs w:val="24"/>
        </w:rPr>
        <w:t>的不确定度</w:t>
      </w:r>
    </w:p>
    <w:p w14:paraId="5398A6B9">
      <w:pPr>
        <w:spacing w:line="360" w:lineRule="auto"/>
        <w:ind w:firstLine="480" w:firstLineChars="200"/>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振动传感器灵敏度和振动仪校准</w:t>
      </w:r>
      <w:r>
        <w:rPr>
          <w:rFonts w:hint="default" w:ascii="Times New Roman" w:hAnsi="Times New Roman" w:eastAsia="宋体" w:cs="Times New Roman"/>
          <w:sz w:val="24"/>
          <w:szCs w:val="24"/>
          <w:lang w:val="en-US" w:eastAsia="zh-CN"/>
        </w:rPr>
        <w:t>的</w:t>
      </w:r>
      <w:r>
        <w:rPr>
          <w:rFonts w:hint="eastAsia" w:ascii="Times New Roman" w:hAnsi="Times New Roman" w:cs="Times New Roman"/>
          <w:sz w:val="24"/>
          <w:szCs w:val="24"/>
          <w:lang w:val="en-US" w:eastAsia="zh-CN"/>
        </w:rPr>
        <w:t>测量</w:t>
      </w:r>
      <w:r>
        <w:rPr>
          <w:rFonts w:hint="default" w:ascii="Times New Roman" w:hAnsi="Times New Roman" w:eastAsia="宋体" w:cs="Times New Roman"/>
          <w:sz w:val="24"/>
          <w:szCs w:val="24"/>
          <w:lang w:val="en-US" w:eastAsia="zh-CN"/>
        </w:rPr>
        <w:t>不确定度</w:t>
      </w:r>
      <w:r>
        <w:rPr>
          <w:rFonts w:hint="eastAsia" w:ascii="Times New Roman" w:hAnsi="Times New Roman" w:cs="Times New Roman"/>
          <w:sz w:val="24"/>
          <w:szCs w:val="24"/>
          <w:lang w:val="en-US" w:eastAsia="zh-CN"/>
        </w:rPr>
        <w:t>，除了需要考虑</w:t>
      </w:r>
      <w:r>
        <w:rPr>
          <w:rFonts w:hint="default" w:ascii="Times New Roman" w:hAnsi="Times New Roman" w:eastAsia="宋体" w:cs="Times New Roman"/>
          <w:sz w:val="24"/>
          <w:szCs w:val="24"/>
        </w:rPr>
        <w:t>机器视觉振动测量</w:t>
      </w:r>
      <w:r>
        <w:rPr>
          <w:rFonts w:hint="eastAsia" w:ascii="Times New Roman" w:hAnsi="Times New Roman" w:cs="Times New Roman"/>
          <w:sz w:val="24"/>
          <w:szCs w:val="24"/>
          <w:lang w:val="en-US" w:eastAsia="zh-CN"/>
        </w:rPr>
        <w:t>系统校准的不确定度，还需要考虑由振动台、电压测量仪器和被校对象所引入的测量不确定度，</w:t>
      </w:r>
      <w:r>
        <w:rPr>
          <w:rFonts w:hint="default" w:ascii="Times New Roman" w:hAnsi="Times New Roman" w:eastAsia="宋体" w:cs="Times New Roman"/>
          <w:sz w:val="24"/>
          <w:szCs w:val="24"/>
        </w:rPr>
        <w:t>振动传感器灵敏度</w:t>
      </w:r>
      <w:r>
        <w:rPr>
          <w:rFonts w:hint="eastAsia" w:ascii="Times New Roman" w:hAnsi="Times New Roman" w:cs="Times New Roman"/>
          <w:sz w:val="24"/>
          <w:szCs w:val="24"/>
          <w:lang w:val="en-US" w:eastAsia="zh-CN"/>
        </w:rPr>
        <w:t>幅值和和振动测量仪校准</w:t>
      </w:r>
      <w:r>
        <w:rPr>
          <w:rFonts w:hint="default" w:ascii="Times New Roman" w:hAnsi="Times New Roman" w:eastAsia="宋体" w:cs="Times New Roman"/>
          <w:sz w:val="24"/>
          <w:szCs w:val="24"/>
        </w:rPr>
        <w:t>的</w:t>
      </w:r>
      <w:r>
        <w:rPr>
          <w:rFonts w:hint="eastAsia" w:ascii="Times New Roman" w:hAnsi="Times New Roman" w:cs="Times New Roman"/>
          <w:sz w:val="24"/>
          <w:szCs w:val="24"/>
          <w:lang w:val="en-US" w:eastAsia="zh-CN"/>
        </w:rPr>
        <w:t>测量</w:t>
      </w:r>
      <w:r>
        <w:rPr>
          <w:rFonts w:hint="default" w:ascii="Times New Roman" w:hAnsi="Times New Roman" w:eastAsia="宋体" w:cs="Times New Roman"/>
          <w:sz w:val="24"/>
          <w:szCs w:val="24"/>
        </w:rPr>
        <w:t>不确定度</w:t>
      </w:r>
      <w:r>
        <w:rPr>
          <w:rFonts w:hint="eastAsia" w:ascii="Times New Roman" w:hAnsi="Times New Roman" w:cs="Times New Roman"/>
          <w:sz w:val="24"/>
          <w:szCs w:val="24"/>
          <w:lang w:val="en-US" w:eastAsia="zh-CN"/>
        </w:rPr>
        <w:t>见表5所示，</w:t>
      </w:r>
      <w:r>
        <w:rPr>
          <w:rFonts w:hint="default" w:ascii="Times New Roman" w:hAnsi="Times New Roman" w:eastAsia="宋体" w:cs="Times New Roman"/>
          <w:sz w:val="24"/>
          <w:szCs w:val="24"/>
        </w:rPr>
        <w:t>振动传感器灵敏度</w:t>
      </w:r>
      <w:r>
        <w:rPr>
          <w:rFonts w:hint="eastAsia" w:ascii="Times New Roman" w:hAnsi="Times New Roman" w:cs="Times New Roman"/>
          <w:sz w:val="24"/>
          <w:szCs w:val="24"/>
          <w:lang w:val="en-US" w:eastAsia="zh-CN"/>
        </w:rPr>
        <w:t>相位校准的测量不确定度见表7所示。</w:t>
      </w:r>
    </w:p>
    <w:p w14:paraId="7B0AAD1B">
      <w:pPr>
        <w:spacing w:before="156" w:beforeLines="50"/>
        <w:jc w:val="center"/>
        <w:rPr>
          <w:rFonts w:hint="default" w:ascii="Times New Roman" w:hAnsi="Times New Roman" w:eastAsia="黑体" w:cs="Times New Roman"/>
          <w:b/>
          <w:color w:val="000000" w:themeColor="text1"/>
          <w:sz w:val="21"/>
          <w:szCs w:val="21"/>
          <w14:textFill>
            <w14:solidFill>
              <w14:schemeClr w14:val="tx1"/>
            </w14:solidFill>
          </w14:textFill>
        </w:rPr>
      </w:pPr>
      <w:r>
        <w:rPr>
          <w:rFonts w:hint="default" w:ascii="Times New Roman" w:hAnsi="Times New Roman" w:eastAsia="黑体" w:cs="Times New Roman"/>
          <w:color w:val="000000" w:themeColor="text1"/>
          <w:sz w:val="21"/>
          <w:szCs w:val="21"/>
          <w14:textFill>
            <w14:solidFill>
              <w14:schemeClr w14:val="tx1"/>
            </w14:solidFill>
          </w14:textFill>
        </w:rPr>
        <w:t>表</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5</w:t>
      </w:r>
      <w:r>
        <w:rPr>
          <w:rFonts w:hint="default" w:ascii="Times New Roman" w:hAnsi="Times New Roman" w:eastAsia="黑体" w:cs="Times New Roman"/>
          <w:color w:val="000000" w:themeColor="text1"/>
          <w:sz w:val="21"/>
          <w:szCs w:val="21"/>
          <w:lang w:val="en-US" w:eastAsia="zh-CN"/>
          <w14:textFill>
            <w14:solidFill>
              <w14:schemeClr w14:val="tx1"/>
            </w14:solidFill>
          </w14:textFill>
        </w:rPr>
        <w:t xml:space="preserve"> 振动传感器灵敏度幅值和和振动测量仪</w:t>
      </w:r>
      <w:r>
        <w:rPr>
          <w:rFonts w:hint="default" w:ascii="Times New Roman" w:hAnsi="Times New Roman" w:eastAsia="黑体" w:cs="Times New Roman"/>
          <w:color w:val="000000" w:themeColor="text1"/>
          <w:sz w:val="21"/>
          <w:szCs w:val="21"/>
          <w14:textFill>
            <w14:solidFill>
              <w14:schemeClr w14:val="tx1"/>
            </w14:solidFill>
          </w14:textFill>
        </w:rPr>
        <w:t>机器视觉</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校准</w:t>
      </w:r>
      <w:r>
        <w:rPr>
          <w:rFonts w:hint="default" w:ascii="Times New Roman" w:hAnsi="Times New Roman" w:eastAsia="黑体" w:cs="Times New Roman"/>
          <w:color w:val="000000" w:themeColor="text1"/>
          <w:sz w:val="21"/>
          <w:szCs w:val="21"/>
          <w14:textFill>
            <w14:solidFill>
              <w14:schemeClr w14:val="tx1"/>
            </w14:solidFill>
          </w14:textFill>
        </w:rPr>
        <w:t>的</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测量</w:t>
      </w:r>
      <w:r>
        <w:rPr>
          <w:rFonts w:hint="default" w:ascii="Times New Roman" w:hAnsi="Times New Roman" w:eastAsia="黑体" w:cs="Times New Roman"/>
          <w:color w:val="000000" w:themeColor="text1"/>
          <w:sz w:val="21"/>
          <w:szCs w:val="21"/>
          <w14:textFill>
            <w14:solidFill>
              <w14:schemeClr w14:val="tx1"/>
            </w14:solidFill>
          </w14:textFill>
        </w:rPr>
        <w:t>不确定度</w:t>
      </w:r>
    </w:p>
    <w:tbl>
      <w:tblPr>
        <w:tblStyle w:val="17"/>
        <w:tblW w:w="47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
        <w:gridCol w:w="3831"/>
        <w:gridCol w:w="1221"/>
        <w:gridCol w:w="883"/>
        <w:gridCol w:w="676"/>
        <w:gridCol w:w="807"/>
        <w:gridCol w:w="943"/>
      </w:tblGrid>
      <w:tr w14:paraId="6868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3C152124">
            <w:pPr>
              <w:jc w:val="center"/>
              <w:rPr>
                <w:rFonts w:hint="default" w:ascii="Times New Roman" w:hAnsi="Times New Roman" w:eastAsia="黑体" w:cs="Times New Roman"/>
                <w:szCs w:val="21"/>
              </w:rPr>
            </w:pPr>
            <w:r>
              <w:rPr>
                <w:rFonts w:hint="default" w:ascii="Times New Roman" w:hAnsi="Times New Roman" w:eastAsia="黑体" w:cs="Times New Roman"/>
                <w:szCs w:val="21"/>
              </w:rPr>
              <w:t>序号</w:t>
            </w:r>
          </w:p>
        </w:tc>
        <w:tc>
          <w:tcPr>
            <w:tcW w:w="2166" w:type="pct"/>
            <w:vAlign w:val="center"/>
          </w:tcPr>
          <w:p w14:paraId="11A53E65">
            <w:pPr>
              <w:jc w:val="center"/>
              <w:rPr>
                <w:rFonts w:hint="default" w:ascii="Times New Roman" w:hAnsi="Times New Roman" w:eastAsia="黑体" w:cs="Times New Roman"/>
                <w:szCs w:val="21"/>
              </w:rPr>
            </w:pPr>
            <w:r>
              <w:rPr>
                <w:rFonts w:hint="default" w:ascii="Times New Roman" w:hAnsi="Times New Roman" w:eastAsia="黑体" w:cs="Times New Roman"/>
                <w:szCs w:val="21"/>
              </w:rPr>
              <w:t>不确定度源</w:t>
            </w:r>
          </w:p>
        </w:tc>
        <w:tc>
          <w:tcPr>
            <w:tcW w:w="690" w:type="pct"/>
            <w:vAlign w:val="center"/>
          </w:tcPr>
          <w:p w14:paraId="0B5753C7">
            <w:pPr>
              <w:jc w:val="center"/>
              <w:rPr>
                <w:rFonts w:hint="default" w:ascii="Times New Roman" w:hAnsi="Times New Roman" w:eastAsia="黑体" w:cs="Times New Roman"/>
                <w:szCs w:val="21"/>
              </w:rPr>
            </w:pPr>
            <w:r>
              <w:rPr>
                <w:rFonts w:hint="default" w:ascii="Times New Roman" w:hAnsi="Times New Roman" w:eastAsia="黑体" w:cs="Times New Roman"/>
                <w:szCs w:val="21"/>
              </w:rPr>
              <w:t>不确定度</w:t>
            </w:r>
          </w:p>
        </w:tc>
        <w:tc>
          <w:tcPr>
            <w:tcW w:w="499" w:type="pct"/>
            <w:vAlign w:val="center"/>
          </w:tcPr>
          <w:p w14:paraId="3035BDC7">
            <w:pPr>
              <w:jc w:val="center"/>
              <w:rPr>
                <w:rFonts w:hint="default" w:ascii="Times New Roman" w:hAnsi="Times New Roman" w:eastAsia="黑体" w:cs="Times New Roman"/>
                <w:szCs w:val="21"/>
              </w:rPr>
            </w:pPr>
            <w:r>
              <w:rPr>
                <w:rFonts w:hint="default" w:ascii="Times New Roman" w:hAnsi="Times New Roman" w:eastAsia="黑体" w:cs="Times New Roman"/>
                <w:szCs w:val="21"/>
              </w:rPr>
              <w:t>分布</w:t>
            </w:r>
          </w:p>
        </w:tc>
        <w:tc>
          <w:tcPr>
            <w:tcW w:w="382" w:type="pct"/>
            <w:vAlign w:val="center"/>
          </w:tcPr>
          <w:p w14:paraId="18BE55E2">
            <w:pPr>
              <w:jc w:val="center"/>
              <w:rPr>
                <w:rFonts w:hint="default" w:ascii="Times New Roman" w:hAnsi="Times New Roman" w:eastAsia="黑体" w:cs="Times New Roman"/>
                <w:szCs w:val="21"/>
              </w:rPr>
            </w:pPr>
            <w:r>
              <w:rPr>
                <w:rFonts w:hint="default" w:ascii="Times New Roman" w:hAnsi="Times New Roman" w:eastAsia="黑体" w:cs="Times New Roman"/>
                <w:szCs w:val="21"/>
              </w:rPr>
              <w:t>因子</w:t>
            </w:r>
          </w:p>
        </w:tc>
        <w:tc>
          <w:tcPr>
            <w:tcW w:w="456" w:type="pct"/>
            <w:vAlign w:val="center"/>
          </w:tcPr>
          <w:p w14:paraId="58F189BB">
            <w:pPr>
              <w:jc w:val="center"/>
              <w:rPr>
                <w:rFonts w:hint="default" w:ascii="Times New Roman" w:hAnsi="Times New Roman" w:eastAsia="黑体" w:cs="Times New Roman"/>
                <w:szCs w:val="21"/>
              </w:rPr>
            </w:pPr>
            <w:r>
              <w:rPr>
                <w:rFonts w:hint="default" w:ascii="Times New Roman" w:hAnsi="Times New Roman" w:eastAsia="黑体" w:cs="Times New Roman"/>
                <w:szCs w:val="21"/>
              </w:rPr>
              <w:t>灵敏系数</w:t>
            </w:r>
          </w:p>
        </w:tc>
        <w:tc>
          <w:tcPr>
            <w:tcW w:w="530" w:type="pct"/>
            <w:vAlign w:val="center"/>
          </w:tcPr>
          <w:p w14:paraId="453DA17A">
            <w:pPr>
              <w:jc w:val="center"/>
              <w:rPr>
                <w:rFonts w:hint="default" w:ascii="Times New Roman" w:hAnsi="Times New Roman" w:eastAsia="黑体" w:cs="Times New Roman"/>
                <w:szCs w:val="21"/>
              </w:rPr>
            </w:pPr>
            <w:r>
              <w:rPr>
                <w:rFonts w:hint="default" w:ascii="Times New Roman" w:hAnsi="Times New Roman" w:eastAsia="黑体" w:cs="Times New Roman"/>
                <w:szCs w:val="21"/>
              </w:rPr>
              <w:t>相对贡献(%)</w:t>
            </w:r>
          </w:p>
        </w:tc>
      </w:tr>
      <w:tr w14:paraId="5F305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vAlign w:val="center"/>
          </w:tcPr>
          <w:p w14:paraId="0F80E726">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机器视觉振动测量系统引入的测量不确定度分量</w:t>
            </w:r>
          </w:p>
        </w:tc>
      </w:tr>
      <w:tr w14:paraId="39E8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5D0E7A1C">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2166" w:type="pct"/>
            <w:vAlign w:val="center"/>
          </w:tcPr>
          <w:p w14:paraId="0F6F686E">
            <w:pPr>
              <w:jc w:val="center"/>
              <w:rPr>
                <w:rFonts w:hint="eastAsia" w:ascii="Times New Roman" w:hAnsi="Times New Roman" w:eastAsia="仿宋_GB2312" w:cs="Times New Roman"/>
                <w:szCs w:val="21"/>
                <w:lang w:eastAsia="zh-CN"/>
              </w:rPr>
            </w:pPr>
            <w:r>
              <w:rPr>
                <w:rFonts w:hint="default" w:ascii="Times New Roman" w:hAnsi="Times New Roman" w:eastAsia="仿宋_GB2312" w:cs="Times New Roman"/>
                <w:szCs w:val="21"/>
              </w:rPr>
              <w:t>机器视觉振动测量</w:t>
            </w:r>
            <w:r>
              <w:rPr>
                <w:rFonts w:hint="eastAsia" w:ascii="Times New Roman" w:hAnsi="Times New Roman" w:eastAsia="仿宋_GB2312" w:cs="Times New Roman"/>
                <w:szCs w:val="21"/>
                <w:lang w:val="en-US" w:eastAsia="zh-CN"/>
              </w:rPr>
              <w:t>不确定度</w:t>
            </w:r>
          </w:p>
        </w:tc>
        <w:tc>
          <w:tcPr>
            <w:tcW w:w="690" w:type="pct"/>
            <w:tcBorders>
              <w:top w:val="single" w:color="auto" w:sz="4" w:space="0"/>
              <w:bottom w:val="single" w:color="auto" w:sz="4" w:space="0"/>
            </w:tcBorders>
            <w:vAlign w:val="center"/>
          </w:tcPr>
          <w:p w14:paraId="4005F8C9">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w:t>
            </w:r>
            <w:r>
              <w:rPr>
                <w:rFonts w:hint="eastAsia" w:ascii="Times New Roman" w:hAnsi="Times New Roman" w:eastAsia="仿宋_GB2312" w:cs="Times New Roman"/>
                <w:szCs w:val="21"/>
                <w:lang w:val="en-US" w:eastAsia="zh-CN"/>
              </w:rPr>
              <w:t>2</w:t>
            </w:r>
            <w:r>
              <w:rPr>
                <w:rFonts w:hint="default" w:ascii="Times New Roman" w:hAnsi="Times New Roman" w:eastAsia="仿宋_GB2312" w:cs="Times New Roman"/>
                <w:szCs w:val="21"/>
              </w:rPr>
              <w:t>%</w:t>
            </w:r>
          </w:p>
        </w:tc>
        <w:tc>
          <w:tcPr>
            <w:tcW w:w="499" w:type="pct"/>
            <w:vAlign w:val="center"/>
          </w:tcPr>
          <w:p w14:paraId="40261308">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正态</w:t>
            </w:r>
          </w:p>
        </w:tc>
        <w:tc>
          <w:tcPr>
            <w:tcW w:w="382" w:type="pct"/>
            <w:vAlign w:val="center"/>
          </w:tcPr>
          <w:p w14:paraId="0FB4F5D9">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w:t>
            </w:r>
          </w:p>
        </w:tc>
        <w:tc>
          <w:tcPr>
            <w:tcW w:w="456" w:type="pct"/>
            <w:vAlign w:val="center"/>
          </w:tcPr>
          <w:p w14:paraId="2C483470">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530" w:type="pct"/>
            <w:tcBorders>
              <w:top w:val="single" w:color="auto" w:sz="4" w:space="0"/>
              <w:bottom w:val="single" w:color="auto" w:sz="4" w:space="0"/>
            </w:tcBorders>
            <w:vAlign w:val="center"/>
          </w:tcPr>
          <w:p w14:paraId="691085C6">
            <w:pPr>
              <w:jc w:val="center"/>
              <w:rPr>
                <w:rFonts w:hint="eastAsia" w:ascii="Times New Roman" w:hAnsi="Times New Roman" w:eastAsia="仿宋_GB2312" w:cs="Times New Roman"/>
                <w:szCs w:val="21"/>
                <w:lang w:val="en-US" w:eastAsia="zh-CN"/>
              </w:rPr>
            </w:pPr>
            <w:r>
              <w:rPr>
                <w:rFonts w:hint="default" w:ascii="Times New Roman" w:hAnsi="Times New Roman" w:eastAsia="仿宋_GB2312" w:cs="Times New Roman"/>
                <w:szCs w:val="21"/>
              </w:rPr>
              <w:t>0.</w:t>
            </w:r>
            <w:r>
              <w:rPr>
                <w:rFonts w:hint="eastAsia" w:ascii="Times New Roman" w:hAnsi="Times New Roman" w:eastAsia="仿宋_GB2312" w:cs="Times New Roman"/>
                <w:szCs w:val="21"/>
                <w:lang w:val="en-US" w:eastAsia="zh-CN"/>
              </w:rPr>
              <w:t>1</w:t>
            </w:r>
          </w:p>
        </w:tc>
      </w:tr>
      <w:tr w14:paraId="2E25F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0E7F5C47">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2</w:t>
            </w:r>
          </w:p>
        </w:tc>
        <w:tc>
          <w:tcPr>
            <w:tcW w:w="2166" w:type="pct"/>
            <w:shd w:val="clear" w:color="auto" w:fill="auto"/>
            <w:vAlign w:val="center"/>
          </w:tcPr>
          <w:p w14:paraId="220F4B6E">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rPr>
              <w:t>机器视觉振动</w:t>
            </w:r>
            <w:r>
              <w:rPr>
                <w:rFonts w:hint="default" w:ascii="Times New Roman" w:hAnsi="Times New Roman" w:eastAsia="仿宋_GB2312" w:cs="Times New Roman"/>
                <w:szCs w:val="21"/>
                <w:lang w:val="en-US" w:eastAsia="zh-CN"/>
              </w:rPr>
              <w:t>测量分辨力</w:t>
            </w:r>
          </w:p>
        </w:tc>
        <w:tc>
          <w:tcPr>
            <w:tcW w:w="690" w:type="pct"/>
            <w:tcBorders>
              <w:top w:val="single" w:color="auto" w:sz="4" w:space="0"/>
              <w:bottom w:val="single" w:color="auto" w:sz="4" w:space="0"/>
            </w:tcBorders>
            <w:shd w:val="clear" w:color="auto" w:fill="auto"/>
            <w:vAlign w:val="center"/>
          </w:tcPr>
          <w:p w14:paraId="4073DB67">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0.2%</w:t>
            </w:r>
          </w:p>
        </w:tc>
        <w:tc>
          <w:tcPr>
            <w:tcW w:w="499" w:type="pct"/>
            <w:shd w:val="clear" w:color="auto" w:fill="auto"/>
            <w:vAlign w:val="center"/>
          </w:tcPr>
          <w:p w14:paraId="3D2B0326">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rPr>
              <w:t>矩形</w:t>
            </w:r>
          </w:p>
        </w:tc>
        <w:tc>
          <w:tcPr>
            <w:tcW w:w="382" w:type="pct"/>
            <w:shd w:val="clear" w:color="auto" w:fill="auto"/>
            <w:vAlign w:val="center"/>
          </w:tcPr>
          <w:p w14:paraId="4EBE01B7">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rPr>
              <w:t>1.73</w:t>
            </w:r>
          </w:p>
        </w:tc>
        <w:tc>
          <w:tcPr>
            <w:tcW w:w="456" w:type="pct"/>
            <w:shd w:val="clear" w:color="auto" w:fill="auto"/>
            <w:vAlign w:val="center"/>
          </w:tcPr>
          <w:p w14:paraId="5356AFC6">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rPr>
              <w:t>1</w:t>
            </w:r>
          </w:p>
        </w:tc>
        <w:tc>
          <w:tcPr>
            <w:tcW w:w="530" w:type="pct"/>
            <w:tcBorders>
              <w:top w:val="single" w:color="auto" w:sz="4" w:space="0"/>
              <w:bottom w:val="single" w:color="auto" w:sz="4" w:space="0"/>
            </w:tcBorders>
            <w:shd w:val="clear" w:color="auto" w:fill="auto"/>
            <w:vAlign w:val="center"/>
          </w:tcPr>
          <w:p w14:paraId="63D35C10">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rPr>
              <w:t>0.1</w:t>
            </w:r>
            <w:r>
              <w:rPr>
                <w:rFonts w:hint="eastAsia" w:ascii="Times New Roman" w:hAnsi="Times New Roman" w:eastAsia="仿宋_GB2312" w:cs="Times New Roman"/>
                <w:szCs w:val="21"/>
                <w:lang w:val="en-US" w:eastAsia="zh-CN"/>
              </w:rPr>
              <w:t>16</w:t>
            </w:r>
          </w:p>
        </w:tc>
      </w:tr>
      <w:tr w14:paraId="60E33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vAlign w:val="center"/>
          </w:tcPr>
          <w:p w14:paraId="3A18B4F7">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标准振动台与高对比度特征标志引入的测量不确定度分量</w:t>
            </w:r>
          </w:p>
        </w:tc>
      </w:tr>
      <w:tr w14:paraId="13A82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070A0A3A">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3</w:t>
            </w:r>
          </w:p>
        </w:tc>
        <w:tc>
          <w:tcPr>
            <w:tcW w:w="2166" w:type="pct"/>
            <w:vAlign w:val="center"/>
          </w:tcPr>
          <w:p w14:paraId="273706EC">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振动发生装置振动频率的不确定度</w:t>
            </w:r>
          </w:p>
        </w:tc>
        <w:tc>
          <w:tcPr>
            <w:tcW w:w="690" w:type="pct"/>
            <w:vAlign w:val="center"/>
          </w:tcPr>
          <w:p w14:paraId="051159E3">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0.12%</w:t>
            </w:r>
          </w:p>
        </w:tc>
        <w:tc>
          <w:tcPr>
            <w:tcW w:w="499" w:type="pct"/>
            <w:vAlign w:val="center"/>
          </w:tcPr>
          <w:p w14:paraId="05B21E41">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矩形</w:t>
            </w:r>
          </w:p>
        </w:tc>
        <w:tc>
          <w:tcPr>
            <w:tcW w:w="382" w:type="pct"/>
            <w:vAlign w:val="center"/>
          </w:tcPr>
          <w:p w14:paraId="1D3F4D5A">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1.73</w:t>
            </w:r>
          </w:p>
        </w:tc>
        <w:tc>
          <w:tcPr>
            <w:tcW w:w="456" w:type="pct"/>
            <w:vAlign w:val="center"/>
          </w:tcPr>
          <w:p w14:paraId="20872FD8">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530" w:type="pct"/>
            <w:vAlign w:val="center"/>
          </w:tcPr>
          <w:p w14:paraId="7D432325">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0.069</w:t>
            </w:r>
          </w:p>
        </w:tc>
      </w:tr>
      <w:tr w14:paraId="0B87B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35C74BA8">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4</w:t>
            </w:r>
          </w:p>
        </w:tc>
        <w:tc>
          <w:tcPr>
            <w:tcW w:w="2166" w:type="pct"/>
            <w:vAlign w:val="center"/>
          </w:tcPr>
          <w:p w14:paraId="39AE3F34">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振动发生装置横向运动对图像信号测量的影响</w:t>
            </w:r>
          </w:p>
        </w:tc>
        <w:tc>
          <w:tcPr>
            <w:tcW w:w="690" w:type="pct"/>
            <w:vAlign w:val="center"/>
          </w:tcPr>
          <w:p w14:paraId="6CBB7931">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0.15%</w:t>
            </w:r>
          </w:p>
        </w:tc>
        <w:tc>
          <w:tcPr>
            <w:tcW w:w="499" w:type="pct"/>
            <w:vAlign w:val="center"/>
          </w:tcPr>
          <w:p w14:paraId="6F253BB1">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矩形</w:t>
            </w:r>
          </w:p>
        </w:tc>
        <w:tc>
          <w:tcPr>
            <w:tcW w:w="382" w:type="pct"/>
            <w:vAlign w:val="center"/>
          </w:tcPr>
          <w:p w14:paraId="026FEEEA">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1.73</w:t>
            </w:r>
          </w:p>
        </w:tc>
        <w:tc>
          <w:tcPr>
            <w:tcW w:w="456" w:type="pct"/>
            <w:vAlign w:val="center"/>
          </w:tcPr>
          <w:p w14:paraId="1B2D32FE">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530" w:type="pct"/>
            <w:vAlign w:val="center"/>
          </w:tcPr>
          <w:p w14:paraId="300A05A8">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0.087</w:t>
            </w:r>
          </w:p>
        </w:tc>
      </w:tr>
      <w:tr w14:paraId="46795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7197640A">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5</w:t>
            </w:r>
          </w:p>
        </w:tc>
        <w:tc>
          <w:tcPr>
            <w:tcW w:w="2166" w:type="pct"/>
            <w:vAlign w:val="center"/>
          </w:tcPr>
          <w:p w14:paraId="57E5CD77">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棋盘格标定点加工精度的不确定度</w:t>
            </w:r>
          </w:p>
        </w:tc>
        <w:tc>
          <w:tcPr>
            <w:tcW w:w="690" w:type="pct"/>
            <w:vAlign w:val="center"/>
          </w:tcPr>
          <w:p w14:paraId="2608358F">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0.1μm</w:t>
            </w:r>
          </w:p>
        </w:tc>
        <w:tc>
          <w:tcPr>
            <w:tcW w:w="499" w:type="pct"/>
            <w:vAlign w:val="center"/>
          </w:tcPr>
          <w:p w14:paraId="23FB74EF">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矩形</w:t>
            </w:r>
          </w:p>
        </w:tc>
        <w:tc>
          <w:tcPr>
            <w:tcW w:w="382" w:type="pct"/>
            <w:vAlign w:val="center"/>
          </w:tcPr>
          <w:p w14:paraId="00C1C155">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1.73</w:t>
            </w:r>
          </w:p>
        </w:tc>
        <w:tc>
          <w:tcPr>
            <w:tcW w:w="456" w:type="pct"/>
            <w:vAlign w:val="center"/>
          </w:tcPr>
          <w:p w14:paraId="24227874">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530" w:type="pct"/>
            <w:vAlign w:val="center"/>
          </w:tcPr>
          <w:p w14:paraId="5973B1D0">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0.001</w:t>
            </w:r>
          </w:p>
        </w:tc>
      </w:tr>
      <w:tr w14:paraId="7686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38D7E9EB">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6</w:t>
            </w:r>
          </w:p>
        </w:tc>
        <w:tc>
          <w:tcPr>
            <w:tcW w:w="2166" w:type="pct"/>
            <w:vAlign w:val="center"/>
          </w:tcPr>
          <w:p w14:paraId="4E35A952">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特征标志加工精度的不确定度</w:t>
            </w:r>
          </w:p>
        </w:tc>
        <w:tc>
          <w:tcPr>
            <w:tcW w:w="690" w:type="pct"/>
            <w:vAlign w:val="center"/>
          </w:tcPr>
          <w:p w14:paraId="7BAD9D88">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0.1μm</w:t>
            </w:r>
          </w:p>
        </w:tc>
        <w:tc>
          <w:tcPr>
            <w:tcW w:w="499" w:type="pct"/>
            <w:vAlign w:val="center"/>
          </w:tcPr>
          <w:p w14:paraId="4E815614">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矩形</w:t>
            </w:r>
          </w:p>
        </w:tc>
        <w:tc>
          <w:tcPr>
            <w:tcW w:w="382" w:type="pct"/>
            <w:vAlign w:val="center"/>
          </w:tcPr>
          <w:p w14:paraId="52D017DA">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1.73</w:t>
            </w:r>
          </w:p>
        </w:tc>
        <w:tc>
          <w:tcPr>
            <w:tcW w:w="456" w:type="pct"/>
            <w:vAlign w:val="center"/>
          </w:tcPr>
          <w:p w14:paraId="142FF731">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530" w:type="pct"/>
            <w:vAlign w:val="center"/>
          </w:tcPr>
          <w:p w14:paraId="0F2AC2FC">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0.001</w:t>
            </w:r>
          </w:p>
        </w:tc>
      </w:tr>
      <w:tr w14:paraId="5655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30AB726F">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7</w:t>
            </w:r>
          </w:p>
        </w:tc>
        <w:tc>
          <w:tcPr>
            <w:tcW w:w="2166" w:type="pct"/>
            <w:vAlign w:val="center"/>
          </w:tcPr>
          <w:p w14:paraId="3C51CA24">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标志上矩形长边边缘直线度的影响</w:t>
            </w:r>
          </w:p>
        </w:tc>
        <w:tc>
          <w:tcPr>
            <w:tcW w:w="690" w:type="pct"/>
            <w:vAlign w:val="center"/>
          </w:tcPr>
          <w:p w14:paraId="28C49B4D">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0.02%</w:t>
            </w:r>
          </w:p>
        </w:tc>
        <w:tc>
          <w:tcPr>
            <w:tcW w:w="499" w:type="pct"/>
            <w:vAlign w:val="center"/>
          </w:tcPr>
          <w:p w14:paraId="198692BF">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矩形</w:t>
            </w:r>
          </w:p>
        </w:tc>
        <w:tc>
          <w:tcPr>
            <w:tcW w:w="382" w:type="pct"/>
            <w:vAlign w:val="center"/>
          </w:tcPr>
          <w:p w14:paraId="5AB85E96">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1.73</w:t>
            </w:r>
          </w:p>
        </w:tc>
        <w:tc>
          <w:tcPr>
            <w:tcW w:w="456" w:type="pct"/>
            <w:vAlign w:val="center"/>
          </w:tcPr>
          <w:p w14:paraId="6E1178FB">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530" w:type="pct"/>
            <w:vAlign w:val="center"/>
          </w:tcPr>
          <w:p w14:paraId="2F5B22E1">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0.012</w:t>
            </w:r>
          </w:p>
        </w:tc>
      </w:tr>
      <w:tr w14:paraId="50E12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vAlign w:val="center"/>
          </w:tcPr>
          <w:p w14:paraId="64BFEEB0">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电压测量仪器引入的</w:t>
            </w:r>
            <w:r>
              <w:rPr>
                <w:rFonts w:hint="default" w:ascii="Times New Roman" w:hAnsi="Times New Roman" w:eastAsia="仿宋_GB2312" w:cs="Times New Roman"/>
                <w:szCs w:val="21"/>
              </w:rPr>
              <w:t>测量不确定度分量</w:t>
            </w:r>
          </w:p>
        </w:tc>
      </w:tr>
      <w:tr w14:paraId="01E42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69264F2E">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8</w:t>
            </w:r>
          </w:p>
        </w:tc>
        <w:tc>
          <w:tcPr>
            <w:tcW w:w="2166" w:type="pct"/>
            <w:vAlign w:val="center"/>
          </w:tcPr>
          <w:p w14:paraId="03F3F2CE">
            <w:pPr>
              <w:jc w:val="center"/>
              <w:rPr>
                <w:rFonts w:hint="default" w:ascii="Times New Roman" w:hAnsi="Times New Roman" w:eastAsia="仿宋_GB2312" w:cs="Times New Roman"/>
                <w:szCs w:val="21"/>
                <w:lang w:val="en-US"/>
              </w:rPr>
            </w:pPr>
            <w:r>
              <w:rPr>
                <w:rFonts w:hint="eastAsia" w:ascii="Times New Roman" w:hAnsi="Times New Roman" w:eastAsia="仿宋_GB2312" w:cs="Times New Roman"/>
                <w:szCs w:val="21"/>
                <w:lang w:val="en-US" w:eastAsia="zh-CN"/>
              </w:rPr>
              <w:t>电压测量误差</w:t>
            </w:r>
          </w:p>
        </w:tc>
        <w:tc>
          <w:tcPr>
            <w:tcW w:w="690" w:type="pct"/>
            <w:vAlign w:val="center"/>
          </w:tcPr>
          <w:p w14:paraId="7BF8A960">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0.2%</w:t>
            </w:r>
          </w:p>
        </w:tc>
        <w:tc>
          <w:tcPr>
            <w:tcW w:w="499" w:type="pct"/>
            <w:shd w:val="clear" w:color="auto" w:fill="auto"/>
            <w:vAlign w:val="center"/>
          </w:tcPr>
          <w:p w14:paraId="7EEEA034">
            <w:pPr>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Cs w:val="21"/>
              </w:rPr>
              <w:t>矩形</w:t>
            </w:r>
          </w:p>
        </w:tc>
        <w:tc>
          <w:tcPr>
            <w:tcW w:w="382" w:type="pct"/>
            <w:shd w:val="clear" w:color="auto" w:fill="auto"/>
            <w:vAlign w:val="center"/>
          </w:tcPr>
          <w:p w14:paraId="761925A4">
            <w:pPr>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Cs w:val="21"/>
              </w:rPr>
              <w:t>1.73</w:t>
            </w:r>
          </w:p>
        </w:tc>
        <w:tc>
          <w:tcPr>
            <w:tcW w:w="456" w:type="pct"/>
            <w:shd w:val="clear" w:color="auto" w:fill="auto"/>
            <w:vAlign w:val="center"/>
          </w:tcPr>
          <w:p w14:paraId="358FD40E">
            <w:pPr>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Cs w:val="21"/>
              </w:rPr>
              <w:t>1</w:t>
            </w:r>
          </w:p>
        </w:tc>
        <w:tc>
          <w:tcPr>
            <w:tcW w:w="530" w:type="pct"/>
            <w:vAlign w:val="center"/>
          </w:tcPr>
          <w:p w14:paraId="19D5529D">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0.116</w:t>
            </w:r>
          </w:p>
        </w:tc>
      </w:tr>
      <w:tr w14:paraId="65CF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vAlign w:val="center"/>
          </w:tcPr>
          <w:p w14:paraId="09811327">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振动传感器引入的</w:t>
            </w:r>
            <w:r>
              <w:rPr>
                <w:rFonts w:hint="default" w:ascii="Times New Roman" w:hAnsi="Times New Roman" w:eastAsia="仿宋_GB2312" w:cs="Times New Roman"/>
                <w:szCs w:val="21"/>
              </w:rPr>
              <w:t>测量不确定度分量</w:t>
            </w:r>
          </w:p>
        </w:tc>
      </w:tr>
      <w:tr w14:paraId="48945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49CFB190">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9</w:t>
            </w:r>
          </w:p>
        </w:tc>
        <w:tc>
          <w:tcPr>
            <w:tcW w:w="2166" w:type="pct"/>
            <w:vAlign w:val="center"/>
          </w:tcPr>
          <w:p w14:paraId="15C5EC8F">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横向灵敏度引入的测量不确定度</w:t>
            </w:r>
          </w:p>
        </w:tc>
        <w:tc>
          <w:tcPr>
            <w:tcW w:w="690" w:type="pct"/>
            <w:vAlign w:val="center"/>
          </w:tcPr>
          <w:p w14:paraId="43F2E4E8">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0.1%</w:t>
            </w:r>
          </w:p>
        </w:tc>
        <w:tc>
          <w:tcPr>
            <w:tcW w:w="499" w:type="pct"/>
            <w:shd w:val="clear" w:color="auto" w:fill="auto"/>
            <w:vAlign w:val="center"/>
          </w:tcPr>
          <w:p w14:paraId="627C8A62">
            <w:pPr>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Cs w:val="21"/>
              </w:rPr>
              <w:t>矩形</w:t>
            </w:r>
          </w:p>
        </w:tc>
        <w:tc>
          <w:tcPr>
            <w:tcW w:w="382" w:type="pct"/>
            <w:shd w:val="clear" w:color="auto" w:fill="auto"/>
            <w:vAlign w:val="center"/>
          </w:tcPr>
          <w:p w14:paraId="1E58D91F">
            <w:pPr>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Cs w:val="21"/>
              </w:rPr>
              <w:t>1.73</w:t>
            </w:r>
          </w:p>
        </w:tc>
        <w:tc>
          <w:tcPr>
            <w:tcW w:w="456" w:type="pct"/>
            <w:shd w:val="clear" w:color="auto" w:fill="auto"/>
            <w:vAlign w:val="center"/>
          </w:tcPr>
          <w:p w14:paraId="7703D15E">
            <w:pPr>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Cs w:val="21"/>
              </w:rPr>
              <w:t>1</w:t>
            </w:r>
          </w:p>
        </w:tc>
        <w:tc>
          <w:tcPr>
            <w:tcW w:w="530" w:type="pct"/>
            <w:vAlign w:val="center"/>
          </w:tcPr>
          <w:p w14:paraId="2EE8F8E2">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0.0578</w:t>
            </w:r>
          </w:p>
        </w:tc>
      </w:tr>
      <w:tr w14:paraId="7AA23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vAlign w:val="center"/>
          </w:tcPr>
          <w:p w14:paraId="38C8639C">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重复性引入的测量不确定度分量</w:t>
            </w:r>
          </w:p>
        </w:tc>
      </w:tr>
      <w:tr w14:paraId="63CAF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3CF5ED61">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10</w:t>
            </w:r>
          </w:p>
        </w:tc>
        <w:tc>
          <w:tcPr>
            <w:tcW w:w="2166" w:type="pct"/>
            <w:vAlign w:val="center"/>
          </w:tcPr>
          <w:p w14:paraId="41A087C4">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重复性</w:t>
            </w:r>
          </w:p>
        </w:tc>
        <w:tc>
          <w:tcPr>
            <w:tcW w:w="690" w:type="pct"/>
            <w:vAlign w:val="center"/>
          </w:tcPr>
          <w:p w14:paraId="468548C3">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0.09</w:t>
            </w:r>
          </w:p>
        </w:tc>
        <w:tc>
          <w:tcPr>
            <w:tcW w:w="499" w:type="pct"/>
            <w:vAlign w:val="center"/>
          </w:tcPr>
          <w:p w14:paraId="02454386">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正态</w:t>
            </w:r>
          </w:p>
        </w:tc>
        <w:tc>
          <w:tcPr>
            <w:tcW w:w="382" w:type="pct"/>
            <w:vAlign w:val="center"/>
          </w:tcPr>
          <w:p w14:paraId="363C27A0">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w:t>
            </w:r>
          </w:p>
        </w:tc>
        <w:tc>
          <w:tcPr>
            <w:tcW w:w="456" w:type="pct"/>
            <w:vAlign w:val="center"/>
          </w:tcPr>
          <w:p w14:paraId="3CC8E498">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530" w:type="pct"/>
            <w:shd w:val="clear" w:color="auto" w:fill="auto"/>
            <w:vAlign w:val="center"/>
          </w:tcPr>
          <w:p w14:paraId="01F65FEF">
            <w:pPr>
              <w:jc w:val="center"/>
              <w:rPr>
                <w:rFonts w:hint="default" w:ascii="Times New Roman" w:hAnsi="Times New Roman" w:eastAsia="仿宋_GB2312" w:cs="Times New Roman"/>
                <w:kern w:val="2"/>
                <w:sz w:val="21"/>
                <w:szCs w:val="21"/>
                <w:lang w:val="en-US" w:eastAsia="zh-CN" w:bidi="ar-SA"/>
                <w14:ligatures w14:val="none"/>
              </w:rPr>
            </w:pPr>
            <w:r>
              <w:rPr>
                <w:rFonts w:hint="default" w:ascii="Times New Roman" w:hAnsi="Times New Roman" w:eastAsia="仿宋_GB2312" w:cs="Times New Roman"/>
                <w:color w:val="000000"/>
                <w:szCs w:val="21"/>
              </w:rPr>
              <w:t>0.045</w:t>
            </w:r>
          </w:p>
        </w:tc>
      </w:tr>
      <w:tr w14:paraId="11D77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79A696A1">
            <w:pPr>
              <w:jc w:val="center"/>
              <w:rPr>
                <w:rFonts w:hint="default" w:ascii="Times New Roman" w:hAnsi="Times New Roman" w:eastAsia="仿宋_GB2312" w:cs="Times New Roman"/>
                <w:szCs w:val="21"/>
              </w:rPr>
            </w:pPr>
          </w:p>
        </w:tc>
        <w:tc>
          <w:tcPr>
            <w:tcW w:w="2166" w:type="pct"/>
          </w:tcPr>
          <w:p w14:paraId="06ED8D9C">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合成测量不确定度</w:t>
            </w:r>
          </w:p>
        </w:tc>
        <w:tc>
          <w:tcPr>
            <w:tcW w:w="690" w:type="pct"/>
            <w:vAlign w:val="center"/>
          </w:tcPr>
          <w:p w14:paraId="625E5B88">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w:t>
            </w:r>
          </w:p>
        </w:tc>
        <w:tc>
          <w:tcPr>
            <w:tcW w:w="499" w:type="pct"/>
            <w:vAlign w:val="center"/>
          </w:tcPr>
          <w:p w14:paraId="58EA63A5">
            <w:pPr>
              <w:jc w:val="center"/>
              <w:rPr>
                <w:rFonts w:hint="default" w:ascii="Times New Roman" w:hAnsi="Times New Roman" w:eastAsia="仿宋_GB2312" w:cs="Times New Roman"/>
                <w:i/>
                <w:iCs/>
                <w:szCs w:val="21"/>
              </w:rPr>
            </w:pPr>
            <w:r>
              <w:rPr>
                <w:rFonts w:hint="default" w:ascii="Times New Roman" w:hAnsi="Times New Roman" w:eastAsia="仿宋_GB2312" w:cs="Times New Roman"/>
                <w:i/>
                <w:iCs/>
                <w:szCs w:val="21"/>
              </w:rPr>
              <w:t>k</w:t>
            </w:r>
            <w:r>
              <w:rPr>
                <w:rFonts w:hint="default" w:ascii="Times New Roman" w:hAnsi="Times New Roman" w:eastAsia="仿宋_GB2312" w:cs="Times New Roman"/>
                <w:szCs w:val="21"/>
              </w:rPr>
              <w:t xml:space="preserve"> = 1</w:t>
            </w:r>
          </w:p>
        </w:tc>
        <w:tc>
          <w:tcPr>
            <w:tcW w:w="382" w:type="pct"/>
            <w:vAlign w:val="center"/>
          </w:tcPr>
          <w:p w14:paraId="32FD98B8">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456" w:type="pct"/>
            <w:vAlign w:val="center"/>
          </w:tcPr>
          <w:p w14:paraId="45D89446">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w:t>
            </w:r>
          </w:p>
        </w:tc>
        <w:tc>
          <w:tcPr>
            <w:tcW w:w="530" w:type="pct"/>
            <w:vAlign w:val="center"/>
          </w:tcPr>
          <w:p w14:paraId="20BD1B92">
            <w:pPr>
              <w:widowControl/>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color w:val="000000"/>
                <w:szCs w:val="21"/>
              </w:rPr>
              <w:t>0.</w:t>
            </w:r>
            <w:r>
              <w:rPr>
                <w:rFonts w:hint="eastAsia" w:ascii="Times New Roman" w:hAnsi="Times New Roman" w:eastAsia="仿宋_GB2312" w:cs="Times New Roman"/>
                <w:color w:val="000000"/>
                <w:szCs w:val="21"/>
                <w:lang w:val="en-US" w:eastAsia="zh-CN"/>
              </w:rPr>
              <w:t>234</w:t>
            </w:r>
          </w:p>
        </w:tc>
      </w:tr>
      <w:tr w14:paraId="7107E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19D92108">
            <w:pPr>
              <w:jc w:val="center"/>
              <w:rPr>
                <w:rFonts w:hint="default" w:ascii="Times New Roman" w:hAnsi="Times New Roman" w:eastAsia="仿宋_GB2312" w:cs="Times New Roman"/>
                <w:szCs w:val="21"/>
              </w:rPr>
            </w:pPr>
          </w:p>
        </w:tc>
        <w:tc>
          <w:tcPr>
            <w:tcW w:w="2166" w:type="pct"/>
          </w:tcPr>
          <w:p w14:paraId="39D4EB7A">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扩展测量不确定度</w:t>
            </w:r>
          </w:p>
        </w:tc>
        <w:tc>
          <w:tcPr>
            <w:tcW w:w="690" w:type="pct"/>
            <w:vAlign w:val="center"/>
          </w:tcPr>
          <w:p w14:paraId="385A6A4F">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w:t>
            </w:r>
          </w:p>
        </w:tc>
        <w:tc>
          <w:tcPr>
            <w:tcW w:w="499" w:type="pct"/>
            <w:vAlign w:val="center"/>
          </w:tcPr>
          <w:p w14:paraId="7FAD1B02">
            <w:pPr>
              <w:jc w:val="center"/>
              <w:rPr>
                <w:rFonts w:hint="default" w:ascii="Times New Roman" w:hAnsi="Times New Roman" w:eastAsia="仿宋_GB2312" w:cs="Times New Roman"/>
                <w:i/>
                <w:iCs/>
                <w:szCs w:val="21"/>
              </w:rPr>
            </w:pPr>
            <w:r>
              <w:rPr>
                <w:rFonts w:hint="default" w:ascii="Times New Roman" w:hAnsi="Times New Roman" w:eastAsia="仿宋_GB2312" w:cs="Times New Roman"/>
                <w:i/>
                <w:iCs/>
                <w:szCs w:val="21"/>
              </w:rPr>
              <w:t>k</w:t>
            </w:r>
            <w:r>
              <w:rPr>
                <w:rFonts w:hint="default" w:ascii="Times New Roman" w:hAnsi="Times New Roman" w:eastAsia="仿宋_GB2312" w:cs="Times New Roman"/>
                <w:szCs w:val="21"/>
              </w:rPr>
              <w:t xml:space="preserve"> = 2</w:t>
            </w:r>
          </w:p>
        </w:tc>
        <w:tc>
          <w:tcPr>
            <w:tcW w:w="382" w:type="pct"/>
            <w:vAlign w:val="center"/>
          </w:tcPr>
          <w:p w14:paraId="2EF2126A">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w:t>
            </w:r>
          </w:p>
        </w:tc>
        <w:tc>
          <w:tcPr>
            <w:tcW w:w="456" w:type="pct"/>
            <w:vAlign w:val="center"/>
          </w:tcPr>
          <w:p w14:paraId="17B93B8F">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w:t>
            </w:r>
          </w:p>
        </w:tc>
        <w:tc>
          <w:tcPr>
            <w:tcW w:w="530" w:type="pct"/>
            <w:vAlign w:val="center"/>
          </w:tcPr>
          <w:p w14:paraId="382EA8A1">
            <w:pPr>
              <w:widowControl/>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color w:val="000000"/>
                <w:szCs w:val="21"/>
              </w:rPr>
              <w:t>0.</w:t>
            </w:r>
            <w:r>
              <w:rPr>
                <w:rFonts w:hint="eastAsia" w:ascii="Times New Roman" w:hAnsi="Times New Roman" w:eastAsia="仿宋_GB2312" w:cs="Times New Roman"/>
                <w:color w:val="000000"/>
                <w:szCs w:val="21"/>
                <w:lang w:val="en-US" w:eastAsia="zh-CN"/>
              </w:rPr>
              <w:t>468</w:t>
            </w:r>
          </w:p>
        </w:tc>
      </w:tr>
    </w:tbl>
    <w:p w14:paraId="6C94AF32">
      <w:pPr>
        <w:spacing w:line="360" w:lineRule="auto"/>
        <w:ind w:firstLine="480" w:firstLineChars="200"/>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在</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0.1~20</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Hz</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频率范围内，</w:t>
      </w:r>
      <w:r>
        <w:rPr>
          <w:rFonts w:hint="default" w:ascii="Times New Roman" w:hAnsi="Times New Roman" w:eastAsia="宋体" w:cs="Times New Roman"/>
          <w:color w:val="000000" w:themeColor="text1"/>
          <w:sz w:val="24"/>
          <w:szCs w:val="24"/>
          <w14:textFill>
            <w14:solidFill>
              <w14:schemeClr w14:val="tx1"/>
            </w14:solidFill>
          </w14:textFill>
        </w:rPr>
        <w:t>振动传感器灵敏度幅值机器视觉校准的相对扩展不确定度为：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0.</w:t>
      </w:r>
      <w:r>
        <w:rPr>
          <w:rFonts w:hint="eastAsia" w:cs="Times New Roman"/>
          <w:color w:val="000000" w:themeColor="text1"/>
          <w:sz w:val="24"/>
          <w:szCs w:val="24"/>
          <w:lang w:val="en-US" w:eastAsia="zh-CN"/>
          <w14:textFill>
            <w14:solidFill>
              <w14:schemeClr w14:val="tx1"/>
            </w14:solidFill>
          </w14:textFill>
        </w:rPr>
        <w:t>47</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i/>
          <w:color w:val="000000" w:themeColor="text1"/>
          <w:sz w:val="24"/>
          <w:szCs w:val="24"/>
          <w14:textFill>
            <w14:solidFill>
              <w14:schemeClr w14:val="tx1"/>
            </w14:solidFill>
          </w14:textFill>
        </w:rPr>
        <w:t>k</w:t>
      </w:r>
      <w:r>
        <w:rPr>
          <w:rFonts w:hint="default" w:ascii="Times New Roman" w:hAnsi="Times New Roman" w:eastAsia="宋体" w:cs="Times New Roman"/>
          <w:color w:val="000000" w:themeColor="text1"/>
          <w:sz w:val="24"/>
          <w:szCs w:val="24"/>
          <w14:textFill>
            <w14:solidFill>
              <w14:schemeClr w14:val="tx1"/>
            </w14:solidFill>
          </w14:textFill>
        </w:rPr>
        <w:t>=2）</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考虑到存在其他没有分析到的影响因素，将振动传感器灵敏度幅值机器视觉校准的相对扩展不确定度放大为：</w:t>
      </w:r>
      <w:r>
        <w:rPr>
          <w:rFonts w:hint="eastAsia" w:cs="Times New Roman"/>
          <w:color w:val="000000" w:themeColor="text1"/>
          <w:sz w:val="24"/>
          <w:szCs w:val="24"/>
          <w:lang w:val="en-US" w:eastAsia="zh-CN"/>
          <w14:textFill>
            <w14:solidFill>
              <w14:schemeClr w14:val="tx1"/>
            </w14:solidFill>
          </w14:textFill>
        </w:rPr>
        <w:t>0.5</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i/>
          <w:color w:val="000000" w:themeColor="text1"/>
          <w:sz w:val="24"/>
          <w:szCs w:val="24"/>
          <w14:textFill>
            <w14:solidFill>
              <w14:schemeClr w14:val="tx1"/>
            </w14:solidFill>
          </w14:textFill>
        </w:rPr>
        <w:t>k</w:t>
      </w:r>
      <w:r>
        <w:rPr>
          <w:rFonts w:hint="default" w:ascii="Times New Roman" w:hAnsi="Times New Roman" w:eastAsia="宋体" w:cs="Times New Roman"/>
          <w:color w:val="000000" w:themeColor="text1"/>
          <w:sz w:val="24"/>
          <w:szCs w:val="24"/>
          <w14:textFill>
            <w14:solidFill>
              <w14:schemeClr w14:val="tx1"/>
            </w14:solidFill>
          </w14:textFill>
        </w:rPr>
        <w:t>=2）。</w:t>
      </w:r>
    </w:p>
    <w:p w14:paraId="3AC3BF82">
      <w:pPr>
        <w:spacing w:before="156" w:beforeLines="50"/>
        <w:jc w:val="center"/>
        <w:rPr>
          <w:rFonts w:hint="default" w:ascii="Times New Roman" w:hAnsi="Times New Roman" w:eastAsia="黑体" w:cs="Times New Roman"/>
          <w:b/>
          <w:color w:val="000000" w:themeColor="text1"/>
          <w:sz w:val="21"/>
          <w:szCs w:val="21"/>
          <w14:textFill>
            <w14:solidFill>
              <w14:schemeClr w14:val="tx1"/>
            </w14:solidFill>
          </w14:textFill>
        </w:rPr>
      </w:pPr>
      <w:r>
        <w:rPr>
          <w:rFonts w:hint="default" w:ascii="Times New Roman" w:hAnsi="Times New Roman" w:eastAsia="黑体" w:cs="Times New Roman"/>
          <w:color w:val="000000" w:themeColor="text1"/>
          <w:sz w:val="21"/>
          <w:szCs w:val="21"/>
          <w14:textFill>
            <w14:solidFill>
              <w14:schemeClr w14:val="tx1"/>
            </w14:solidFill>
          </w14:textFill>
        </w:rPr>
        <w:t>表</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6</w:t>
      </w:r>
      <w:bookmarkStart w:id="0" w:name="_GoBack"/>
      <w:bookmarkEnd w:id="0"/>
      <w:r>
        <w:rPr>
          <w:rFonts w:hint="default" w:ascii="Times New Roman" w:hAnsi="Times New Roman" w:eastAsia="黑体" w:cs="Times New Roman"/>
          <w:color w:val="000000" w:themeColor="text1"/>
          <w:sz w:val="21"/>
          <w:szCs w:val="21"/>
          <w:lang w:val="en-US" w:eastAsia="zh-CN"/>
          <w14:textFill>
            <w14:solidFill>
              <w14:schemeClr w14:val="tx1"/>
            </w14:solidFill>
          </w14:textFill>
        </w:rPr>
        <w:t xml:space="preserve"> 振动传感器灵敏度</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相位</w:t>
      </w:r>
      <w:r>
        <w:rPr>
          <w:rFonts w:hint="default" w:ascii="Times New Roman" w:hAnsi="Times New Roman" w:eastAsia="黑体" w:cs="Times New Roman"/>
          <w:color w:val="000000" w:themeColor="text1"/>
          <w:sz w:val="21"/>
          <w:szCs w:val="21"/>
          <w14:textFill>
            <w14:solidFill>
              <w14:schemeClr w14:val="tx1"/>
            </w14:solidFill>
          </w14:textFill>
        </w:rPr>
        <w:t>机器视觉</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校准</w:t>
      </w:r>
      <w:r>
        <w:rPr>
          <w:rFonts w:hint="default" w:ascii="Times New Roman" w:hAnsi="Times New Roman" w:eastAsia="黑体" w:cs="Times New Roman"/>
          <w:color w:val="000000" w:themeColor="text1"/>
          <w:sz w:val="21"/>
          <w:szCs w:val="21"/>
          <w14:textFill>
            <w14:solidFill>
              <w14:schemeClr w14:val="tx1"/>
            </w14:solidFill>
          </w14:textFill>
        </w:rPr>
        <w:t>的</w:t>
      </w:r>
      <w:r>
        <w:rPr>
          <w:rFonts w:hint="eastAsia" w:ascii="Times New Roman" w:hAnsi="Times New Roman" w:eastAsia="黑体" w:cs="Times New Roman"/>
          <w:color w:val="000000" w:themeColor="text1"/>
          <w:sz w:val="21"/>
          <w:szCs w:val="21"/>
          <w:lang w:val="en-US" w:eastAsia="zh-CN"/>
          <w14:textFill>
            <w14:solidFill>
              <w14:schemeClr w14:val="tx1"/>
            </w14:solidFill>
          </w14:textFill>
        </w:rPr>
        <w:t>测量</w:t>
      </w:r>
      <w:r>
        <w:rPr>
          <w:rFonts w:hint="default" w:ascii="Times New Roman" w:hAnsi="Times New Roman" w:eastAsia="黑体" w:cs="Times New Roman"/>
          <w:color w:val="000000" w:themeColor="text1"/>
          <w:sz w:val="21"/>
          <w:szCs w:val="21"/>
          <w14:textFill>
            <w14:solidFill>
              <w14:schemeClr w14:val="tx1"/>
            </w14:solidFill>
          </w14:textFill>
        </w:rPr>
        <w:t>不确定度</w:t>
      </w:r>
    </w:p>
    <w:tbl>
      <w:tblPr>
        <w:tblStyle w:val="17"/>
        <w:tblW w:w="47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
        <w:gridCol w:w="3831"/>
        <w:gridCol w:w="1221"/>
        <w:gridCol w:w="883"/>
        <w:gridCol w:w="676"/>
        <w:gridCol w:w="807"/>
        <w:gridCol w:w="943"/>
      </w:tblGrid>
      <w:tr w14:paraId="3A102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365CFDE8">
            <w:pPr>
              <w:jc w:val="center"/>
              <w:rPr>
                <w:rFonts w:hint="default" w:ascii="Times New Roman" w:hAnsi="Times New Roman" w:eastAsia="黑体" w:cs="Times New Roman"/>
                <w:szCs w:val="21"/>
              </w:rPr>
            </w:pPr>
            <w:r>
              <w:rPr>
                <w:rFonts w:hint="default" w:ascii="Times New Roman" w:hAnsi="Times New Roman" w:eastAsia="黑体" w:cs="Times New Roman"/>
                <w:szCs w:val="21"/>
              </w:rPr>
              <w:t>序号</w:t>
            </w:r>
          </w:p>
        </w:tc>
        <w:tc>
          <w:tcPr>
            <w:tcW w:w="2166" w:type="pct"/>
            <w:vAlign w:val="center"/>
          </w:tcPr>
          <w:p w14:paraId="5C0B1629">
            <w:pPr>
              <w:jc w:val="center"/>
              <w:rPr>
                <w:rFonts w:hint="default" w:ascii="Times New Roman" w:hAnsi="Times New Roman" w:eastAsia="黑体" w:cs="Times New Roman"/>
                <w:szCs w:val="21"/>
              </w:rPr>
            </w:pPr>
            <w:r>
              <w:rPr>
                <w:rFonts w:hint="default" w:ascii="Times New Roman" w:hAnsi="Times New Roman" w:eastAsia="黑体" w:cs="Times New Roman"/>
                <w:szCs w:val="21"/>
              </w:rPr>
              <w:t>不确定度源</w:t>
            </w:r>
          </w:p>
        </w:tc>
        <w:tc>
          <w:tcPr>
            <w:tcW w:w="690" w:type="pct"/>
            <w:vAlign w:val="center"/>
          </w:tcPr>
          <w:p w14:paraId="663E4B58">
            <w:pPr>
              <w:jc w:val="center"/>
              <w:rPr>
                <w:rFonts w:hint="default" w:ascii="Times New Roman" w:hAnsi="Times New Roman" w:eastAsia="黑体" w:cs="Times New Roman"/>
                <w:szCs w:val="21"/>
              </w:rPr>
            </w:pPr>
            <w:r>
              <w:rPr>
                <w:rFonts w:hint="default" w:ascii="Times New Roman" w:hAnsi="Times New Roman" w:eastAsia="黑体" w:cs="Times New Roman"/>
                <w:szCs w:val="21"/>
              </w:rPr>
              <w:t>不确定度</w:t>
            </w:r>
          </w:p>
        </w:tc>
        <w:tc>
          <w:tcPr>
            <w:tcW w:w="499" w:type="pct"/>
            <w:vAlign w:val="center"/>
          </w:tcPr>
          <w:p w14:paraId="66958AA7">
            <w:pPr>
              <w:jc w:val="center"/>
              <w:rPr>
                <w:rFonts w:hint="default" w:ascii="Times New Roman" w:hAnsi="Times New Roman" w:eastAsia="黑体" w:cs="Times New Roman"/>
                <w:szCs w:val="21"/>
              </w:rPr>
            </w:pPr>
            <w:r>
              <w:rPr>
                <w:rFonts w:hint="default" w:ascii="Times New Roman" w:hAnsi="Times New Roman" w:eastAsia="黑体" w:cs="Times New Roman"/>
                <w:szCs w:val="21"/>
              </w:rPr>
              <w:t>分布</w:t>
            </w:r>
          </w:p>
        </w:tc>
        <w:tc>
          <w:tcPr>
            <w:tcW w:w="382" w:type="pct"/>
            <w:vAlign w:val="center"/>
          </w:tcPr>
          <w:p w14:paraId="1392E6CC">
            <w:pPr>
              <w:jc w:val="center"/>
              <w:rPr>
                <w:rFonts w:hint="default" w:ascii="Times New Roman" w:hAnsi="Times New Roman" w:eastAsia="黑体" w:cs="Times New Roman"/>
                <w:szCs w:val="21"/>
              </w:rPr>
            </w:pPr>
            <w:r>
              <w:rPr>
                <w:rFonts w:hint="default" w:ascii="Times New Roman" w:hAnsi="Times New Roman" w:eastAsia="黑体" w:cs="Times New Roman"/>
                <w:szCs w:val="21"/>
              </w:rPr>
              <w:t>因子</w:t>
            </w:r>
          </w:p>
        </w:tc>
        <w:tc>
          <w:tcPr>
            <w:tcW w:w="456" w:type="pct"/>
            <w:vAlign w:val="center"/>
          </w:tcPr>
          <w:p w14:paraId="14F57EB5">
            <w:pPr>
              <w:jc w:val="center"/>
              <w:rPr>
                <w:rFonts w:hint="default" w:ascii="Times New Roman" w:hAnsi="Times New Roman" w:eastAsia="黑体" w:cs="Times New Roman"/>
                <w:szCs w:val="21"/>
              </w:rPr>
            </w:pPr>
            <w:r>
              <w:rPr>
                <w:rFonts w:hint="default" w:ascii="Times New Roman" w:hAnsi="Times New Roman" w:eastAsia="黑体" w:cs="Times New Roman"/>
                <w:szCs w:val="21"/>
              </w:rPr>
              <w:t>灵敏系数</w:t>
            </w:r>
          </w:p>
        </w:tc>
        <w:tc>
          <w:tcPr>
            <w:tcW w:w="530" w:type="pct"/>
            <w:vAlign w:val="center"/>
          </w:tcPr>
          <w:p w14:paraId="6896EB3E">
            <w:pPr>
              <w:jc w:val="center"/>
              <w:rPr>
                <w:rFonts w:hint="default" w:ascii="Times New Roman" w:hAnsi="Times New Roman" w:eastAsia="黑体" w:cs="Times New Roman"/>
                <w:szCs w:val="21"/>
              </w:rPr>
            </w:pPr>
            <w:r>
              <w:rPr>
                <w:rFonts w:hint="default" w:ascii="Times New Roman" w:hAnsi="Times New Roman" w:eastAsia="黑体" w:cs="Times New Roman"/>
                <w:szCs w:val="21"/>
              </w:rPr>
              <w:t>相对贡献(%)</w:t>
            </w:r>
          </w:p>
        </w:tc>
      </w:tr>
      <w:tr w14:paraId="563C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vAlign w:val="center"/>
          </w:tcPr>
          <w:p w14:paraId="088463DC">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机器视觉振动测量系统引入的测量不确定度分量</w:t>
            </w:r>
          </w:p>
        </w:tc>
      </w:tr>
      <w:tr w14:paraId="70660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6F0BFDA0">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2166" w:type="pct"/>
            <w:vAlign w:val="center"/>
          </w:tcPr>
          <w:p w14:paraId="4BA68349">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机器视觉振动测量</w:t>
            </w:r>
            <w:r>
              <w:rPr>
                <w:rFonts w:hint="eastAsia" w:ascii="Times New Roman" w:hAnsi="Times New Roman" w:eastAsia="仿宋_GB2312" w:cs="Times New Roman"/>
                <w:szCs w:val="21"/>
                <w:lang w:val="en-US" w:eastAsia="zh-CN"/>
              </w:rPr>
              <w:t>不确定</w:t>
            </w:r>
          </w:p>
        </w:tc>
        <w:tc>
          <w:tcPr>
            <w:tcW w:w="690" w:type="pct"/>
            <w:tcBorders>
              <w:top w:val="single" w:color="auto" w:sz="4" w:space="0"/>
              <w:bottom w:val="single" w:color="auto" w:sz="4" w:space="0"/>
            </w:tcBorders>
            <w:vAlign w:val="center"/>
          </w:tcPr>
          <w:p w14:paraId="0654250D">
            <w:pPr>
              <w:jc w:val="center"/>
              <w:rPr>
                <w:rFonts w:hint="eastAsia" w:ascii="Times New Roman" w:hAnsi="Times New Roman" w:eastAsia="仿宋_GB2312" w:cs="Times New Roman"/>
                <w:szCs w:val="21"/>
                <w:lang w:eastAsia="zh-CN"/>
              </w:rPr>
            </w:pPr>
            <w:r>
              <w:rPr>
                <w:rFonts w:hint="default" w:ascii="Times New Roman" w:hAnsi="Times New Roman" w:eastAsia="仿宋_GB2312" w:cs="Times New Roman"/>
                <w:szCs w:val="21"/>
              </w:rPr>
              <w:t>0.</w:t>
            </w:r>
            <w:r>
              <w:rPr>
                <w:rFonts w:hint="eastAsia" w:ascii="Times New Roman" w:hAnsi="Times New Roman" w:eastAsia="仿宋_GB2312" w:cs="Times New Roman"/>
                <w:szCs w:val="21"/>
                <w:lang w:val="en-US" w:eastAsia="zh-CN"/>
              </w:rPr>
              <w:t>2°</w:t>
            </w:r>
          </w:p>
        </w:tc>
        <w:tc>
          <w:tcPr>
            <w:tcW w:w="499" w:type="pct"/>
            <w:vAlign w:val="center"/>
          </w:tcPr>
          <w:p w14:paraId="1F122F64">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正态</w:t>
            </w:r>
          </w:p>
        </w:tc>
        <w:tc>
          <w:tcPr>
            <w:tcW w:w="382" w:type="pct"/>
            <w:vAlign w:val="center"/>
          </w:tcPr>
          <w:p w14:paraId="6B2904B7">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w:t>
            </w:r>
          </w:p>
        </w:tc>
        <w:tc>
          <w:tcPr>
            <w:tcW w:w="456" w:type="pct"/>
            <w:vAlign w:val="center"/>
          </w:tcPr>
          <w:p w14:paraId="4FFCB3CB">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530" w:type="pct"/>
            <w:tcBorders>
              <w:top w:val="single" w:color="auto" w:sz="4" w:space="0"/>
              <w:bottom w:val="single" w:color="auto" w:sz="4" w:space="0"/>
            </w:tcBorders>
            <w:vAlign w:val="center"/>
          </w:tcPr>
          <w:p w14:paraId="432636A0">
            <w:pPr>
              <w:jc w:val="center"/>
              <w:rPr>
                <w:rFonts w:hint="eastAsia" w:ascii="Times New Roman" w:hAnsi="Times New Roman" w:eastAsia="仿宋_GB2312" w:cs="Times New Roman"/>
                <w:szCs w:val="21"/>
                <w:lang w:val="en-US" w:eastAsia="zh-CN"/>
              </w:rPr>
            </w:pPr>
            <w:r>
              <w:rPr>
                <w:rFonts w:hint="default" w:ascii="Times New Roman" w:hAnsi="Times New Roman" w:eastAsia="仿宋_GB2312" w:cs="Times New Roman"/>
                <w:szCs w:val="21"/>
              </w:rPr>
              <w:t>0.</w:t>
            </w:r>
            <w:r>
              <w:rPr>
                <w:rFonts w:hint="eastAsia" w:ascii="Times New Roman" w:hAnsi="Times New Roman" w:eastAsia="仿宋_GB2312" w:cs="Times New Roman"/>
                <w:szCs w:val="21"/>
                <w:lang w:val="en-US" w:eastAsia="zh-CN"/>
              </w:rPr>
              <w:t>1</w:t>
            </w:r>
          </w:p>
        </w:tc>
      </w:tr>
      <w:tr w14:paraId="12693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4CBC7A24">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2</w:t>
            </w:r>
          </w:p>
        </w:tc>
        <w:tc>
          <w:tcPr>
            <w:tcW w:w="2166" w:type="pct"/>
            <w:shd w:val="clear" w:color="auto" w:fill="auto"/>
            <w:vAlign w:val="center"/>
          </w:tcPr>
          <w:p w14:paraId="6E49DB3A">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rPr>
              <w:t>机器视觉振动</w:t>
            </w:r>
            <w:r>
              <w:rPr>
                <w:rFonts w:hint="default" w:ascii="Times New Roman" w:hAnsi="Times New Roman" w:eastAsia="仿宋_GB2312" w:cs="Times New Roman"/>
                <w:szCs w:val="21"/>
                <w:lang w:val="en-US" w:eastAsia="zh-CN"/>
              </w:rPr>
              <w:t>测量分辨力</w:t>
            </w:r>
          </w:p>
        </w:tc>
        <w:tc>
          <w:tcPr>
            <w:tcW w:w="690" w:type="pct"/>
            <w:tcBorders>
              <w:top w:val="single" w:color="auto" w:sz="4" w:space="0"/>
              <w:bottom w:val="single" w:color="auto" w:sz="4" w:space="0"/>
            </w:tcBorders>
            <w:shd w:val="clear" w:color="auto" w:fill="auto"/>
            <w:vAlign w:val="center"/>
          </w:tcPr>
          <w:p w14:paraId="1D39EEC7">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0.2°</w:t>
            </w:r>
          </w:p>
        </w:tc>
        <w:tc>
          <w:tcPr>
            <w:tcW w:w="499" w:type="pct"/>
            <w:shd w:val="clear" w:color="auto" w:fill="auto"/>
            <w:vAlign w:val="center"/>
          </w:tcPr>
          <w:p w14:paraId="25975CA8">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rPr>
              <w:t>矩形</w:t>
            </w:r>
          </w:p>
        </w:tc>
        <w:tc>
          <w:tcPr>
            <w:tcW w:w="382" w:type="pct"/>
            <w:shd w:val="clear" w:color="auto" w:fill="auto"/>
            <w:vAlign w:val="center"/>
          </w:tcPr>
          <w:p w14:paraId="119AE42C">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rPr>
              <w:t>1.73</w:t>
            </w:r>
          </w:p>
        </w:tc>
        <w:tc>
          <w:tcPr>
            <w:tcW w:w="456" w:type="pct"/>
            <w:shd w:val="clear" w:color="auto" w:fill="auto"/>
            <w:vAlign w:val="center"/>
          </w:tcPr>
          <w:p w14:paraId="12CC57DC">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rPr>
              <w:t>1</w:t>
            </w:r>
          </w:p>
        </w:tc>
        <w:tc>
          <w:tcPr>
            <w:tcW w:w="530" w:type="pct"/>
            <w:tcBorders>
              <w:top w:val="single" w:color="auto" w:sz="4" w:space="0"/>
              <w:bottom w:val="single" w:color="auto" w:sz="4" w:space="0"/>
            </w:tcBorders>
            <w:shd w:val="clear" w:color="auto" w:fill="auto"/>
            <w:vAlign w:val="center"/>
          </w:tcPr>
          <w:p w14:paraId="4979F821">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rPr>
              <w:t>0.1</w:t>
            </w:r>
            <w:r>
              <w:rPr>
                <w:rFonts w:hint="eastAsia" w:ascii="Times New Roman" w:hAnsi="Times New Roman" w:eastAsia="仿宋_GB2312" w:cs="Times New Roman"/>
                <w:szCs w:val="21"/>
                <w:lang w:val="en-US" w:eastAsia="zh-CN"/>
              </w:rPr>
              <w:t>16</w:t>
            </w:r>
          </w:p>
        </w:tc>
      </w:tr>
      <w:tr w14:paraId="27B3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vAlign w:val="center"/>
          </w:tcPr>
          <w:p w14:paraId="104FBD7A">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标准振动台与高对比度特征标志引入的测量不确定度分量</w:t>
            </w:r>
          </w:p>
        </w:tc>
      </w:tr>
      <w:tr w14:paraId="61836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580529D4">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3</w:t>
            </w:r>
          </w:p>
        </w:tc>
        <w:tc>
          <w:tcPr>
            <w:tcW w:w="2166" w:type="pct"/>
            <w:vAlign w:val="center"/>
          </w:tcPr>
          <w:p w14:paraId="6B97FAEF">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振动发生装置振动频率的不确定度</w:t>
            </w:r>
          </w:p>
        </w:tc>
        <w:tc>
          <w:tcPr>
            <w:tcW w:w="690" w:type="pct"/>
            <w:vAlign w:val="center"/>
          </w:tcPr>
          <w:p w14:paraId="5D6F111E">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0.12</w:t>
            </w:r>
            <w:r>
              <w:rPr>
                <w:rFonts w:hint="eastAsia" w:ascii="Times New Roman" w:hAnsi="Times New Roman" w:eastAsia="仿宋_GB2312" w:cs="Times New Roman"/>
                <w:szCs w:val="21"/>
                <w:lang w:val="en-US" w:eastAsia="zh-CN"/>
              </w:rPr>
              <w:t>°</w:t>
            </w:r>
          </w:p>
        </w:tc>
        <w:tc>
          <w:tcPr>
            <w:tcW w:w="499" w:type="pct"/>
            <w:vAlign w:val="center"/>
          </w:tcPr>
          <w:p w14:paraId="5DA43366">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矩形</w:t>
            </w:r>
          </w:p>
        </w:tc>
        <w:tc>
          <w:tcPr>
            <w:tcW w:w="382" w:type="pct"/>
            <w:vAlign w:val="center"/>
          </w:tcPr>
          <w:p w14:paraId="1ECC1CB4">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1.73</w:t>
            </w:r>
          </w:p>
        </w:tc>
        <w:tc>
          <w:tcPr>
            <w:tcW w:w="456" w:type="pct"/>
            <w:vAlign w:val="center"/>
          </w:tcPr>
          <w:p w14:paraId="56A2BB94">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530" w:type="pct"/>
            <w:vAlign w:val="center"/>
          </w:tcPr>
          <w:p w14:paraId="475DBFEE">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0.069</w:t>
            </w:r>
          </w:p>
        </w:tc>
      </w:tr>
      <w:tr w14:paraId="22AC1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59AB8C74">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4</w:t>
            </w:r>
          </w:p>
        </w:tc>
        <w:tc>
          <w:tcPr>
            <w:tcW w:w="2166" w:type="pct"/>
            <w:vAlign w:val="center"/>
          </w:tcPr>
          <w:p w14:paraId="5BA95247">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振动发生装置横向运动对图像信号测量的影响</w:t>
            </w:r>
          </w:p>
        </w:tc>
        <w:tc>
          <w:tcPr>
            <w:tcW w:w="690" w:type="pct"/>
            <w:vAlign w:val="center"/>
          </w:tcPr>
          <w:p w14:paraId="38D99790">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0.15</w:t>
            </w:r>
            <w:r>
              <w:rPr>
                <w:rFonts w:hint="eastAsia" w:ascii="Times New Roman" w:hAnsi="Times New Roman" w:eastAsia="仿宋_GB2312" w:cs="Times New Roman"/>
                <w:szCs w:val="21"/>
                <w:lang w:val="en-US" w:eastAsia="zh-CN"/>
              </w:rPr>
              <w:t>°</w:t>
            </w:r>
          </w:p>
        </w:tc>
        <w:tc>
          <w:tcPr>
            <w:tcW w:w="499" w:type="pct"/>
            <w:vAlign w:val="center"/>
          </w:tcPr>
          <w:p w14:paraId="66ED24B3">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矩形</w:t>
            </w:r>
          </w:p>
        </w:tc>
        <w:tc>
          <w:tcPr>
            <w:tcW w:w="382" w:type="pct"/>
            <w:vAlign w:val="center"/>
          </w:tcPr>
          <w:p w14:paraId="2416684E">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1.73</w:t>
            </w:r>
          </w:p>
        </w:tc>
        <w:tc>
          <w:tcPr>
            <w:tcW w:w="456" w:type="pct"/>
            <w:vAlign w:val="center"/>
          </w:tcPr>
          <w:p w14:paraId="1CF226FD">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530" w:type="pct"/>
            <w:vAlign w:val="center"/>
          </w:tcPr>
          <w:p w14:paraId="3E6F0B78">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0.087</w:t>
            </w:r>
          </w:p>
        </w:tc>
      </w:tr>
      <w:tr w14:paraId="5569C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52EE60DA">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5</w:t>
            </w:r>
          </w:p>
        </w:tc>
        <w:tc>
          <w:tcPr>
            <w:tcW w:w="2166" w:type="pct"/>
            <w:vAlign w:val="center"/>
          </w:tcPr>
          <w:p w14:paraId="73917196">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棋盘格标定点加工精度的不确定度</w:t>
            </w:r>
          </w:p>
        </w:tc>
        <w:tc>
          <w:tcPr>
            <w:tcW w:w="690" w:type="pct"/>
            <w:vAlign w:val="center"/>
          </w:tcPr>
          <w:p w14:paraId="56C96632">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0.1μm</w:t>
            </w:r>
          </w:p>
        </w:tc>
        <w:tc>
          <w:tcPr>
            <w:tcW w:w="499" w:type="pct"/>
            <w:vAlign w:val="center"/>
          </w:tcPr>
          <w:p w14:paraId="061D86CC">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矩形</w:t>
            </w:r>
          </w:p>
        </w:tc>
        <w:tc>
          <w:tcPr>
            <w:tcW w:w="382" w:type="pct"/>
            <w:vAlign w:val="center"/>
          </w:tcPr>
          <w:p w14:paraId="0F1E34A7">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1.73</w:t>
            </w:r>
          </w:p>
        </w:tc>
        <w:tc>
          <w:tcPr>
            <w:tcW w:w="456" w:type="pct"/>
            <w:vAlign w:val="center"/>
          </w:tcPr>
          <w:p w14:paraId="1C023D45">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530" w:type="pct"/>
            <w:vAlign w:val="center"/>
          </w:tcPr>
          <w:p w14:paraId="0952CDBC">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0.001</w:t>
            </w:r>
          </w:p>
        </w:tc>
      </w:tr>
      <w:tr w14:paraId="578D8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206A8310">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6</w:t>
            </w:r>
          </w:p>
        </w:tc>
        <w:tc>
          <w:tcPr>
            <w:tcW w:w="2166" w:type="pct"/>
            <w:vAlign w:val="center"/>
          </w:tcPr>
          <w:p w14:paraId="7FED799B">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特征标志加工精度的不确定度</w:t>
            </w:r>
          </w:p>
        </w:tc>
        <w:tc>
          <w:tcPr>
            <w:tcW w:w="690" w:type="pct"/>
            <w:vAlign w:val="center"/>
          </w:tcPr>
          <w:p w14:paraId="3AE5B0F7">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0.1μm</w:t>
            </w:r>
          </w:p>
        </w:tc>
        <w:tc>
          <w:tcPr>
            <w:tcW w:w="499" w:type="pct"/>
            <w:vAlign w:val="center"/>
          </w:tcPr>
          <w:p w14:paraId="0AC831B5">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矩形</w:t>
            </w:r>
          </w:p>
        </w:tc>
        <w:tc>
          <w:tcPr>
            <w:tcW w:w="382" w:type="pct"/>
            <w:vAlign w:val="center"/>
          </w:tcPr>
          <w:p w14:paraId="6A16D561">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1.73</w:t>
            </w:r>
          </w:p>
        </w:tc>
        <w:tc>
          <w:tcPr>
            <w:tcW w:w="456" w:type="pct"/>
            <w:vAlign w:val="center"/>
          </w:tcPr>
          <w:p w14:paraId="69BB360C">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530" w:type="pct"/>
            <w:vAlign w:val="center"/>
          </w:tcPr>
          <w:p w14:paraId="140E2DD3">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0.001</w:t>
            </w:r>
          </w:p>
        </w:tc>
      </w:tr>
      <w:tr w14:paraId="4B2B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77FAE0C4">
            <w:pPr>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szCs w:val="21"/>
                <w:lang w:val="en-US" w:eastAsia="zh-CN"/>
              </w:rPr>
              <w:t>7</w:t>
            </w:r>
          </w:p>
        </w:tc>
        <w:tc>
          <w:tcPr>
            <w:tcW w:w="2166" w:type="pct"/>
            <w:vAlign w:val="center"/>
          </w:tcPr>
          <w:p w14:paraId="4BBAEA91">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标志上矩形长边边缘直线度的影响</w:t>
            </w:r>
          </w:p>
        </w:tc>
        <w:tc>
          <w:tcPr>
            <w:tcW w:w="690" w:type="pct"/>
            <w:vAlign w:val="center"/>
          </w:tcPr>
          <w:p w14:paraId="6DD60230">
            <w:pPr>
              <w:jc w:val="center"/>
              <w:rPr>
                <w:rFonts w:hint="eastAsia" w:ascii="Times New Roman" w:hAnsi="Times New Roman" w:eastAsia="仿宋_GB2312" w:cs="Times New Roman"/>
                <w:szCs w:val="21"/>
                <w:lang w:eastAsia="zh-CN"/>
              </w:rPr>
            </w:pPr>
            <w:r>
              <w:rPr>
                <w:rFonts w:hint="default" w:ascii="Times New Roman" w:hAnsi="Times New Roman" w:eastAsia="仿宋_GB2312" w:cs="Times New Roman"/>
                <w:szCs w:val="21"/>
              </w:rPr>
              <w:t>0.02</w:t>
            </w:r>
            <w:r>
              <w:rPr>
                <w:rFonts w:hint="eastAsia" w:ascii="Times New Roman" w:hAnsi="Times New Roman" w:eastAsia="仿宋_GB2312" w:cs="Times New Roman"/>
                <w:szCs w:val="21"/>
                <w:lang w:val="en-US" w:eastAsia="zh-CN"/>
              </w:rPr>
              <w:t>°</w:t>
            </w:r>
          </w:p>
        </w:tc>
        <w:tc>
          <w:tcPr>
            <w:tcW w:w="499" w:type="pct"/>
            <w:vAlign w:val="center"/>
          </w:tcPr>
          <w:p w14:paraId="43DD91F0">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矩形</w:t>
            </w:r>
          </w:p>
        </w:tc>
        <w:tc>
          <w:tcPr>
            <w:tcW w:w="382" w:type="pct"/>
            <w:vAlign w:val="center"/>
          </w:tcPr>
          <w:p w14:paraId="2F04EB0E">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1.73</w:t>
            </w:r>
          </w:p>
        </w:tc>
        <w:tc>
          <w:tcPr>
            <w:tcW w:w="456" w:type="pct"/>
            <w:vAlign w:val="center"/>
          </w:tcPr>
          <w:p w14:paraId="54673786">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530" w:type="pct"/>
            <w:vAlign w:val="center"/>
          </w:tcPr>
          <w:p w14:paraId="720BBEDD">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0.012</w:t>
            </w:r>
          </w:p>
        </w:tc>
      </w:tr>
      <w:tr w14:paraId="2C916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vAlign w:val="center"/>
          </w:tcPr>
          <w:p w14:paraId="5BAF824C">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电压测量仪器引入的</w:t>
            </w:r>
            <w:r>
              <w:rPr>
                <w:rFonts w:hint="default" w:ascii="Times New Roman" w:hAnsi="Times New Roman" w:eastAsia="仿宋_GB2312" w:cs="Times New Roman"/>
                <w:szCs w:val="21"/>
              </w:rPr>
              <w:t>测量不确定度分量</w:t>
            </w:r>
          </w:p>
        </w:tc>
      </w:tr>
      <w:tr w14:paraId="407F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1F489B21">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8</w:t>
            </w:r>
          </w:p>
        </w:tc>
        <w:tc>
          <w:tcPr>
            <w:tcW w:w="2166" w:type="pct"/>
            <w:vAlign w:val="center"/>
          </w:tcPr>
          <w:p w14:paraId="67F73D14">
            <w:pPr>
              <w:jc w:val="center"/>
              <w:rPr>
                <w:rFonts w:hint="default" w:ascii="Times New Roman" w:hAnsi="Times New Roman" w:eastAsia="仿宋_GB2312" w:cs="Times New Roman"/>
                <w:szCs w:val="21"/>
                <w:lang w:val="en-US"/>
              </w:rPr>
            </w:pPr>
            <w:r>
              <w:rPr>
                <w:rFonts w:hint="eastAsia" w:ascii="Times New Roman" w:hAnsi="Times New Roman" w:eastAsia="仿宋_GB2312" w:cs="Times New Roman"/>
                <w:szCs w:val="21"/>
                <w:lang w:val="en-US" w:eastAsia="zh-CN"/>
              </w:rPr>
              <w:t>电压测量误差</w:t>
            </w:r>
          </w:p>
        </w:tc>
        <w:tc>
          <w:tcPr>
            <w:tcW w:w="690" w:type="pct"/>
            <w:vAlign w:val="center"/>
          </w:tcPr>
          <w:p w14:paraId="428CF82F">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0.2%</w:t>
            </w:r>
          </w:p>
        </w:tc>
        <w:tc>
          <w:tcPr>
            <w:tcW w:w="499" w:type="pct"/>
            <w:shd w:val="clear" w:color="auto" w:fill="auto"/>
            <w:vAlign w:val="center"/>
          </w:tcPr>
          <w:p w14:paraId="4632F053">
            <w:pPr>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Cs w:val="21"/>
              </w:rPr>
              <w:t>矩形</w:t>
            </w:r>
          </w:p>
        </w:tc>
        <w:tc>
          <w:tcPr>
            <w:tcW w:w="382" w:type="pct"/>
            <w:shd w:val="clear" w:color="auto" w:fill="auto"/>
            <w:vAlign w:val="center"/>
          </w:tcPr>
          <w:p w14:paraId="30577505">
            <w:pPr>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Cs w:val="21"/>
              </w:rPr>
              <w:t>1.73</w:t>
            </w:r>
          </w:p>
        </w:tc>
        <w:tc>
          <w:tcPr>
            <w:tcW w:w="456" w:type="pct"/>
            <w:shd w:val="clear" w:color="auto" w:fill="auto"/>
            <w:vAlign w:val="center"/>
          </w:tcPr>
          <w:p w14:paraId="0A53655D">
            <w:pPr>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Cs w:val="21"/>
              </w:rPr>
              <w:t>1</w:t>
            </w:r>
          </w:p>
        </w:tc>
        <w:tc>
          <w:tcPr>
            <w:tcW w:w="530" w:type="pct"/>
            <w:vAlign w:val="center"/>
          </w:tcPr>
          <w:p w14:paraId="474AA46C">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0.116</w:t>
            </w:r>
          </w:p>
        </w:tc>
      </w:tr>
      <w:tr w14:paraId="7EC78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vAlign w:val="center"/>
          </w:tcPr>
          <w:p w14:paraId="3856E9F1">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振动传感器引入的</w:t>
            </w:r>
            <w:r>
              <w:rPr>
                <w:rFonts w:hint="default" w:ascii="Times New Roman" w:hAnsi="Times New Roman" w:eastAsia="仿宋_GB2312" w:cs="Times New Roman"/>
                <w:szCs w:val="21"/>
              </w:rPr>
              <w:t>测量不确定度分量</w:t>
            </w:r>
          </w:p>
        </w:tc>
      </w:tr>
      <w:tr w14:paraId="3EC0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377D0F24">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9</w:t>
            </w:r>
          </w:p>
        </w:tc>
        <w:tc>
          <w:tcPr>
            <w:tcW w:w="2166" w:type="pct"/>
            <w:vAlign w:val="center"/>
          </w:tcPr>
          <w:p w14:paraId="266DBBDD">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横向灵敏度引入的测量不确定度</w:t>
            </w:r>
          </w:p>
        </w:tc>
        <w:tc>
          <w:tcPr>
            <w:tcW w:w="690" w:type="pct"/>
            <w:vAlign w:val="center"/>
          </w:tcPr>
          <w:p w14:paraId="7CEFA927">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0.1°</w:t>
            </w:r>
          </w:p>
        </w:tc>
        <w:tc>
          <w:tcPr>
            <w:tcW w:w="499" w:type="pct"/>
            <w:shd w:val="clear" w:color="auto" w:fill="auto"/>
            <w:vAlign w:val="center"/>
          </w:tcPr>
          <w:p w14:paraId="4CC24E11">
            <w:pPr>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Cs w:val="21"/>
              </w:rPr>
              <w:t>矩形</w:t>
            </w:r>
          </w:p>
        </w:tc>
        <w:tc>
          <w:tcPr>
            <w:tcW w:w="382" w:type="pct"/>
            <w:shd w:val="clear" w:color="auto" w:fill="auto"/>
            <w:vAlign w:val="center"/>
          </w:tcPr>
          <w:p w14:paraId="7E0F4E44">
            <w:pPr>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Cs w:val="21"/>
              </w:rPr>
              <w:t>1.73</w:t>
            </w:r>
          </w:p>
        </w:tc>
        <w:tc>
          <w:tcPr>
            <w:tcW w:w="456" w:type="pct"/>
            <w:shd w:val="clear" w:color="auto" w:fill="auto"/>
            <w:vAlign w:val="center"/>
          </w:tcPr>
          <w:p w14:paraId="175833EB">
            <w:pPr>
              <w:jc w:val="center"/>
              <w:rPr>
                <w:rFonts w:hint="default"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szCs w:val="21"/>
              </w:rPr>
              <w:t>1</w:t>
            </w:r>
          </w:p>
        </w:tc>
        <w:tc>
          <w:tcPr>
            <w:tcW w:w="530" w:type="pct"/>
            <w:vAlign w:val="center"/>
          </w:tcPr>
          <w:p w14:paraId="4A8622E1">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0.0578</w:t>
            </w:r>
          </w:p>
        </w:tc>
      </w:tr>
      <w:tr w14:paraId="3DA4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7"/>
            <w:vAlign w:val="center"/>
          </w:tcPr>
          <w:p w14:paraId="6069E6CA">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重复性引入的测量不确定度分量</w:t>
            </w:r>
          </w:p>
        </w:tc>
      </w:tr>
      <w:tr w14:paraId="6A095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1DF2D04E">
            <w:pPr>
              <w:jc w:val="center"/>
              <w:rPr>
                <w:rFonts w:hint="default" w:ascii="Times New Roman" w:hAnsi="Times New Roman" w:eastAsia="仿宋_GB2312" w:cs="Times New Roman"/>
                <w:szCs w:val="21"/>
                <w:lang w:val="en-US" w:eastAsia="zh-CN"/>
              </w:rPr>
            </w:pPr>
            <w:r>
              <w:rPr>
                <w:rFonts w:hint="eastAsia" w:ascii="Times New Roman" w:hAnsi="Times New Roman" w:eastAsia="仿宋_GB2312" w:cs="Times New Roman"/>
                <w:szCs w:val="21"/>
                <w:lang w:val="en-US" w:eastAsia="zh-CN"/>
              </w:rPr>
              <w:t>10</w:t>
            </w:r>
          </w:p>
        </w:tc>
        <w:tc>
          <w:tcPr>
            <w:tcW w:w="2166" w:type="pct"/>
            <w:vAlign w:val="center"/>
          </w:tcPr>
          <w:p w14:paraId="3B1B0F8B">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重复性</w:t>
            </w:r>
          </w:p>
        </w:tc>
        <w:tc>
          <w:tcPr>
            <w:tcW w:w="690" w:type="pct"/>
            <w:vAlign w:val="center"/>
          </w:tcPr>
          <w:p w14:paraId="5896F270">
            <w:pPr>
              <w:jc w:val="center"/>
              <w:rPr>
                <w:rFonts w:hint="eastAsia" w:ascii="Times New Roman" w:hAnsi="Times New Roman" w:eastAsia="仿宋_GB2312" w:cs="Times New Roman"/>
                <w:szCs w:val="21"/>
                <w:lang w:eastAsia="zh-CN"/>
              </w:rPr>
            </w:pPr>
            <w:r>
              <w:rPr>
                <w:rFonts w:hint="default" w:ascii="Times New Roman" w:hAnsi="Times New Roman" w:eastAsia="仿宋_GB2312" w:cs="Times New Roman"/>
                <w:szCs w:val="21"/>
              </w:rPr>
              <w:t>0.0</w:t>
            </w:r>
            <w:r>
              <w:rPr>
                <w:rFonts w:hint="eastAsia" w:ascii="Times New Roman" w:hAnsi="Times New Roman" w:eastAsia="仿宋_GB2312" w:cs="Times New Roman"/>
                <w:szCs w:val="21"/>
                <w:lang w:val="en-US" w:eastAsia="zh-CN"/>
              </w:rPr>
              <w:t>6</w:t>
            </w:r>
          </w:p>
        </w:tc>
        <w:tc>
          <w:tcPr>
            <w:tcW w:w="499" w:type="pct"/>
            <w:vAlign w:val="center"/>
          </w:tcPr>
          <w:p w14:paraId="420AC9AB">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正态</w:t>
            </w:r>
          </w:p>
        </w:tc>
        <w:tc>
          <w:tcPr>
            <w:tcW w:w="382" w:type="pct"/>
            <w:vAlign w:val="center"/>
          </w:tcPr>
          <w:p w14:paraId="139B7F5F">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w:t>
            </w:r>
          </w:p>
        </w:tc>
        <w:tc>
          <w:tcPr>
            <w:tcW w:w="456" w:type="pct"/>
            <w:vAlign w:val="center"/>
          </w:tcPr>
          <w:p w14:paraId="16B5255F">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530" w:type="pct"/>
            <w:shd w:val="clear" w:color="auto" w:fill="auto"/>
            <w:vAlign w:val="center"/>
          </w:tcPr>
          <w:p w14:paraId="0BB7DDA3">
            <w:pPr>
              <w:jc w:val="center"/>
              <w:rPr>
                <w:rFonts w:hint="eastAsia" w:ascii="Times New Roman" w:hAnsi="Times New Roman" w:eastAsia="仿宋_GB2312" w:cs="Times New Roman"/>
                <w:kern w:val="2"/>
                <w:sz w:val="21"/>
                <w:szCs w:val="21"/>
                <w:lang w:val="en-US" w:eastAsia="zh-CN" w:bidi="ar-SA"/>
                <w14:ligatures w14:val="none"/>
              </w:rPr>
            </w:pPr>
            <w:r>
              <w:rPr>
                <w:rFonts w:hint="default" w:ascii="Times New Roman" w:hAnsi="Times New Roman" w:eastAsia="仿宋_GB2312" w:cs="Times New Roman"/>
                <w:color w:val="000000"/>
                <w:szCs w:val="21"/>
              </w:rPr>
              <w:t>0.0</w:t>
            </w:r>
            <w:r>
              <w:rPr>
                <w:rFonts w:hint="eastAsia" w:ascii="Times New Roman" w:hAnsi="Times New Roman" w:eastAsia="仿宋_GB2312" w:cs="Times New Roman"/>
                <w:color w:val="000000"/>
                <w:szCs w:val="21"/>
                <w:lang w:val="en-US" w:eastAsia="zh-CN"/>
              </w:rPr>
              <w:t>3</w:t>
            </w:r>
          </w:p>
        </w:tc>
      </w:tr>
      <w:tr w14:paraId="54D14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714DF926">
            <w:pPr>
              <w:jc w:val="center"/>
              <w:rPr>
                <w:rFonts w:hint="default" w:ascii="Times New Roman" w:hAnsi="Times New Roman" w:eastAsia="仿宋_GB2312" w:cs="Times New Roman"/>
                <w:szCs w:val="21"/>
              </w:rPr>
            </w:pPr>
          </w:p>
        </w:tc>
        <w:tc>
          <w:tcPr>
            <w:tcW w:w="2166" w:type="pct"/>
          </w:tcPr>
          <w:p w14:paraId="1822B433">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合成测量不确定度</w:t>
            </w:r>
          </w:p>
        </w:tc>
        <w:tc>
          <w:tcPr>
            <w:tcW w:w="690" w:type="pct"/>
            <w:vAlign w:val="center"/>
          </w:tcPr>
          <w:p w14:paraId="250A5E4A">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w:t>
            </w:r>
          </w:p>
        </w:tc>
        <w:tc>
          <w:tcPr>
            <w:tcW w:w="499" w:type="pct"/>
            <w:vAlign w:val="center"/>
          </w:tcPr>
          <w:p w14:paraId="4AAE02F4">
            <w:pPr>
              <w:jc w:val="center"/>
              <w:rPr>
                <w:rFonts w:hint="default" w:ascii="Times New Roman" w:hAnsi="Times New Roman" w:eastAsia="仿宋_GB2312" w:cs="Times New Roman"/>
                <w:i/>
                <w:iCs/>
                <w:szCs w:val="21"/>
              </w:rPr>
            </w:pPr>
            <w:r>
              <w:rPr>
                <w:rFonts w:hint="default" w:ascii="Times New Roman" w:hAnsi="Times New Roman" w:eastAsia="仿宋_GB2312" w:cs="Times New Roman"/>
                <w:i/>
                <w:iCs/>
                <w:szCs w:val="21"/>
              </w:rPr>
              <w:t>k</w:t>
            </w:r>
            <w:r>
              <w:rPr>
                <w:rFonts w:hint="default" w:ascii="Times New Roman" w:hAnsi="Times New Roman" w:eastAsia="仿宋_GB2312" w:cs="Times New Roman"/>
                <w:szCs w:val="21"/>
              </w:rPr>
              <w:t xml:space="preserve"> = 1</w:t>
            </w:r>
          </w:p>
        </w:tc>
        <w:tc>
          <w:tcPr>
            <w:tcW w:w="382" w:type="pct"/>
            <w:vAlign w:val="center"/>
          </w:tcPr>
          <w:p w14:paraId="661A9E77">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1</w:t>
            </w:r>
          </w:p>
        </w:tc>
        <w:tc>
          <w:tcPr>
            <w:tcW w:w="456" w:type="pct"/>
            <w:vAlign w:val="center"/>
          </w:tcPr>
          <w:p w14:paraId="48F3FE41">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w:t>
            </w:r>
          </w:p>
        </w:tc>
        <w:tc>
          <w:tcPr>
            <w:tcW w:w="530" w:type="pct"/>
            <w:vAlign w:val="center"/>
          </w:tcPr>
          <w:p w14:paraId="38FF9FC5">
            <w:pPr>
              <w:widowControl/>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color w:val="000000"/>
                <w:szCs w:val="21"/>
              </w:rPr>
              <w:t>0.</w:t>
            </w:r>
            <w:r>
              <w:rPr>
                <w:rFonts w:hint="eastAsia" w:ascii="Times New Roman" w:hAnsi="Times New Roman" w:eastAsia="仿宋_GB2312" w:cs="Times New Roman"/>
                <w:color w:val="000000"/>
                <w:szCs w:val="21"/>
                <w:lang w:val="en-US" w:eastAsia="zh-CN"/>
              </w:rPr>
              <w:t>232</w:t>
            </w:r>
          </w:p>
        </w:tc>
      </w:tr>
      <w:tr w14:paraId="1363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4" w:type="pct"/>
            <w:vAlign w:val="center"/>
          </w:tcPr>
          <w:p w14:paraId="16EFE5DC">
            <w:pPr>
              <w:jc w:val="center"/>
              <w:rPr>
                <w:rFonts w:hint="default" w:ascii="Times New Roman" w:hAnsi="Times New Roman" w:eastAsia="仿宋_GB2312" w:cs="Times New Roman"/>
                <w:szCs w:val="21"/>
              </w:rPr>
            </w:pPr>
          </w:p>
        </w:tc>
        <w:tc>
          <w:tcPr>
            <w:tcW w:w="2166" w:type="pct"/>
          </w:tcPr>
          <w:p w14:paraId="3E5A6BD1">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扩展测量不确定度</w:t>
            </w:r>
          </w:p>
        </w:tc>
        <w:tc>
          <w:tcPr>
            <w:tcW w:w="690" w:type="pct"/>
            <w:vAlign w:val="center"/>
          </w:tcPr>
          <w:p w14:paraId="6A23A8C2">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w:t>
            </w:r>
          </w:p>
        </w:tc>
        <w:tc>
          <w:tcPr>
            <w:tcW w:w="499" w:type="pct"/>
            <w:vAlign w:val="center"/>
          </w:tcPr>
          <w:p w14:paraId="129EE265">
            <w:pPr>
              <w:jc w:val="center"/>
              <w:rPr>
                <w:rFonts w:hint="default" w:ascii="Times New Roman" w:hAnsi="Times New Roman" w:eastAsia="仿宋_GB2312" w:cs="Times New Roman"/>
                <w:i/>
                <w:iCs/>
                <w:szCs w:val="21"/>
              </w:rPr>
            </w:pPr>
            <w:r>
              <w:rPr>
                <w:rFonts w:hint="default" w:ascii="Times New Roman" w:hAnsi="Times New Roman" w:eastAsia="仿宋_GB2312" w:cs="Times New Roman"/>
                <w:i/>
                <w:iCs/>
                <w:szCs w:val="21"/>
              </w:rPr>
              <w:t>k</w:t>
            </w:r>
            <w:r>
              <w:rPr>
                <w:rFonts w:hint="default" w:ascii="Times New Roman" w:hAnsi="Times New Roman" w:eastAsia="仿宋_GB2312" w:cs="Times New Roman"/>
                <w:szCs w:val="21"/>
              </w:rPr>
              <w:t xml:space="preserve"> = 2</w:t>
            </w:r>
          </w:p>
        </w:tc>
        <w:tc>
          <w:tcPr>
            <w:tcW w:w="382" w:type="pct"/>
            <w:vAlign w:val="center"/>
          </w:tcPr>
          <w:p w14:paraId="41AA925A">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2</w:t>
            </w:r>
          </w:p>
        </w:tc>
        <w:tc>
          <w:tcPr>
            <w:tcW w:w="456" w:type="pct"/>
            <w:vAlign w:val="center"/>
          </w:tcPr>
          <w:p w14:paraId="65F31865">
            <w:pPr>
              <w:jc w:val="center"/>
              <w:rPr>
                <w:rFonts w:hint="default" w:ascii="Times New Roman" w:hAnsi="Times New Roman" w:eastAsia="仿宋_GB2312" w:cs="Times New Roman"/>
                <w:szCs w:val="21"/>
              </w:rPr>
            </w:pPr>
            <w:r>
              <w:rPr>
                <w:rFonts w:hint="default" w:ascii="Times New Roman" w:hAnsi="Times New Roman" w:eastAsia="仿宋_GB2312" w:cs="Times New Roman"/>
                <w:szCs w:val="21"/>
              </w:rPr>
              <w:t>-</w:t>
            </w:r>
          </w:p>
        </w:tc>
        <w:tc>
          <w:tcPr>
            <w:tcW w:w="530" w:type="pct"/>
            <w:vAlign w:val="center"/>
          </w:tcPr>
          <w:p w14:paraId="7BAA9E4D">
            <w:pPr>
              <w:widowControl/>
              <w:jc w:val="center"/>
              <w:rPr>
                <w:rFonts w:hint="default" w:ascii="Times New Roman" w:hAnsi="Times New Roman" w:eastAsia="仿宋_GB2312" w:cs="Times New Roman"/>
                <w:szCs w:val="21"/>
                <w:lang w:val="en-US" w:eastAsia="zh-CN"/>
              </w:rPr>
            </w:pPr>
            <w:r>
              <w:rPr>
                <w:rFonts w:hint="default" w:ascii="Times New Roman" w:hAnsi="Times New Roman" w:eastAsia="仿宋_GB2312" w:cs="Times New Roman"/>
                <w:color w:val="000000"/>
                <w:szCs w:val="21"/>
              </w:rPr>
              <w:t>0.</w:t>
            </w:r>
            <w:r>
              <w:rPr>
                <w:rFonts w:hint="eastAsia" w:ascii="Times New Roman" w:hAnsi="Times New Roman" w:eastAsia="仿宋_GB2312" w:cs="Times New Roman"/>
                <w:color w:val="000000"/>
                <w:szCs w:val="21"/>
                <w:lang w:val="en-US" w:eastAsia="zh-CN"/>
              </w:rPr>
              <w:t>463</w:t>
            </w:r>
          </w:p>
        </w:tc>
      </w:tr>
    </w:tbl>
    <w:p w14:paraId="259FEB41">
      <w:pPr>
        <w:spacing w:line="360" w:lineRule="auto"/>
        <w:ind w:firstLine="480" w:firstLineChars="200"/>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14:textFill>
            <w14:solidFill>
              <w14:schemeClr w14:val="tx1"/>
            </w14:solidFill>
          </w14:textFill>
        </w:rPr>
        <w:t>在</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0.1~20</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Hz</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频率范围内，</w:t>
      </w:r>
      <w:r>
        <w:rPr>
          <w:rFonts w:hint="default" w:ascii="Times New Roman" w:hAnsi="Times New Roman" w:eastAsia="宋体" w:cs="Times New Roman"/>
          <w:color w:val="000000" w:themeColor="text1"/>
          <w:sz w:val="24"/>
          <w:szCs w:val="24"/>
          <w14:textFill>
            <w14:solidFill>
              <w14:schemeClr w14:val="tx1"/>
            </w14:solidFill>
          </w14:textFill>
        </w:rPr>
        <w:t>振动传感器灵敏度幅值机器视觉校准的相对扩展不确定度为：</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0.</w:t>
      </w:r>
      <w:r>
        <w:rPr>
          <w:rFonts w:hint="eastAsia" w:cs="Times New Roman"/>
          <w:color w:val="000000" w:themeColor="text1"/>
          <w:sz w:val="24"/>
          <w:szCs w:val="24"/>
          <w:lang w:val="en-US" w:eastAsia="zh-CN"/>
          <w14:textFill>
            <w14:solidFill>
              <w14:schemeClr w14:val="tx1"/>
            </w14:solidFill>
          </w14:textFill>
        </w:rPr>
        <w:t>47</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i/>
          <w:color w:val="000000" w:themeColor="text1"/>
          <w:sz w:val="24"/>
          <w:szCs w:val="24"/>
          <w14:textFill>
            <w14:solidFill>
              <w14:schemeClr w14:val="tx1"/>
            </w14:solidFill>
          </w14:textFill>
        </w:rPr>
        <w:t>k</w:t>
      </w:r>
      <w:r>
        <w:rPr>
          <w:rFonts w:hint="default" w:ascii="Times New Roman" w:hAnsi="Times New Roman" w:eastAsia="宋体" w:cs="Times New Roman"/>
          <w:color w:val="000000" w:themeColor="text1"/>
          <w:sz w:val="24"/>
          <w:szCs w:val="24"/>
          <w14:textFill>
            <w14:solidFill>
              <w14:schemeClr w14:val="tx1"/>
            </w14:solidFill>
          </w14:textFill>
        </w:rPr>
        <w:t>=2）</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考虑到存在其他没有分析到的影响因素，将振动传感器灵敏度幅值机器视觉校准的相对扩展不确定度放大为：</w:t>
      </w:r>
      <w:r>
        <w:rPr>
          <w:rFonts w:hint="eastAsia" w:cs="Times New Roman"/>
          <w:color w:val="000000" w:themeColor="text1"/>
          <w:sz w:val="24"/>
          <w:szCs w:val="24"/>
          <w:lang w:val="en-US" w:eastAsia="zh-CN"/>
          <w14:textFill>
            <w14:solidFill>
              <w14:schemeClr w14:val="tx1"/>
            </w14:solidFill>
          </w14:textFill>
        </w:rPr>
        <w:t>0.5</w:t>
      </w:r>
      <w:r>
        <w:rPr>
          <w:rFonts w:hint="eastAsia"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w:t>
      </w:r>
      <w:r>
        <w:rPr>
          <w:rFonts w:hint="default" w:ascii="Times New Roman" w:hAnsi="Times New Roman" w:eastAsia="宋体" w:cs="Times New Roman"/>
          <w:i/>
          <w:color w:val="000000" w:themeColor="text1"/>
          <w:sz w:val="24"/>
          <w:szCs w:val="24"/>
          <w14:textFill>
            <w14:solidFill>
              <w14:schemeClr w14:val="tx1"/>
            </w14:solidFill>
          </w14:textFill>
        </w:rPr>
        <w:t>k</w:t>
      </w:r>
      <w:r>
        <w:rPr>
          <w:rFonts w:hint="default" w:ascii="Times New Roman" w:hAnsi="Times New Roman" w:eastAsia="宋体" w:cs="Times New Roman"/>
          <w:color w:val="000000" w:themeColor="text1"/>
          <w:sz w:val="24"/>
          <w:szCs w:val="24"/>
          <w14:textFill>
            <w14:solidFill>
              <w14:schemeClr w14:val="tx1"/>
            </w14:solidFill>
          </w14:textFill>
        </w:rPr>
        <w:t>=2）。</w:t>
      </w:r>
    </w:p>
    <w:sectPr>
      <w:footerReference r:id="rId3" w:type="default"/>
      <w:footerReference r:id="rId4" w:type="even"/>
      <w:pgSz w:w="11906" w:h="16838"/>
      <w:pgMar w:top="1440" w:right="1440" w:bottom="1440" w:left="1440" w:header="624" w:footer="624"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
    <w:altName w:val="Times New Roman"/>
    <w:panose1 w:val="00000000000000000000"/>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71E69">
    <w:pPr>
      <w:pStyle w:val="12"/>
      <w:wordWrap w:val="0"/>
      <w:jc w:val="right"/>
    </w:pPr>
    <w:r>
      <w:rPr>
        <w:rStyle w:val="20"/>
      </w:rPr>
      <w:fldChar w:fldCharType="begin"/>
    </w:r>
    <w:r>
      <w:rPr>
        <w:rStyle w:val="20"/>
      </w:rPr>
      <w:instrText xml:space="preserve"> PAGE </w:instrText>
    </w:r>
    <w:r>
      <w:rPr>
        <w:rStyle w:val="20"/>
      </w:rPr>
      <w:fldChar w:fldCharType="separate"/>
    </w:r>
    <w:r>
      <w:rPr>
        <w:rStyle w:val="20"/>
      </w:rPr>
      <w:t>3</w:t>
    </w:r>
    <w:r>
      <w:rPr>
        <w:rStyle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743DD">
    <w:pPr>
      <w:pStyle w:val="12"/>
    </w:pPr>
    <w:r>
      <w:rPr>
        <w:rStyle w:val="20"/>
      </w:rPr>
      <w:fldChar w:fldCharType="begin"/>
    </w:r>
    <w:r>
      <w:rPr>
        <w:rStyle w:val="20"/>
      </w:rPr>
      <w:instrText xml:space="preserve"> PAGE </w:instrText>
    </w:r>
    <w:r>
      <w:rPr>
        <w:rStyle w:val="20"/>
      </w:rPr>
      <w:fldChar w:fldCharType="separate"/>
    </w:r>
    <w:r>
      <w:rPr>
        <w:rStyle w:val="20"/>
      </w:rPr>
      <w:t>4</w:t>
    </w:r>
    <w:r>
      <w:rPr>
        <w:rStyle w:val="20"/>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7C2AF5"/>
    <w:multiLevelType w:val="multilevel"/>
    <w:tmpl w:val="557C2AF5"/>
    <w:lvl w:ilvl="0" w:tentative="0">
      <w:start w:val="1"/>
      <w:numFmt w:val="decimal"/>
      <w:pStyle w:val="39"/>
      <w:suff w:val="nothing"/>
      <w:lvlText w:val="图%1　"/>
      <w:lvlJc w:val="left"/>
      <w:pPr>
        <w:ind w:left="315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default" w:ascii="Times New Roman" w:hAnsi="Times New Roman" w:eastAsia="黑体"/>
        <w:b w:val="0"/>
        <w:i w:val="0"/>
        <w:sz w:val="21"/>
      </w:rPr>
    </w:lvl>
    <w:lvl w:ilvl="2" w:tentative="0">
      <w:start w:val="1"/>
      <w:numFmt w:val="decimal"/>
      <w:suff w:val="nothing"/>
      <w:lvlText w:val="%1%2.%3　"/>
      <w:lvlJc w:val="left"/>
      <w:pPr>
        <w:ind w:left="0" w:firstLine="0"/>
      </w:pPr>
      <w:rPr>
        <w:rFonts w:hint="default" w:ascii="Times New Roman" w:hAnsi="Times New Roman" w:eastAsia="黑体"/>
        <w:b w:val="0"/>
        <w:i w:val="0"/>
        <w:sz w:val="21"/>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6CEA2025"/>
    <w:multiLevelType w:val="multilevel"/>
    <w:tmpl w:val="6CEA2025"/>
    <w:lvl w:ilvl="0" w:tentative="0">
      <w:start w:val="1"/>
      <w:numFmt w:val="none"/>
      <w:pStyle w:val="45"/>
      <w:suff w:val="nothing"/>
      <w:lvlText w:val="%1"/>
      <w:lvlJc w:val="left"/>
      <w:pPr>
        <w:ind w:left="0" w:firstLine="0"/>
      </w:pPr>
      <w:rPr>
        <w:rFonts w:hint="default" w:ascii="Times New Roman" w:hAnsi="Times New Roman"/>
        <w:b/>
        <w:i w:val="0"/>
        <w:sz w:val="21"/>
      </w:rPr>
    </w:lvl>
    <w:lvl w:ilvl="1" w:tentative="0">
      <w:start w:val="7"/>
      <w:numFmt w:val="decimal"/>
      <w:pStyle w:val="42"/>
      <w:suff w:val="nothing"/>
      <w:lvlText w:val="%1%2　"/>
      <w:lvlJc w:val="left"/>
      <w:pPr>
        <w:ind w:left="0" w:firstLine="0"/>
      </w:pPr>
      <w:rPr>
        <w:rFonts w:hint="eastAsia" w:ascii="黑体" w:hAnsi="Times New Roman" w:eastAsia="黑体"/>
        <w:b w:val="0"/>
        <w:i w:val="0"/>
        <w:sz w:val="21"/>
      </w:rPr>
    </w:lvl>
    <w:lvl w:ilvl="2" w:tentative="0">
      <w:start w:val="1"/>
      <w:numFmt w:val="decimal"/>
      <w:pStyle w:val="43"/>
      <w:suff w:val="nothing"/>
      <w:lvlText w:val="%1%2.%3　"/>
      <w:lvlJc w:val="left"/>
      <w:pPr>
        <w:ind w:left="0" w:firstLine="0"/>
      </w:pPr>
      <w:rPr>
        <w:rFonts w:hint="eastAsia" w:ascii="黑体" w:hAnsi="Times New Roman" w:eastAsia="黑体"/>
        <w:b w:val="0"/>
        <w:i w:val="0"/>
        <w:sz w:val="21"/>
      </w:rPr>
    </w:lvl>
    <w:lvl w:ilvl="3" w:tentative="0">
      <w:start w:val="4"/>
      <w:numFmt w:val="none"/>
      <w:pStyle w:val="44"/>
      <w:suff w:val="nothing"/>
      <w:lvlText w:val="7.4.1　"/>
      <w:lvlJc w:val="left"/>
      <w:pPr>
        <w:ind w:left="0" w:firstLine="0"/>
      </w:pPr>
      <w:rPr>
        <w:rFonts w:hint="eastAsia" w:ascii="黑体" w:hAnsi="Times New Roman" w:eastAsia="黑体"/>
        <w:b w:val="0"/>
        <w:i w:val="0"/>
        <w:sz w:val="21"/>
      </w:rPr>
    </w:lvl>
    <w:lvl w:ilvl="4" w:tentative="0">
      <w:start w:val="1"/>
      <w:numFmt w:val="decimal"/>
      <w:pStyle w:val="46"/>
      <w:suff w:val="nothing"/>
      <w:lvlText w:val="%1%2.%3.%4.%5　"/>
      <w:lvlJc w:val="left"/>
      <w:pPr>
        <w:ind w:left="0" w:firstLine="0"/>
      </w:pPr>
      <w:rPr>
        <w:rFonts w:hint="eastAsia" w:ascii="黑体" w:hAnsi="Times New Roman" w:eastAsia="黑体"/>
        <w:b w:val="0"/>
        <w:i w:val="0"/>
        <w:sz w:val="21"/>
      </w:rPr>
    </w:lvl>
    <w:lvl w:ilvl="5" w:tentative="0">
      <w:start w:val="1"/>
      <w:numFmt w:val="decimal"/>
      <w:pStyle w:val="47"/>
      <w:suff w:val="nothing"/>
      <w:lvlText w:val="%1%2.%3.%4.%5.%6　"/>
      <w:lvlJc w:val="left"/>
      <w:pPr>
        <w:ind w:left="0" w:firstLine="0"/>
      </w:pPr>
      <w:rPr>
        <w:rFonts w:hint="eastAsia" w:ascii="黑体" w:hAnsi="Times New Roman" w:eastAsia="黑体"/>
        <w:b w:val="0"/>
        <w:i w:val="0"/>
        <w:sz w:val="21"/>
      </w:rPr>
    </w:lvl>
    <w:lvl w:ilvl="6" w:tentative="0">
      <w:start w:val="1"/>
      <w:numFmt w:val="decimal"/>
      <w:pStyle w:val="48"/>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oNotHyphenateCaps/>
  <w:evenAndOddHeaders w:val="1"/>
  <w:drawingGridHorizontalSpacing w:val="11"/>
  <w:drawingGridVerticalSpacing w:val="12"/>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kxNjQ0MmQyMmY0OTI5OGVlMjVmNGE5MDQxYTE1MTMifQ=="/>
  </w:docVars>
  <w:rsids>
    <w:rsidRoot w:val="00172A27"/>
    <w:rsid w:val="00002E27"/>
    <w:rsid w:val="000034A0"/>
    <w:rsid w:val="00005453"/>
    <w:rsid w:val="00010166"/>
    <w:rsid w:val="00010ABA"/>
    <w:rsid w:val="00011113"/>
    <w:rsid w:val="0001338D"/>
    <w:rsid w:val="0001344A"/>
    <w:rsid w:val="00014792"/>
    <w:rsid w:val="0001545B"/>
    <w:rsid w:val="00016038"/>
    <w:rsid w:val="000161FC"/>
    <w:rsid w:val="000203DC"/>
    <w:rsid w:val="000215EF"/>
    <w:rsid w:val="00022AC2"/>
    <w:rsid w:val="00023906"/>
    <w:rsid w:val="00027456"/>
    <w:rsid w:val="0002777E"/>
    <w:rsid w:val="00027B7C"/>
    <w:rsid w:val="0003042C"/>
    <w:rsid w:val="00031DE0"/>
    <w:rsid w:val="000322B4"/>
    <w:rsid w:val="00032512"/>
    <w:rsid w:val="00033FF5"/>
    <w:rsid w:val="00034B3F"/>
    <w:rsid w:val="00036E34"/>
    <w:rsid w:val="0003716D"/>
    <w:rsid w:val="00037218"/>
    <w:rsid w:val="00040999"/>
    <w:rsid w:val="00040D98"/>
    <w:rsid w:val="0004247D"/>
    <w:rsid w:val="0004356E"/>
    <w:rsid w:val="00043C0D"/>
    <w:rsid w:val="00044BC9"/>
    <w:rsid w:val="0004522B"/>
    <w:rsid w:val="00045937"/>
    <w:rsid w:val="00046C96"/>
    <w:rsid w:val="00052B66"/>
    <w:rsid w:val="00052CE7"/>
    <w:rsid w:val="00052D83"/>
    <w:rsid w:val="0005355C"/>
    <w:rsid w:val="00053C79"/>
    <w:rsid w:val="00054450"/>
    <w:rsid w:val="00054F2B"/>
    <w:rsid w:val="0005530A"/>
    <w:rsid w:val="00055AD3"/>
    <w:rsid w:val="00055D62"/>
    <w:rsid w:val="00056398"/>
    <w:rsid w:val="000574C5"/>
    <w:rsid w:val="00060DD7"/>
    <w:rsid w:val="00060E59"/>
    <w:rsid w:val="00060FF2"/>
    <w:rsid w:val="0006426B"/>
    <w:rsid w:val="0006443B"/>
    <w:rsid w:val="00065842"/>
    <w:rsid w:val="00066B2F"/>
    <w:rsid w:val="00066C9D"/>
    <w:rsid w:val="00066FE4"/>
    <w:rsid w:val="0006705C"/>
    <w:rsid w:val="00067A4B"/>
    <w:rsid w:val="00070FA6"/>
    <w:rsid w:val="000716BC"/>
    <w:rsid w:val="00071E6C"/>
    <w:rsid w:val="00073189"/>
    <w:rsid w:val="00073234"/>
    <w:rsid w:val="00074084"/>
    <w:rsid w:val="0007498A"/>
    <w:rsid w:val="000766C7"/>
    <w:rsid w:val="00076A33"/>
    <w:rsid w:val="00076E2E"/>
    <w:rsid w:val="000802E4"/>
    <w:rsid w:val="00081017"/>
    <w:rsid w:val="00081038"/>
    <w:rsid w:val="00081110"/>
    <w:rsid w:val="00083483"/>
    <w:rsid w:val="00083609"/>
    <w:rsid w:val="00083A85"/>
    <w:rsid w:val="00083C2E"/>
    <w:rsid w:val="00087E74"/>
    <w:rsid w:val="00091856"/>
    <w:rsid w:val="00092689"/>
    <w:rsid w:val="00092815"/>
    <w:rsid w:val="00092D04"/>
    <w:rsid w:val="00093472"/>
    <w:rsid w:val="00093572"/>
    <w:rsid w:val="000945BA"/>
    <w:rsid w:val="00094820"/>
    <w:rsid w:val="00094C55"/>
    <w:rsid w:val="00096240"/>
    <w:rsid w:val="00097081"/>
    <w:rsid w:val="000A43F2"/>
    <w:rsid w:val="000A4A6F"/>
    <w:rsid w:val="000A4E3D"/>
    <w:rsid w:val="000A6135"/>
    <w:rsid w:val="000B1690"/>
    <w:rsid w:val="000B2C54"/>
    <w:rsid w:val="000B2FE5"/>
    <w:rsid w:val="000B3E4C"/>
    <w:rsid w:val="000B3F13"/>
    <w:rsid w:val="000B5098"/>
    <w:rsid w:val="000B7381"/>
    <w:rsid w:val="000C1B09"/>
    <w:rsid w:val="000C3A4E"/>
    <w:rsid w:val="000C53FE"/>
    <w:rsid w:val="000C6104"/>
    <w:rsid w:val="000C6480"/>
    <w:rsid w:val="000C6B13"/>
    <w:rsid w:val="000D529A"/>
    <w:rsid w:val="000D69A7"/>
    <w:rsid w:val="000D69A9"/>
    <w:rsid w:val="000D7234"/>
    <w:rsid w:val="000D730F"/>
    <w:rsid w:val="000E239F"/>
    <w:rsid w:val="000E2A5A"/>
    <w:rsid w:val="000E2B86"/>
    <w:rsid w:val="000E2EFD"/>
    <w:rsid w:val="000E456F"/>
    <w:rsid w:val="000E741D"/>
    <w:rsid w:val="000F02D3"/>
    <w:rsid w:val="000F09BE"/>
    <w:rsid w:val="000F10B1"/>
    <w:rsid w:val="000F2F27"/>
    <w:rsid w:val="000F38F8"/>
    <w:rsid w:val="000F43D5"/>
    <w:rsid w:val="000F44B5"/>
    <w:rsid w:val="000F4F4E"/>
    <w:rsid w:val="000F4F72"/>
    <w:rsid w:val="00102BD9"/>
    <w:rsid w:val="00103CD7"/>
    <w:rsid w:val="00103E72"/>
    <w:rsid w:val="00104026"/>
    <w:rsid w:val="001041A4"/>
    <w:rsid w:val="00104BEA"/>
    <w:rsid w:val="00105D1E"/>
    <w:rsid w:val="00106177"/>
    <w:rsid w:val="00106853"/>
    <w:rsid w:val="001073D6"/>
    <w:rsid w:val="00107DCF"/>
    <w:rsid w:val="00111114"/>
    <w:rsid w:val="001131D7"/>
    <w:rsid w:val="00115884"/>
    <w:rsid w:val="00116729"/>
    <w:rsid w:val="00116AF5"/>
    <w:rsid w:val="0011789F"/>
    <w:rsid w:val="00120744"/>
    <w:rsid w:val="00120DA9"/>
    <w:rsid w:val="00121D0D"/>
    <w:rsid w:val="00122090"/>
    <w:rsid w:val="00122D28"/>
    <w:rsid w:val="00123305"/>
    <w:rsid w:val="00123DA6"/>
    <w:rsid w:val="00124B21"/>
    <w:rsid w:val="0012685D"/>
    <w:rsid w:val="00126C2A"/>
    <w:rsid w:val="00127F75"/>
    <w:rsid w:val="00131425"/>
    <w:rsid w:val="00132C02"/>
    <w:rsid w:val="00133ED2"/>
    <w:rsid w:val="00133F08"/>
    <w:rsid w:val="001348CC"/>
    <w:rsid w:val="00135B64"/>
    <w:rsid w:val="001373F5"/>
    <w:rsid w:val="00143351"/>
    <w:rsid w:val="00144878"/>
    <w:rsid w:val="001461CF"/>
    <w:rsid w:val="001463B7"/>
    <w:rsid w:val="001508B3"/>
    <w:rsid w:val="00151248"/>
    <w:rsid w:val="00151F4C"/>
    <w:rsid w:val="001524E2"/>
    <w:rsid w:val="00153AEE"/>
    <w:rsid w:val="00153E60"/>
    <w:rsid w:val="001567F3"/>
    <w:rsid w:val="00156E48"/>
    <w:rsid w:val="0015786A"/>
    <w:rsid w:val="00161376"/>
    <w:rsid w:val="00161527"/>
    <w:rsid w:val="001618BE"/>
    <w:rsid w:val="001624DC"/>
    <w:rsid w:val="00162E2A"/>
    <w:rsid w:val="00163696"/>
    <w:rsid w:val="0016421D"/>
    <w:rsid w:val="00166166"/>
    <w:rsid w:val="00166701"/>
    <w:rsid w:val="001716AD"/>
    <w:rsid w:val="00172A27"/>
    <w:rsid w:val="001735ED"/>
    <w:rsid w:val="001747A0"/>
    <w:rsid w:val="00174F92"/>
    <w:rsid w:val="001757B4"/>
    <w:rsid w:val="00175BF0"/>
    <w:rsid w:val="00175BFE"/>
    <w:rsid w:val="0017700E"/>
    <w:rsid w:val="00184B1A"/>
    <w:rsid w:val="00185ACE"/>
    <w:rsid w:val="001876F4"/>
    <w:rsid w:val="0019161E"/>
    <w:rsid w:val="00191F17"/>
    <w:rsid w:val="00191FDB"/>
    <w:rsid w:val="00192FD5"/>
    <w:rsid w:val="00193000"/>
    <w:rsid w:val="001958E0"/>
    <w:rsid w:val="00195B88"/>
    <w:rsid w:val="00195DD1"/>
    <w:rsid w:val="00197C01"/>
    <w:rsid w:val="001A1623"/>
    <w:rsid w:val="001A1C58"/>
    <w:rsid w:val="001A3440"/>
    <w:rsid w:val="001A3AC5"/>
    <w:rsid w:val="001A4213"/>
    <w:rsid w:val="001A4AEE"/>
    <w:rsid w:val="001A5B67"/>
    <w:rsid w:val="001A5C6A"/>
    <w:rsid w:val="001B4675"/>
    <w:rsid w:val="001B5261"/>
    <w:rsid w:val="001B5580"/>
    <w:rsid w:val="001C0050"/>
    <w:rsid w:val="001C29BD"/>
    <w:rsid w:val="001C3A1F"/>
    <w:rsid w:val="001C4569"/>
    <w:rsid w:val="001C4D37"/>
    <w:rsid w:val="001C5C20"/>
    <w:rsid w:val="001C67AA"/>
    <w:rsid w:val="001C7C28"/>
    <w:rsid w:val="001D023C"/>
    <w:rsid w:val="001D0FBE"/>
    <w:rsid w:val="001D2563"/>
    <w:rsid w:val="001D59EC"/>
    <w:rsid w:val="001D75CB"/>
    <w:rsid w:val="001E02A9"/>
    <w:rsid w:val="001E067F"/>
    <w:rsid w:val="001E1257"/>
    <w:rsid w:val="001E1D24"/>
    <w:rsid w:val="001E4B70"/>
    <w:rsid w:val="001E4C81"/>
    <w:rsid w:val="001E5953"/>
    <w:rsid w:val="001F0C47"/>
    <w:rsid w:val="001F1AEC"/>
    <w:rsid w:val="001F2563"/>
    <w:rsid w:val="001F3856"/>
    <w:rsid w:val="001F3F4D"/>
    <w:rsid w:val="001F4259"/>
    <w:rsid w:val="001F5829"/>
    <w:rsid w:val="001F5DE7"/>
    <w:rsid w:val="002003F1"/>
    <w:rsid w:val="00200E74"/>
    <w:rsid w:val="0020136A"/>
    <w:rsid w:val="002014F3"/>
    <w:rsid w:val="00201517"/>
    <w:rsid w:val="00202272"/>
    <w:rsid w:val="002045A6"/>
    <w:rsid w:val="00204C9E"/>
    <w:rsid w:val="0020656E"/>
    <w:rsid w:val="00206D79"/>
    <w:rsid w:val="0020710E"/>
    <w:rsid w:val="00207E82"/>
    <w:rsid w:val="00210EAA"/>
    <w:rsid w:val="00210F19"/>
    <w:rsid w:val="00211B95"/>
    <w:rsid w:val="00211F74"/>
    <w:rsid w:val="0021322A"/>
    <w:rsid w:val="002145DB"/>
    <w:rsid w:val="00214B34"/>
    <w:rsid w:val="0021558A"/>
    <w:rsid w:val="002176CA"/>
    <w:rsid w:val="00220349"/>
    <w:rsid w:val="002206CE"/>
    <w:rsid w:val="00220C0A"/>
    <w:rsid w:val="00220D52"/>
    <w:rsid w:val="00222E59"/>
    <w:rsid w:val="00226859"/>
    <w:rsid w:val="0023041D"/>
    <w:rsid w:val="002326E5"/>
    <w:rsid w:val="002329BE"/>
    <w:rsid w:val="00232BB5"/>
    <w:rsid w:val="00232F22"/>
    <w:rsid w:val="00233799"/>
    <w:rsid w:val="00235742"/>
    <w:rsid w:val="0023594D"/>
    <w:rsid w:val="00237569"/>
    <w:rsid w:val="002401C5"/>
    <w:rsid w:val="002403FC"/>
    <w:rsid w:val="00241D0E"/>
    <w:rsid w:val="00243746"/>
    <w:rsid w:val="002445C8"/>
    <w:rsid w:val="002448FC"/>
    <w:rsid w:val="002456A4"/>
    <w:rsid w:val="00246066"/>
    <w:rsid w:val="002468CF"/>
    <w:rsid w:val="00247F17"/>
    <w:rsid w:val="00250C6B"/>
    <w:rsid w:val="002520FF"/>
    <w:rsid w:val="00252AB2"/>
    <w:rsid w:val="00253B95"/>
    <w:rsid w:val="00254737"/>
    <w:rsid w:val="00254901"/>
    <w:rsid w:val="00254CCE"/>
    <w:rsid w:val="0025533E"/>
    <w:rsid w:val="00255ED2"/>
    <w:rsid w:val="002565F9"/>
    <w:rsid w:val="00256CBE"/>
    <w:rsid w:val="0025731E"/>
    <w:rsid w:val="002601E3"/>
    <w:rsid w:val="002613A0"/>
    <w:rsid w:val="00262A33"/>
    <w:rsid w:val="00263A62"/>
    <w:rsid w:val="00264E56"/>
    <w:rsid w:val="00265130"/>
    <w:rsid w:val="00265171"/>
    <w:rsid w:val="0026628D"/>
    <w:rsid w:val="002708AC"/>
    <w:rsid w:val="002709BC"/>
    <w:rsid w:val="002716DC"/>
    <w:rsid w:val="002720AD"/>
    <w:rsid w:val="00272BA6"/>
    <w:rsid w:val="002751DB"/>
    <w:rsid w:val="002754BA"/>
    <w:rsid w:val="00275EB9"/>
    <w:rsid w:val="00280D23"/>
    <w:rsid w:val="002824B0"/>
    <w:rsid w:val="0028329C"/>
    <w:rsid w:val="00283D94"/>
    <w:rsid w:val="00284755"/>
    <w:rsid w:val="00284C53"/>
    <w:rsid w:val="0028511E"/>
    <w:rsid w:val="002866FA"/>
    <w:rsid w:val="00287452"/>
    <w:rsid w:val="00290CEE"/>
    <w:rsid w:val="0029151F"/>
    <w:rsid w:val="00293ACA"/>
    <w:rsid w:val="00296250"/>
    <w:rsid w:val="0029739D"/>
    <w:rsid w:val="00297E5F"/>
    <w:rsid w:val="002A0064"/>
    <w:rsid w:val="002A14DB"/>
    <w:rsid w:val="002A48B7"/>
    <w:rsid w:val="002A5232"/>
    <w:rsid w:val="002A559D"/>
    <w:rsid w:val="002B1008"/>
    <w:rsid w:val="002B2A9E"/>
    <w:rsid w:val="002B2FA6"/>
    <w:rsid w:val="002B306D"/>
    <w:rsid w:val="002B65BD"/>
    <w:rsid w:val="002B7B67"/>
    <w:rsid w:val="002C090D"/>
    <w:rsid w:val="002C0C3A"/>
    <w:rsid w:val="002C1F3F"/>
    <w:rsid w:val="002C350E"/>
    <w:rsid w:val="002C6B78"/>
    <w:rsid w:val="002C6CD9"/>
    <w:rsid w:val="002D3AF7"/>
    <w:rsid w:val="002D5663"/>
    <w:rsid w:val="002D70DD"/>
    <w:rsid w:val="002D73D4"/>
    <w:rsid w:val="002E0097"/>
    <w:rsid w:val="002E1B09"/>
    <w:rsid w:val="002E1DE9"/>
    <w:rsid w:val="002E3E1A"/>
    <w:rsid w:val="002E4BC7"/>
    <w:rsid w:val="002E4CC0"/>
    <w:rsid w:val="002E6259"/>
    <w:rsid w:val="002E7514"/>
    <w:rsid w:val="002F136F"/>
    <w:rsid w:val="002F15B6"/>
    <w:rsid w:val="002F19E8"/>
    <w:rsid w:val="002F22D6"/>
    <w:rsid w:val="002F4AE2"/>
    <w:rsid w:val="002F51BA"/>
    <w:rsid w:val="002F5E07"/>
    <w:rsid w:val="002F72EB"/>
    <w:rsid w:val="003009AC"/>
    <w:rsid w:val="0030155C"/>
    <w:rsid w:val="00302A15"/>
    <w:rsid w:val="00304061"/>
    <w:rsid w:val="00310143"/>
    <w:rsid w:val="00310D3D"/>
    <w:rsid w:val="00312FC0"/>
    <w:rsid w:val="00313C54"/>
    <w:rsid w:val="003151DD"/>
    <w:rsid w:val="00316270"/>
    <w:rsid w:val="00316395"/>
    <w:rsid w:val="00316CEE"/>
    <w:rsid w:val="0032187A"/>
    <w:rsid w:val="003228B7"/>
    <w:rsid w:val="00322FA9"/>
    <w:rsid w:val="00325183"/>
    <w:rsid w:val="003256CE"/>
    <w:rsid w:val="00325921"/>
    <w:rsid w:val="00330145"/>
    <w:rsid w:val="00330204"/>
    <w:rsid w:val="003310D9"/>
    <w:rsid w:val="00332E0E"/>
    <w:rsid w:val="00335BBD"/>
    <w:rsid w:val="0033649B"/>
    <w:rsid w:val="003400FE"/>
    <w:rsid w:val="003431F1"/>
    <w:rsid w:val="00343490"/>
    <w:rsid w:val="00345F87"/>
    <w:rsid w:val="00346416"/>
    <w:rsid w:val="003528F2"/>
    <w:rsid w:val="00354038"/>
    <w:rsid w:val="003540F6"/>
    <w:rsid w:val="003544EA"/>
    <w:rsid w:val="0035545D"/>
    <w:rsid w:val="00356B22"/>
    <w:rsid w:val="003570A3"/>
    <w:rsid w:val="00360B79"/>
    <w:rsid w:val="003621DD"/>
    <w:rsid w:val="00363BAA"/>
    <w:rsid w:val="0036524B"/>
    <w:rsid w:val="00365EA6"/>
    <w:rsid w:val="003662F7"/>
    <w:rsid w:val="00366C02"/>
    <w:rsid w:val="003676A6"/>
    <w:rsid w:val="00370380"/>
    <w:rsid w:val="003714EC"/>
    <w:rsid w:val="00373C69"/>
    <w:rsid w:val="00374196"/>
    <w:rsid w:val="00374705"/>
    <w:rsid w:val="00375BDC"/>
    <w:rsid w:val="0037648D"/>
    <w:rsid w:val="00377997"/>
    <w:rsid w:val="00381F95"/>
    <w:rsid w:val="003825F8"/>
    <w:rsid w:val="00383C9D"/>
    <w:rsid w:val="00385298"/>
    <w:rsid w:val="0039062D"/>
    <w:rsid w:val="00391444"/>
    <w:rsid w:val="0039152F"/>
    <w:rsid w:val="00393B44"/>
    <w:rsid w:val="0039406B"/>
    <w:rsid w:val="00395376"/>
    <w:rsid w:val="00395B9C"/>
    <w:rsid w:val="00397DAF"/>
    <w:rsid w:val="003A0925"/>
    <w:rsid w:val="003A27E5"/>
    <w:rsid w:val="003A2D71"/>
    <w:rsid w:val="003A43B3"/>
    <w:rsid w:val="003A4723"/>
    <w:rsid w:val="003A6504"/>
    <w:rsid w:val="003A6847"/>
    <w:rsid w:val="003A7699"/>
    <w:rsid w:val="003A7F04"/>
    <w:rsid w:val="003B0BDE"/>
    <w:rsid w:val="003B2258"/>
    <w:rsid w:val="003B7472"/>
    <w:rsid w:val="003B7829"/>
    <w:rsid w:val="003C0148"/>
    <w:rsid w:val="003C1EC5"/>
    <w:rsid w:val="003C2576"/>
    <w:rsid w:val="003C2747"/>
    <w:rsid w:val="003C2A5F"/>
    <w:rsid w:val="003C4645"/>
    <w:rsid w:val="003C4E7B"/>
    <w:rsid w:val="003C5BB2"/>
    <w:rsid w:val="003C6A58"/>
    <w:rsid w:val="003C76D5"/>
    <w:rsid w:val="003D0A12"/>
    <w:rsid w:val="003D257E"/>
    <w:rsid w:val="003D2851"/>
    <w:rsid w:val="003D316B"/>
    <w:rsid w:val="003D6A61"/>
    <w:rsid w:val="003E1FDF"/>
    <w:rsid w:val="003E2D96"/>
    <w:rsid w:val="003E45DE"/>
    <w:rsid w:val="003E4866"/>
    <w:rsid w:val="003E5B16"/>
    <w:rsid w:val="003E5EAC"/>
    <w:rsid w:val="003E6F35"/>
    <w:rsid w:val="003E7B3E"/>
    <w:rsid w:val="003F036F"/>
    <w:rsid w:val="003F128B"/>
    <w:rsid w:val="003F15AA"/>
    <w:rsid w:val="003F190E"/>
    <w:rsid w:val="003F1B5C"/>
    <w:rsid w:val="003F236F"/>
    <w:rsid w:val="003F4A3E"/>
    <w:rsid w:val="003F7886"/>
    <w:rsid w:val="003F7908"/>
    <w:rsid w:val="003F7C0D"/>
    <w:rsid w:val="00401D11"/>
    <w:rsid w:val="00402BF8"/>
    <w:rsid w:val="00404EFD"/>
    <w:rsid w:val="00405057"/>
    <w:rsid w:val="004067A0"/>
    <w:rsid w:val="004076CB"/>
    <w:rsid w:val="00412F10"/>
    <w:rsid w:val="00413755"/>
    <w:rsid w:val="004142C5"/>
    <w:rsid w:val="004155FC"/>
    <w:rsid w:val="00416F36"/>
    <w:rsid w:val="004174E9"/>
    <w:rsid w:val="00417FD8"/>
    <w:rsid w:val="0042031F"/>
    <w:rsid w:val="0042033A"/>
    <w:rsid w:val="004203B5"/>
    <w:rsid w:val="00420BF4"/>
    <w:rsid w:val="00421E74"/>
    <w:rsid w:val="00424646"/>
    <w:rsid w:val="00424B9F"/>
    <w:rsid w:val="00425897"/>
    <w:rsid w:val="00425A50"/>
    <w:rsid w:val="0043140D"/>
    <w:rsid w:val="00431BAD"/>
    <w:rsid w:val="004342D1"/>
    <w:rsid w:val="00434BF6"/>
    <w:rsid w:val="004354D9"/>
    <w:rsid w:val="00435E6A"/>
    <w:rsid w:val="0043610E"/>
    <w:rsid w:val="004412CF"/>
    <w:rsid w:val="00442B0E"/>
    <w:rsid w:val="00443AE4"/>
    <w:rsid w:val="00444167"/>
    <w:rsid w:val="00445086"/>
    <w:rsid w:val="0044549E"/>
    <w:rsid w:val="00447180"/>
    <w:rsid w:val="004478DA"/>
    <w:rsid w:val="0045014D"/>
    <w:rsid w:val="0045090D"/>
    <w:rsid w:val="00451B53"/>
    <w:rsid w:val="004521FD"/>
    <w:rsid w:val="00452436"/>
    <w:rsid w:val="00452ACC"/>
    <w:rsid w:val="004544C5"/>
    <w:rsid w:val="00460393"/>
    <w:rsid w:val="00460B84"/>
    <w:rsid w:val="00461A0F"/>
    <w:rsid w:val="00463EBC"/>
    <w:rsid w:val="00464550"/>
    <w:rsid w:val="0046627F"/>
    <w:rsid w:val="004664C4"/>
    <w:rsid w:val="00467050"/>
    <w:rsid w:val="00467E27"/>
    <w:rsid w:val="0047009A"/>
    <w:rsid w:val="00470919"/>
    <w:rsid w:val="00471229"/>
    <w:rsid w:val="004736A9"/>
    <w:rsid w:val="004738B3"/>
    <w:rsid w:val="004757EA"/>
    <w:rsid w:val="00475974"/>
    <w:rsid w:val="00475FCA"/>
    <w:rsid w:val="0047710C"/>
    <w:rsid w:val="0048074C"/>
    <w:rsid w:val="00481487"/>
    <w:rsid w:val="00481FE8"/>
    <w:rsid w:val="00482321"/>
    <w:rsid w:val="0048252C"/>
    <w:rsid w:val="00482BF8"/>
    <w:rsid w:val="00484F2B"/>
    <w:rsid w:val="004851B6"/>
    <w:rsid w:val="0048572E"/>
    <w:rsid w:val="00490D73"/>
    <w:rsid w:val="004924AE"/>
    <w:rsid w:val="00493663"/>
    <w:rsid w:val="00495699"/>
    <w:rsid w:val="004956F3"/>
    <w:rsid w:val="00497AEA"/>
    <w:rsid w:val="004A1309"/>
    <w:rsid w:val="004A5404"/>
    <w:rsid w:val="004A6411"/>
    <w:rsid w:val="004A7890"/>
    <w:rsid w:val="004B0397"/>
    <w:rsid w:val="004B319F"/>
    <w:rsid w:val="004B32FD"/>
    <w:rsid w:val="004B34ED"/>
    <w:rsid w:val="004B51C4"/>
    <w:rsid w:val="004B5B14"/>
    <w:rsid w:val="004B5BAC"/>
    <w:rsid w:val="004B613D"/>
    <w:rsid w:val="004B658E"/>
    <w:rsid w:val="004B68F8"/>
    <w:rsid w:val="004B6934"/>
    <w:rsid w:val="004B789C"/>
    <w:rsid w:val="004B7B8D"/>
    <w:rsid w:val="004C067D"/>
    <w:rsid w:val="004C0A85"/>
    <w:rsid w:val="004C11E8"/>
    <w:rsid w:val="004C1491"/>
    <w:rsid w:val="004C1F77"/>
    <w:rsid w:val="004C331B"/>
    <w:rsid w:val="004C353A"/>
    <w:rsid w:val="004C3AD7"/>
    <w:rsid w:val="004C657B"/>
    <w:rsid w:val="004C6BBA"/>
    <w:rsid w:val="004C7828"/>
    <w:rsid w:val="004C7A49"/>
    <w:rsid w:val="004D22E2"/>
    <w:rsid w:val="004D32DE"/>
    <w:rsid w:val="004D3736"/>
    <w:rsid w:val="004D37D0"/>
    <w:rsid w:val="004D611B"/>
    <w:rsid w:val="004E27B8"/>
    <w:rsid w:val="004E3457"/>
    <w:rsid w:val="004E384D"/>
    <w:rsid w:val="004E435C"/>
    <w:rsid w:val="004E5013"/>
    <w:rsid w:val="004E61AD"/>
    <w:rsid w:val="004E6D56"/>
    <w:rsid w:val="004E6DF4"/>
    <w:rsid w:val="004F05B2"/>
    <w:rsid w:val="004F21A8"/>
    <w:rsid w:val="004F360C"/>
    <w:rsid w:val="004F384C"/>
    <w:rsid w:val="004F3A2C"/>
    <w:rsid w:val="004F7990"/>
    <w:rsid w:val="004F7A2A"/>
    <w:rsid w:val="004F7F61"/>
    <w:rsid w:val="005005FD"/>
    <w:rsid w:val="005013A4"/>
    <w:rsid w:val="00501955"/>
    <w:rsid w:val="005025FC"/>
    <w:rsid w:val="00503126"/>
    <w:rsid w:val="00503391"/>
    <w:rsid w:val="0050342F"/>
    <w:rsid w:val="00503A0A"/>
    <w:rsid w:val="005061C2"/>
    <w:rsid w:val="00507A09"/>
    <w:rsid w:val="00507FE6"/>
    <w:rsid w:val="00510457"/>
    <w:rsid w:val="00510C39"/>
    <w:rsid w:val="0051109E"/>
    <w:rsid w:val="00512726"/>
    <w:rsid w:val="00512F4E"/>
    <w:rsid w:val="00513100"/>
    <w:rsid w:val="00513949"/>
    <w:rsid w:val="00514996"/>
    <w:rsid w:val="005179C7"/>
    <w:rsid w:val="00517D03"/>
    <w:rsid w:val="00521A11"/>
    <w:rsid w:val="00523B64"/>
    <w:rsid w:val="005246C2"/>
    <w:rsid w:val="00524F4F"/>
    <w:rsid w:val="0052567A"/>
    <w:rsid w:val="0052605B"/>
    <w:rsid w:val="005274E0"/>
    <w:rsid w:val="00527C08"/>
    <w:rsid w:val="00530B8F"/>
    <w:rsid w:val="0053126D"/>
    <w:rsid w:val="00531989"/>
    <w:rsid w:val="00532F3D"/>
    <w:rsid w:val="00533A8F"/>
    <w:rsid w:val="00534917"/>
    <w:rsid w:val="00541816"/>
    <w:rsid w:val="00541D8A"/>
    <w:rsid w:val="00542323"/>
    <w:rsid w:val="0054278F"/>
    <w:rsid w:val="005441F4"/>
    <w:rsid w:val="005461C8"/>
    <w:rsid w:val="005466CD"/>
    <w:rsid w:val="005468CE"/>
    <w:rsid w:val="005556DD"/>
    <w:rsid w:val="00555BD9"/>
    <w:rsid w:val="005578EE"/>
    <w:rsid w:val="0056053F"/>
    <w:rsid w:val="00561503"/>
    <w:rsid w:val="0056167D"/>
    <w:rsid w:val="005616D0"/>
    <w:rsid w:val="00562283"/>
    <w:rsid w:val="005622F8"/>
    <w:rsid w:val="00562627"/>
    <w:rsid w:val="005645CB"/>
    <w:rsid w:val="00565308"/>
    <w:rsid w:val="005700EC"/>
    <w:rsid w:val="005701D3"/>
    <w:rsid w:val="00570937"/>
    <w:rsid w:val="00571201"/>
    <w:rsid w:val="00571C82"/>
    <w:rsid w:val="00573858"/>
    <w:rsid w:val="00573E9F"/>
    <w:rsid w:val="00575D97"/>
    <w:rsid w:val="00576615"/>
    <w:rsid w:val="005767D6"/>
    <w:rsid w:val="00577E4E"/>
    <w:rsid w:val="00582442"/>
    <w:rsid w:val="00582F0A"/>
    <w:rsid w:val="0058327D"/>
    <w:rsid w:val="005841A8"/>
    <w:rsid w:val="00584ECB"/>
    <w:rsid w:val="0058592F"/>
    <w:rsid w:val="005861D7"/>
    <w:rsid w:val="00590AA2"/>
    <w:rsid w:val="005911C0"/>
    <w:rsid w:val="0059525A"/>
    <w:rsid w:val="00595FAA"/>
    <w:rsid w:val="00597BB6"/>
    <w:rsid w:val="005A1A9D"/>
    <w:rsid w:val="005A217E"/>
    <w:rsid w:val="005A3A31"/>
    <w:rsid w:val="005A3EA1"/>
    <w:rsid w:val="005A4004"/>
    <w:rsid w:val="005A4060"/>
    <w:rsid w:val="005A745D"/>
    <w:rsid w:val="005A7634"/>
    <w:rsid w:val="005B3BE5"/>
    <w:rsid w:val="005B7ABC"/>
    <w:rsid w:val="005C17A7"/>
    <w:rsid w:val="005C2B51"/>
    <w:rsid w:val="005C32FF"/>
    <w:rsid w:val="005C33BB"/>
    <w:rsid w:val="005C34F9"/>
    <w:rsid w:val="005C43AA"/>
    <w:rsid w:val="005C5010"/>
    <w:rsid w:val="005C5E16"/>
    <w:rsid w:val="005C782D"/>
    <w:rsid w:val="005D0BC5"/>
    <w:rsid w:val="005D178C"/>
    <w:rsid w:val="005D21E6"/>
    <w:rsid w:val="005D5A90"/>
    <w:rsid w:val="005D5CB1"/>
    <w:rsid w:val="005E1540"/>
    <w:rsid w:val="005E1C94"/>
    <w:rsid w:val="005E4526"/>
    <w:rsid w:val="005E61FF"/>
    <w:rsid w:val="005E6691"/>
    <w:rsid w:val="005E6FBB"/>
    <w:rsid w:val="005F0662"/>
    <w:rsid w:val="005F0EF1"/>
    <w:rsid w:val="005F2388"/>
    <w:rsid w:val="005F269C"/>
    <w:rsid w:val="005F32F6"/>
    <w:rsid w:val="005F5097"/>
    <w:rsid w:val="005F61F5"/>
    <w:rsid w:val="005F7C9A"/>
    <w:rsid w:val="00606360"/>
    <w:rsid w:val="00607AF3"/>
    <w:rsid w:val="00610B51"/>
    <w:rsid w:val="00610B72"/>
    <w:rsid w:val="00611487"/>
    <w:rsid w:val="00611FA8"/>
    <w:rsid w:val="00614F67"/>
    <w:rsid w:val="00615FE7"/>
    <w:rsid w:val="006162DC"/>
    <w:rsid w:val="0061651E"/>
    <w:rsid w:val="00616A41"/>
    <w:rsid w:val="0061707E"/>
    <w:rsid w:val="00621037"/>
    <w:rsid w:val="00621130"/>
    <w:rsid w:val="00622CB1"/>
    <w:rsid w:val="00622E13"/>
    <w:rsid w:val="006244C9"/>
    <w:rsid w:val="0062624B"/>
    <w:rsid w:val="006271C8"/>
    <w:rsid w:val="006347F3"/>
    <w:rsid w:val="00635FC0"/>
    <w:rsid w:val="00636D66"/>
    <w:rsid w:val="00636F72"/>
    <w:rsid w:val="00637A61"/>
    <w:rsid w:val="0064139A"/>
    <w:rsid w:val="0064149C"/>
    <w:rsid w:val="00641710"/>
    <w:rsid w:val="00642DEB"/>
    <w:rsid w:val="006432ED"/>
    <w:rsid w:val="006432F7"/>
    <w:rsid w:val="006441E7"/>
    <w:rsid w:val="00645459"/>
    <w:rsid w:val="00645E7A"/>
    <w:rsid w:val="006460FB"/>
    <w:rsid w:val="00646DC8"/>
    <w:rsid w:val="00652A45"/>
    <w:rsid w:val="00652FD3"/>
    <w:rsid w:val="00653EEA"/>
    <w:rsid w:val="00654A82"/>
    <w:rsid w:val="0065520F"/>
    <w:rsid w:val="00660949"/>
    <w:rsid w:val="006623E4"/>
    <w:rsid w:val="006626DF"/>
    <w:rsid w:val="00663203"/>
    <w:rsid w:val="006636F1"/>
    <w:rsid w:val="00664FE3"/>
    <w:rsid w:val="006654F4"/>
    <w:rsid w:val="006657DE"/>
    <w:rsid w:val="00666008"/>
    <w:rsid w:val="0066636F"/>
    <w:rsid w:val="006675DE"/>
    <w:rsid w:val="006677AF"/>
    <w:rsid w:val="00667F83"/>
    <w:rsid w:val="00671124"/>
    <w:rsid w:val="00671160"/>
    <w:rsid w:val="006769DD"/>
    <w:rsid w:val="00676E20"/>
    <w:rsid w:val="00677C01"/>
    <w:rsid w:val="00682148"/>
    <w:rsid w:val="006828DF"/>
    <w:rsid w:val="00683F75"/>
    <w:rsid w:val="0068418F"/>
    <w:rsid w:val="00684F04"/>
    <w:rsid w:val="00686CFA"/>
    <w:rsid w:val="006874AF"/>
    <w:rsid w:val="006921B9"/>
    <w:rsid w:val="00692EFD"/>
    <w:rsid w:val="006950BF"/>
    <w:rsid w:val="006954E3"/>
    <w:rsid w:val="00695D94"/>
    <w:rsid w:val="00695FA0"/>
    <w:rsid w:val="006963FA"/>
    <w:rsid w:val="00696857"/>
    <w:rsid w:val="006A0934"/>
    <w:rsid w:val="006A0B80"/>
    <w:rsid w:val="006A285A"/>
    <w:rsid w:val="006A2CAD"/>
    <w:rsid w:val="006A2D97"/>
    <w:rsid w:val="006A3110"/>
    <w:rsid w:val="006A3CFF"/>
    <w:rsid w:val="006A5076"/>
    <w:rsid w:val="006A5521"/>
    <w:rsid w:val="006A62EF"/>
    <w:rsid w:val="006A7CFD"/>
    <w:rsid w:val="006B027D"/>
    <w:rsid w:val="006B0E21"/>
    <w:rsid w:val="006B1B6E"/>
    <w:rsid w:val="006B1C02"/>
    <w:rsid w:val="006B2989"/>
    <w:rsid w:val="006B3038"/>
    <w:rsid w:val="006B350B"/>
    <w:rsid w:val="006B3BBB"/>
    <w:rsid w:val="006B3C89"/>
    <w:rsid w:val="006B5520"/>
    <w:rsid w:val="006B6523"/>
    <w:rsid w:val="006B6BB6"/>
    <w:rsid w:val="006C1009"/>
    <w:rsid w:val="006C1C0D"/>
    <w:rsid w:val="006C1E84"/>
    <w:rsid w:val="006C48C4"/>
    <w:rsid w:val="006C573D"/>
    <w:rsid w:val="006C6284"/>
    <w:rsid w:val="006C68A1"/>
    <w:rsid w:val="006C7822"/>
    <w:rsid w:val="006D047B"/>
    <w:rsid w:val="006D0CC3"/>
    <w:rsid w:val="006D1185"/>
    <w:rsid w:val="006D299F"/>
    <w:rsid w:val="006D5CC9"/>
    <w:rsid w:val="006D7682"/>
    <w:rsid w:val="006E1109"/>
    <w:rsid w:val="006E2ABC"/>
    <w:rsid w:val="006E2FBA"/>
    <w:rsid w:val="006E3E74"/>
    <w:rsid w:val="006E41A8"/>
    <w:rsid w:val="006E6A15"/>
    <w:rsid w:val="006F0E2D"/>
    <w:rsid w:val="006F3CE6"/>
    <w:rsid w:val="006F5010"/>
    <w:rsid w:val="006F59F4"/>
    <w:rsid w:val="006F5C45"/>
    <w:rsid w:val="006F5EE2"/>
    <w:rsid w:val="006F6E8A"/>
    <w:rsid w:val="006F78A3"/>
    <w:rsid w:val="007026C6"/>
    <w:rsid w:val="00704956"/>
    <w:rsid w:val="0070668C"/>
    <w:rsid w:val="007070FB"/>
    <w:rsid w:val="0070798D"/>
    <w:rsid w:val="00710CDE"/>
    <w:rsid w:val="00712465"/>
    <w:rsid w:val="00712A7E"/>
    <w:rsid w:val="0071322B"/>
    <w:rsid w:val="0071342C"/>
    <w:rsid w:val="00714083"/>
    <w:rsid w:val="00715520"/>
    <w:rsid w:val="00715796"/>
    <w:rsid w:val="007177EE"/>
    <w:rsid w:val="007179C7"/>
    <w:rsid w:val="00720253"/>
    <w:rsid w:val="00722C92"/>
    <w:rsid w:val="00723309"/>
    <w:rsid w:val="00723C03"/>
    <w:rsid w:val="0072471C"/>
    <w:rsid w:val="00726F09"/>
    <w:rsid w:val="00726FC8"/>
    <w:rsid w:val="00731B91"/>
    <w:rsid w:val="00732016"/>
    <w:rsid w:val="00732222"/>
    <w:rsid w:val="00732645"/>
    <w:rsid w:val="007331E8"/>
    <w:rsid w:val="00733652"/>
    <w:rsid w:val="007338A0"/>
    <w:rsid w:val="007339BE"/>
    <w:rsid w:val="00733D15"/>
    <w:rsid w:val="00733EA3"/>
    <w:rsid w:val="00734C0F"/>
    <w:rsid w:val="00734CD5"/>
    <w:rsid w:val="00736D30"/>
    <w:rsid w:val="007401AC"/>
    <w:rsid w:val="00742070"/>
    <w:rsid w:val="00742776"/>
    <w:rsid w:val="00743F62"/>
    <w:rsid w:val="0074632E"/>
    <w:rsid w:val="0075043A"/>
    <w:rsid w:val="0075330D"/>
    <w:rsid w:val="0075387D"/>
    <w:rsid w:val="007559C3"/>
    <w:rsid w:val="00756F82"/>
    <w:rsid w:val="00757294"/>
    <w:rsid w:val="00757429"/>
    <w:rsid w:val="00760DF3"/>
    <w:rsid w:val="007614F5"/>
    <w:rsid w:val="00764BD9"/>
    <w:rsid w:val="007650CD"/>
    <w:rsid w:val="00765F5F"/>
    <w:rsid w:val="00770036"/>
    <w:rsid w:val="00771BF4"/>
    <w:rsid w:val="00772B84"/>
    <w:rsid w:val="00773ED9"/>
    <w:rsid w:val="00774980"/>
    <w:rsid w:val="00775226"/>
    <w:rsid w:val="00777546"/>
    <w:rsid w:val="00777B35"/>
    <w:rsid w:val="0078050F"/>
    <w:rsid w:val="007815CC"/>
    <w:rsid w:val="00781C9D"/>
    <w:rsid w:val="007834B7"/>
    <w:rsid w:val="0078443C"/>
    <w:rsid w:val="00787E76"/>
    <w:rsid w:val="0079495C"/>
    <w:rsid w:val="00794EA7"/>
    <w:rsid w:val="00795876"/>
    <w:rsid w:val="00795D94"/>
    <w:rsid w:val="007960FB"/>
    <w:rsid w:val="007964EF"/>
    <w:rsid w:val="00796644"/>
    <w:rsid w:val="00797169"/>
    <w:rsid w:val="007A1F96"/>
    <w:rsid w:val="007A1FCB"/>
    <w:rsid w:val="007A20E0"/>
    <w:rsid w:val="007A3214"/>
    <w:rsid w:val="007A3378"/>
    <w:rsid w:val="007A3FC0"/>
    <w:rsid w:val="007A4D8B"/>
    <w:rsid w:val="007A54FE"/>
    <w:rsid w:val="007A73FA"/>
    <w:rsid w:val="007A75EE"/>
    <w:rsid w:val="007A7665"/>
    <w:rsid w:val="007A7E4A"/>
    <w:rsid w:val="007B00C8"/>
    <w:rsid w:val="007B0D33"/>
    <w:rsid w:val="007B1CF3"/>
    <w:rsid w:val="007B1E92"/>
    <w:rsid w:val="007B4816"/>
    <w:rsid w:val="007B5495"/>
    <w:rsid w:val="007B72FD"/>
    <w:rsid w:val="007C2EFB"/>
    <w:rsid w:val="007C2FB2"/>
    <w:rsid w:val="007C52C0"/>
    <w:rsid w:val="007C56C2"/>
    <w:rsid w:val="007C590E"/>
    <w:rsid w:val="007D0967"/>
    <w:rsid w:val="007D0BC6"/>
    <w:rsid w:val="007D74CF"/>
    <w:rsid w:val="007E13B5"/>
    <w:rsid w:val="007E1A7F"/>
    <w:rsid w:val="007E3A44"/>
    <w:rsid w:val="007E483E"/>
    <w:rsid w:val="007E606C"/>
    <w:rsid w:val="007E6229"/>
    <w:rsid w:val="007F13FC"/>
    <w:rsid w:val="007F1B2C"/>
    <w:rsid w:val="007F2FD1"/>
    <w:rsid w:val="007F7EEB"/>
    <w:rsid w:val="00800D02"/>
    <w:rsid w:val="00801545"/>
    <w:rsid w:val="00801F9A"/>
    <w:rsid w:val="00802854"/>
    <w:rsid w:val="00802A12"/>
    <w:rsid w:val="00803575"/>
    <w:rsid w:val="0080462B"/>
    <w:rsid w:val="0080774D"/>
    <w:rsid w:val="00810549"/>
    <w:rsid w:val="008110A5"/>
    <w:rsid w:val="00814FD7"/>
    <w:rsid w:val="00815902"/>
    <w:rsid w:val="00815D58"/>
    <w:rsid w:val="00816304"/>
    <w:rsid w:val="008165DF"/>
    <w:rsid w:val="00816875"/>
    <w:rsid w:val="008174F1"/>
    <w:rsid w:val="008178F3"/>
    <w:rsid w:val="00817B5C"/>
    <w:rsid w:val="0082075E"/>
    <w:rsid w:val="008215D8"/>
    <w:rsid w:val="008218AC"/>
    <w:rsid w:val="00822FB5"/>
    <w:rsid w:val="008233D8"/>
    <w:rsid w:val="00825D3A"/>
    <w:rsid w:val="00826B0B"/>
    <w:rsid w:val="0083059E"/>
    <w:rsid w:val="00830A24"/>
    <w:rsid w:val="00831542"/>
    <w:rsid w:val="00831E60"/>
    <w:rsid w:val="00831FEE"/>
    <w:rsid w:val="0083273B"/>
    <w:rsid w:val="00833929"/>
    <w:rsid w:val="00834204"/>
    <w:rsid w:val="008361A5"/>
    <w:rsid w:val="008377A1"/>
    <w:rsid w:val="00837C20"/>
    <w:rsid w:val="00840E72"/>
    <w:rsid w:val="00844ADB"/>
    <w:rsid w:val="0084677C"/>
    <w:rsid w:val="00846ACF"/>
    <w:rsid w:val="008470D9"/>
    <w:rsid w:val="00850A19"/>
    <w:rsid w:val="00851B50"/>
    <w:rsid w:val="008544E6"/>
    <w:rsid w:val="00855742"/>
    <w:rsid w:val="008564AE"/>
    <w:rsid w:val="0085651C"/>
    <w:rsid w:val="00860DF9"/>
    <w:rsid w:val="00860FFC"/>
    <w:rsid w:val="008652A1"/>
    <w:rsid w:val="00865FFB"/>
    <w:rsid w:val="00866046"/>
    <w:rsid w:val="008661B6"/>
    <w:rsid w:val="00867C71"/>
    <w:rsid w:val="00867C8D"/>
    <w:rsid w:val="00870692"/>
    <w:rsid w:val="00870D39"/>
    <w:rsid w:val="00872A1E"/>
    <w:rsid w:val="00872AA9"/>
    <w:rsid w:val="00872B28"/>
    <w:rsid w:val="008735BD"/>
    <w:rsid w:val="00873624"/>
    <w:rsid w:val="00873951"/>
    <w:rsid w:val="008745C7"/>
    <w:rsid w:val="0087647E"/>
    <w:rsid w:val="00876AC9"/>
    <w:rsid w:val="00877A9F"/>
    <w:rsid w:val="00877C4D"/>
    <w:rsid w:val="0088039D"/>
    <w:rsid w:val="00881838"/>
    <w:rsid w:val="008822CE"/>
    <w:rsid w:val="008842F4"/>
    <w:rsid w:val="008854C7"/>
    <w:rsid w:val="00885B1C"/>
    <w:rsid w:val="008911EE"/>
    <w:rsid w:val="00891A1D"/>
    <w:rsid w:val="00891EBA"/>
    <w:rsid w:val="00892F87"/>
    <w:rsid w:val="00894A54"/>
    <w:rsid w:val="008950D6"/>
    <w:rsid w:val="00896CB4"/>
    <w:rsid w:val="00897B08"/>
    <w:rsid w:val="008A027E"/>
    <w:rsid w:val="008A08E4"/>
    <w:rsid w:val="008A099C"/>
    <w:rsid w:val="008A15A3"/>
    <w:rsid w:val="008A1C28"/>
    <w:rsid w:val="008A2130"/>
    <w:rsid w:val="008A2573"/>
    <w:rsid w:val="008A3942"/>
    <w:rsid w:val="008A5A69"/>
    <w:rsid w:val="008A6111"/>
    <w:rsid w:val="008A7803"/>
    <w:rsid w:val="008B0BF1"/>
    <w:rsid w:val="008B1488"/>
    <w:rsid w:val="008B5C11"/>
    <w:rsid w:val="008B6E84"/>
    <w:rsid w:val="008B6ED6"/>
    <w:rsid w:val="008B7C4B"/>
    <w:rsid w:val="008B7FB8"/>
    <w:rsid w:val="008C1428"/>
    <w:rsid w:val="008C1B0C"/>
    <w:rsid w:val="008C41F9"/>
    <w:rsid w:val="008C4577"/>
    <w:rsid w:val="008C4B5F"/>
    <w:rsid w:val="008C6E38"/>
    <w:rsid w:val="008D3435"/>
    <w:rsid w:val="008D4F51"/>
    <w:rsid w:val="008D541F"/>
    <w:rsid w:val="008D6952"/>
    <w:rsid w:val="008E0581"/>
    <w:rsid w:val="008E0D05"/>
    <w:rsid w:val="008E1D0E"/>
    <w:rsid w:val="008E2979"/>
    <w:rsid w:val="008E44E7"/>
    <w:rsid w:val="008E6946"/>
    <w:rsid w:val="008E7BFA"/>
    <w:rsid w:val="008E7C50"/>
    <w:rsid w:val="008E7CCD"/>
    <w:rsid w:val="008F0CA4"/>
    <w:rsid w:val="008F18C3"/>
    <w:rsid w:val="008F1D49"/>
    <w:rsid w:val="008F4495"/>
    <w:rsid w:val="008F5270"/>
    <w:rsid w:val="008F62B4"/>
    <w:rsid w:val="008F6E8E"/>
    <w:rsid w:val="008F6F58"/>
    <w:rsid w:val="008F747F"/>
    <w:rsid w:val="008F7855"/>
    <w:rsid w:val="00900B5C"/>
    <w:rsid w:val="00902DCF"/>
    <w:rsid w:val="00903538"/>
    <w:rsid w:val="00904ED9"/>
    <w:rsid w:val="00905C5C"/>
    <w:rsid w:val="0090688F"/>
    <w:rsid w:val="0091021D"/>
    <w:rsid w:val="00910B87"/>
    <w:rsid w:val="009113B1"/>
    <w:rsid w:val="00911F1F"/>
    <w:rsid w:val="00912669"/>
    <w:rsid w:val="00912D49"/>
    <w:rsid w:val="00912FF5"/>
    <w:rsid w:val="0091333A"/>
    <w:rsid w:val="00913FC2"/>
    <w:rsid w:val="00914869"/>
    <w:rsid w:val="009149FE"/>
    <w:rsid w:val="00914BA5"/>
    <w:rsid w:val="00915114"/>
    <w:rsid w:val="0091547C"/>
    <w:rsid w:val="00915527"/>
    <w:rsid w:val="00916787"/>
    <w:rsid w:val="0092434A"/>
    <w:rsid w:val="00924A19"/>
    <w:rsid w:val="0092547E"/>
    <w:rsid w:val="009256CA"/>
    <w:rsid w:val="00925777"/>
    <w:rsid w:val="00926D46"/>
    <w:rsid w:val="00926F2C"/>
    <w:rsid w:val="0092796C"/>
    <w:rsid w:val="0093335E"/>
    <w:rsid w:val="00934F9C"/>
    <w:rsid w:val="009364E3"/>
    <w:rsid w:val="00940538"/>
    <w:rsid w:val="009416BF"/>
    <w:rsid w:val="00942DA9"/>
    <w:rsid w:val="009467A1"/>
    <w:rsid w:val="00951251"/>
    <w:rsid w:val="00951C24"/>
    <w:rsid w:val="009523C7"/>
    <w:rsid w:val="00955638"/>
    <w:rsid w:val="00955DA8"/>
    <w:rsid w:val="00961BA6"/>
    <w:rsid w:val="0096266D"/>
    <w:rsid w:val="00963782"/>
    <w:rsid w:val="00964B50"/>
    <w:rsid w:val="00965F3A"/>
    <w:rsid w:val="00965FE9"/>
    <w:rsid w:val="00967207"/>
    <w:rsid w:val="0096728C"/>
    <w:rsid w:val="009675DD"/>
    <w:rsid w:val="009700A3"/>
    <w:rsid w:val="009718A8"/>
    <w:rsid w:val="009725CA"/>
    <w:rsid w:val="009749CA"/>
    <w:rsid w:val="009761C1"/>
    <w:rsid w:val="00976985"/>
    <w:rsid w:val="0098111B"/>
    <w:rsid w:val="00981564"/>
    <w:rsid w:val="009848A0"/>
    <w:rsid w:val="00985466"/>
    <w:rsid w:val="00990967"/>
    <w:rsid w:val="009909FB"/>
    <w:rsid w:val="00993161"/>
    <w:rsid w:val="00993F28"/>
    <w:rsid w:val="0099498B"/>
    <w:rsid w:val="00994F6A"/>
    <w:rsid w:val="00996702"/>
    <w:rsid w:val="00996855"/>
    <w:rsid w:val="00996956"/>
    <w:rsid w:val="009A0A6F"/>
    <w:rsid w:val="009A0B62"/>
    <w:rsid w:val="009A0F92"/>
    <w:rsid w:val="009A1251"/>
    <w:rsid w:val="009A2CCC"/>
    <w:rsid w:val="009A3251"/>
    <w:rsid w:val="009A4DE4"/>
    <w:rsid w:val="009A6157"/>
    <w:rsid w:val="009A6934"/>
    <w:rsid w:val="009A6938"/>
    <w:rsid w:val="009A771F"/>
    <w:rsid w:val="009B0ACA"/>
    <w:rsid w:val="009B16FE"/>
    <w:rsid w:val="009B22A8"/>
    <w:rsid w:val="009B2837"/>
    <w:rsid w:val="009B2AA3"/>
    <w:rsid w:val="009B2F9E"/>
    <w:rsid w:val="009B5636"/>
    <w:rsid w:val="009B5DD9"/>
    <w:rsid w:val="009B7321"/>
    <w:rsid w:val="009C04CA"/>
    <w:rsid w:val="009C0A57"/>
    <w:rsid w:val="009C1AA9"/>
    <w:rsid w:val="009C359F"/>
    <w:rsid w:val="009C5CA5"/>
    <w:rsid w:val="009C7A8E"/>
    <w:rsid w:val="009D0CE8"/>
    <w:rsid w:val="009D1978"/>
    <w:rsid w:val="009D2D25"/>
    <w:rsid w:val="009D64D8"/>
    <w:rsid w:val="009D7849"/>
    <w:rsid w:val="009D7B13"/>
    <w:rsid w:val="009E1B54"/>
    <w:rsid w:val="009E2CB0"/>
    <w:rsid w:val="009E63EE"/>
    <w:rsid w:val="009E6B2B"/>
    <w:rsid w:val="009E7FBC"/>
    <w:rsid w:val="009F19BB"/>
    <w:rsid w:val="009F1EF2"/>
    <w:rsid w:val="009F283D"/>
    <w:rsid w:val="009F2E15"/>
    <w:rsid w:val="009F3532"/>
    <w:rsid w:val="009F7084"/>
    <w:rsid w:val="00A00811"/>
    <w:rsid w:val="00A02153"/>
    <w:rsid w:val="00A02E77"/>
    <w:rsid w:val="00A030B7"/>
    <w:rsid w:val="00A03144"/>
    <w:rsid w:val="00A03788"/>
    <w:rsid w:val="00A04065"/>
    <w:rsid w:val="00A0453D"/>
    <w:rsid w:val="00A04E0A"/>
    <w:rsid w:val="00A05D17"/>
    <w:rsid w:val="00A073FA"/>
    <w:rsid w:val="00A10030"/>
    <w:rsid w:val="00A110BA"/>
    <w:rsid w:val="00A11AC6"/>
    <w:rsid w:val="00A12203"/>
    <w:rsid w:val="00A14BD5"/>
    <w:rsid w:val="00A16557"/>
    <w:rsid w:val="00A16601"/>
    <w:rsid w:val="00A17337"/>
    <w:rsid w:val="00A20667"/>
    <w:rsid w:val="00A2098E"/>
    <w:rsid w:val="00A20AD8"/>
    <w:rsid w:val="00A24812"/>
    <w:rsid w:val="00A2730B"/>
    <w:rsid w:val="00A31580"/>
    <w:rsid w:val="00A31FFF"/>
    <w:rsid w:val="00A3370C"/>
    <w:rsid w:val="00A348F3"/>
    <w:rsid w:val="00A3569A"/>
    <w:rsid w:val="00A4125C"/>
    <w:rsid w:val="00A420C3"/>
    <w:rsid w:val="00A4368F"/>
    <w:rsid w:val="00A43FA3"/>
    <w:rsid w:val="00A4479D"/>
    <w:rsid w:val="00A44AD3"/>
    <w:rsid w:val="00A44AF1"/>
    <w:rsid w:val="00A44C51"/>
    <w:rsid w:val="00A45555"/>
    <w:rsid w:val="00A45C95"/>
    <w:rsid w:val="00A50F17"/>
    <w:rsid w:val="00A510E1"/>
    <w:rsid w:val="00A517D5"/>
    <w:rsid w:val="00A52B2B"/>
    <w:rsid w:val="00A52F4C"/>
    <w:rsid w:val="00A54540"/>
    <w:rsid w:val="00A54713"/>
    <w:rsid w:val="00A556F5"/>
    <w:rsid w:val="00A57D96"/>
    <w:rsid w:val="00A60B11"/>
    <w:rsid w:val="00A61816"/>
    <w:rsid w:val="00A61B07"/>
    <w:rsid w:val="00A61D57"/>
    <w:rsid w:val="00A62924"/>
    <w:rsid w:val="00A62D22"/>
    <w:rsid w:val="00A65EF1"/>
    <w:rsid w:val="00A661B7"/>
    <w:rsid w:val="00A663B6"/>
    <w:rsid w:val="00A70F3F"/>
    <w:rsid w:val="00A715A5"/>
    <w:rsid w:val="00A718C6"/>
    <w:rsid w:val="00A71914"/>
    <w:rsid w:val="00A71B71"/>
    <w:rsid w:val="00A71E54"/>
    <w:rsid w:val="00A75765"/>
    <w:rsid w:val="00A767D8"/>
    <w:rsid w:val="00A8632A"/>
    <w:rsid w:val="00A8790F"/>
    <w:rsid w:val="00A87A36"/>
    <w:rsid w:val="00A87BFD"/>
    <w:rsid w:val="00A900D1"/>
    <w:rsid w:val="00A928F8"/>
    <w:rsid w:val="00A933E0"/>
    <w:rsid w:val="00A9529F"/>
    <w:rsid w:val="00A95307"/>
    <w:rsid w:val="00A95797"/>
    <w:rsid w:val="00A96287"/>
    <w:rsid w:val="00A965FD"/>
    <w:rsid w:val="00A97874"/>
    <w:rsid w:val="00AA2506"/>
    <w:rsid w:val="00AA300D"/>
    <w:rsid w:val="00AA3952"/>
    <w:rsid w:val="00AA477F"/>
    <w:rsid w:val="00AA47D5"/>
    <w:rsid w:val="00AA5D06"/>
    <w:rsid w:val="00AB55DB"/>
    <w:rsid w:val="00AB65DF"/>
    <w:rsid w:val="00AC01B0"/>
    <w:rsid w:val="00AC1598"/>
    <w:rsid w:val="00AC3817"/>
    <w:rsid w:val="00AC3D78"/>
    <w:rsid w:val="00AC7843"/>
    <w:rsid w:val="00AC79F2"/>
    <w:rsid w:val="00AC7A65"/>
    <w:rsid w:val="00AD1437"/>
    <w:rsid w:val="00AD15EE"/>
    <w:rsid w:val="00AD2538"/>
    <w:rsid w:val="00AD39EA"/>
    <w:rsid w:val="00AD3DDA"/>
    <w:rsid w:val="00AD43B4"/>
    <w:rsid w:val="00AD4664"/>
    <w:rsid w:val="00AD4D6A"/>
    <w:rsid w:val="00AE04B6"/>
    <w:rsid w:val="00AE2148"/>
    <w:rsid w:val="00AE2E97"/>
    <w:rsid w:val="00AE433E"/>
    <w:rsid w:val="00AE4C8B"/>
    <w:rsid w:val="00AE4F44"/>
    <w:rsid w:val="00AE6018"/>
    <w:rsid w:val="00AE67CB"/>
    <w:rsid w:val="00AE68E1"/>
    <w:rsid w:val="00AE6B07"/>
    <w:rsid w:val="00AF38B2"/>
    <w:rsid w:val="00AF53A9"/>
    <w:rsid w:val="00B0130D"/>
    <w:rsid w:val="00B015F7"/>
    <w:rsid w:val="00B06C44"/>
    <w:rsid w:val="00B070F1"/>
    <w:rsid w:val="00B077F9"/>
    <w:rsid w:val="00B1200B"/>
    <w:rsid w:val="00B12AA0"/>
    <w:rsid w:val="00B130C2"/>
    <w:rsid w:val="00B147D4"/>
    <w:rsid w:val="00B14D0D"/>
    <w:rsid w:val="00B156A3"/>
    <w:rsid w:val="00B15EAA"/>
    <w:rsid w:val="00B16334"/>
    <w:rsid w:val="00B16F13"/>
    <w:rsid w:val="00B17020"/>
    <w:rsid w:val="00B202D0"/>
    <w:rsid w:val="00B2046D"/>
    <w:rsid w:val="00B2183A"/>
    <w:rsid w:val="00B21CFD"/>
    <w:rsid w:val="00B2315A"/>
    <w:rsid w:val="00B237B5"/>
    <w:rsid w:val="00B23C30"/>
    <w:rsid w:val="00B245C7"/>
    <w:rsid w:val="00B251E8"/>
    <w:rsid w:val="00B254BB"/>
    <w:rsid w:val="00B26829"/>
    <w:rsid w:val="00B27A00"/>
    <w:rsid w:val="00B31476"/>
    <w:rsid w:val="00B314DD"/>
    <w:rsid w:val="00B31F7F"/>
    <w:rsid w:val="00B321B7"/>
    <w:rsid w:val="00B326FC"/>
    <w:rsid w:val="00B340F9"/>
    <w:rsid w:val="00B3434D"/>
    <w:rsid w:val="00B34B62"/>
    <w:rsid w:val="00B35513"/>
    <w:rsid w:val="00B356BB"/>
    <w:rsid w:val="00B35F42"/>
    <w:rsid w:val="00B367D5"/>
    <w:rsid w:val="00B37B3D"/>
    <w:rsid w:val="00B41C1A"/>
    <w:rsid w:val="00B43335"/>
    <w:rsid w:val="00B44256"/>
    <w:rsid w:val="00B44277"/>
    <w:rsid w:val="00B478F3"/>
    <w:rsid w:val="00B52EA3"/>
    <w:rsid w:val="00B5308D"/>
    <w:rsid w:val="00B53132"/>
    <w:rsid w:val="00B56D2B"/>
    <w:rsid w:val="00B57BF6"/>
    <w:rsid w:val="00B6126C"/>
    <w:rsid w:val="00B6198A"/>
    <w:rsid w:val="00B62283"/>
    <w:rsid w:val="00B63397"/>
    <w:rsid w:val="00B703F9"/>
    <w:rsid w:val="00B71657"/>
    <w:rsid w:val="00B71C69"/>
    <w:rsid w:val="00B71FFB"/>
    <w:rsid w:val="00B74746"/>
    <w:rsid w:val="00B765FA"/>
    <w:rsid w:val="00B76DA1"/>
    <w:rsid w:val="00B77527"/>
    <w:rsid w:val="00B77E6C"/>
    <w:rsid w:val="00B8039F"/>
    <w:rsid w:val="00B85398"/>
    <w:rsid w:val="00B85460"/>
    <w:rsid w:val="00B8561F"/>
    <w:rsid w:val="00B87037"/>
    <w:rsid w:val="00B9326D"/>
    <w:rsid w:val="00B94313"/>
    <w:rsid w:val="00B95644"/>
    <w:rsid w:val="00B95ACB"/>
    <w:rsid w:val="00B95C7F"/>
    <w:rsid w:val="00B95E6C"/>
    <w:rsid w:val="00BA1E6C"/>
    <w:rsid w:val="00BA42BC"/>
    <w:rsid w:val="00BA53DD"/>
    <w:rsid w:val="00BA548F"/>
    <w:rsid w:val="00BA580A"/>
    <w:rsid w:val="00BA5960"/>
    <w:rsid w:val="00BA645F"/>
    <w:rsid w:val="00BA738F"/>
    <w:rsid w:val="00BA7868"/>
    <w:rsid w:val="00BA7923"/>
    <w:rsid w:val="00BB168B"/>
    <w:rsid w:val="00BB3180"/>
    <w:rsid w:val="00BB5070"/>
    <w:rsid w:val="00BB58F7"/>
    <w:rsid w:val="00BB5C0A"/>
    <w:rsid w:val="00BB5EE5"/>
    <w:rsid w:val="00BC04E5"/>
    <w:rsid w:val="00BC26C4"/>
    <w:rsid w:val="00BC3519"/>
    <w:rsid w:val="00BC4E23"/>
    <w:rsid w:val="00BC4EE2"/>
    <w:rsid w:val="00BC5772"/>
    <w:rsid w:val="00BC5DF1"/>
    <w:rsid w:val="00BC65E9"/>
    <w:rsid w:val="00BC6B58"/>
    <w:rsid w:val="00BC726A"/>
    <w:rsid w:val="00BD1043"/>
    <w:rsid w:val="00BD2C69"/>
    <w:rsid w:val="00BD31F6"/>
    <w:rsid w:val="00BD44D5"/>
    <w:rsid w:val="00BD473D"/>
    <w:rsid w:val="00BD5ACB"/>
    <w:rsid w:val="00BD6795"/>
    <w:rsid w:val="00BE1664"/>
    <w:rsid w:val="00BE32DD"/>
    <w:rsid w:val="00BE40EF"/>
    <w:rsid w:val="00BE67E0"/>
    <w:rsid w:val="00BE6918"/>
    <w:rsid w:val="00BE77FF"/>
    <w:rsid w:val="00BF076B"/>
    <w:rsid w:val="00BF0FE7"/>
    <w:rsid w:val="00BF1E2C"/>
    <w:rsid w:val="00BF4296"/>
    <w:rsid w:val="00BF5267"/>
    <w:rsid w:val="00BF771E"/>
    <w:rsid w:val="00C001BB"/>
    <w:rsid w:val="00C01DF0"/>
    <w:rsid w:val="00C0332B"/>
    <w:rsid w:val="00C04F19"/>
    <w:rsid w:val="00C05CB2"/>
    <w:rsid w:val="00C06776"/>
    <w:rsid w:val="00C06DFB"/>
    <w:rsid w:val="00C07268"/>
    <w:rsid w:val="00C073B8"/>
    <w:rsid w:val="00C07570"/>
    <w:rsid w:val="00C07BED"/>
    <w:rsid w:val="00C11C2E"/>
    <w:rsid w:val="00C13C41"/>
    <w:rsid w:val="00C16785"/>
    <w:rsid w:val="00C16940"/>
    <w:rsid w:val="00C17836"/>
    <w:rsid w:val="00C209BE"/>
    <w:rsid w:val="00C21DEF"/>
    <w:rsid w:val="00C22313"/>
    <w:rsid w:val="00C22CE4"/>
    <w:rsid w:val="00C25BE2"/>
    <w:rsid w:val="00C27543"/>
    <w:rsid w:val="00C35E19"/>
    <w:rsid w:val="00C3705D"/>
    <w:rsid w:val="00C40DA7"/>
    <w:rsid w:val="00C4140C"/>
    <w:rsid w:val="00C416AB"/>
    <w:rsid w:val="00C41AD5"/>
    <w:rsid w:val="00C42527"/>
    <w:rsid w:val="00C4282C"/>
    <w:rsid w:val="00C42F77"/>
    <w:rsid w:val="00C43F6D"/>
    <w:rsid w:val="00C447C7"/>
    <w:rsid w:val="00C44AB7"/>
    <w:rsid w:val="00C44EB8"/>
    <w:rsid w:val="00C45A8D"/>
    <w:rsid w:val="00C462C8"/>
    <w:rsid w:val="00C46B25"/>
    <w:rsid w:val="00C471DB"/>
    <w:rsid w:val="00C50070"/>
    <w:rsid w:val="00C50DDB"/>
    <w:rsid w:val="00C52B2B"/>
    <w:rsid w:val="00C53CCC"/>
    <w:rsid w:val="00C56413"/>
    <w:rsid w:val="00C56479"/>
    <w:rsid w:val="00C56702"/>
    <w:rsid w:val="00C603AD"/>
    <w:rsid w:val="00C609E2"/>
    <w:rsid w:val="00C62244"/>
    <w:rsid w:val="00C6410A"/>
    <w:rsid w:val="00C659CA"/>
    <w:rsid w:val="00C65EB7"/>
    <w:rsid w:val="00C67356"/>
    <w:rsid w:val="00C67651"/>
    <w:rsid w:val="00C71679"/>
    <w:rsid w:val="00C71E40"/>
    <w:rsid w:val="00C71E65"/>
    <w:rsid w:val="00C7375B"/>
    <w:rsid w:val="00C73E7C"/>
    <w:rsid w:val="00C7482F"/>
    <w:rsid w:val="00C74D7F"/>
    <w:rsid w:val="00C7586A"/>
    <w:rsid w:val="00C7692E"/>
    <w:rsid w:val="00C76A63"/>
    <w:rsid w:val="00C76BFB"/>
    <w:rsid w:val="00C806BC"/>
    <w:rsid w:val="00C80DB5"/>
    <w:rsid w:val="00C85D50"/>
    <w:rsid w:val="00C865BD"/>
    <w:rsid w:val="00C907A2"/>
    <w:rsid w:val="00C9144C"/>
    <w:rsid w:val="00C91AD7"/>
    <w:rsid w:val="00C92014"/>
    <w:rsid w:val="00C92FAF"/>
    <w:rsid w:val="00C953AF"/>
    <w:rsid w:val="00C95E78"/>
    <w:rsid w:val="00C97F88"/>
    <w:rsid w:val="00CA0A73"/>
    <w:rsid w:val="00CA0C43"/>
    <w:rsid w:val="00CA1935"/>
    <w:rsid w:val="00CA1C40"/>
    <w:rsid w:val="00CA2949"/>
    <w:rsid w:val="00CA2F74"/>
    <w:rsid w:val="00CA36F4"/>
    <w:rsid w:val="00CA375D"/>
    <w:rsid w:val="00CA49E2"/>
    <w:rsid w:val="00CA50A2"/>
    <w:rsid w:val="00CA56E9"/>
    <w:rsid w:val="00CA58AA"/>
    <w:rsid w:val="00CA596A"/>
    <w:rsid w:val="00CA6CC6"/>
    <w:rsid w:val="00CA7E75"/>
    <w:rsid w:val="00CB0473"/>
    <w:rsid w:val="00CB555F"/>
    <w:rsid w:val="00CB7A29"/>
    <w:rsid w:val="00CC234A"/>
    <w:rsid w:val="00CC44C8"/>
    <w:rsid w:val="00CC56CB"/>
    <w:rsid w:val="00CC57D4"/>
    <w:rsid w:val="00CC5B75"/>
    <w:rsid w:val="00CC5FCD"/>
    <w:rsid w:val="00CC6438"/>
    <w:rsid w:val="00CC75FE"/>
    <w:rsid w:val="00CD1647"/>
    <w:rsid w:val="00CD2067"/>
    <w:rsid w:val="00CD393E"/>
    <w:rsid w:val="00CD3DF9"/>
    <w:rsid w:val="00CD4839"/>
    <w:rsid w:val="00CE10B2"/>
    <w:rsid w:val="00CE1856"/>
    <w:rsid w:val="00CE1F82"/>
    <w:rsid w:val="00CE226B"/>
    <w:rsid w:val="00CE3F3E"/>
    <w:rsid w:val="00CE4770"/>
    <w:rsid w:val="00CF00B7"/>
    <w:rsid w:val="00CF0D3A"/>
    <w:rsid w:val="00CF0EC9"/>
    <w:rsid w:val="00CF3208"/>
    <w:rsid w:val="00CF474C"/>
    <w:rsid w:val="00CF480D"/>
    <w:rsid w:val="00CF53B7"/>
    <w:rsid w:val="00CF610C"/>
    <w:rsid w:val="00CF67B7"/>
    <w:rsid w:val="00D0098C"/>
    <w:rsid w:val="00D00DB3"/>
    <w:rsid w:val="00D01565"/>
    <w:rsid w:val="00D047A1"/>
    <w:rsid w:val="00D04B35"/>
    <w:rsid w:val="00D07309"/>
    <w:rsid w:val="00D07A62"/>
    <w:rsid w:val="00D10686"/>
    <w:rsid w:val="00D109A5"/>
    <w:rsid w:val="00D11D52"/>
    <w:rsid w:val="00D137D5"/>
    <w:rsid w:val="00D15683"/>
    <w:rsid w:val="00D1675B"/>
    <w:rsid w:val="00D17BA4"/>
    <w:rsid w:val="00D203DA"/>
    <w:rsid w:val="00D2123D"/>
    <w:rsid w:val="00D21F30"/>
    <w:rsid w:val="00D2215D"/>
    <w:rsid w:val="00D22606"/>
    <w:rsid w:val="00D24B22"/>
    <w:rsid w:val="00D256F5"/>
    <w:rsid w:val="00D25D2E"/>
    <w:rsid w:val="00D25DA8"/>
    <w:rsid w:val="00D260D0"/>
    <w:rsid w:val="00D27892"/>
    <w:rsid w:val="00D3089E"/>
    <w:rsid w:val="00D30E7F"/>
    <w:rsid w:val="00D310CB"/>
    <w:rsid w:val="00D314FE"/>
    <w:rsid w:val="00D31896"/>
    <w:rsid w:val="00D319DE"/>
    <w:rsid w:val="00D31E6D"/>
    <w:rsid w:val="00D329C8"/>
    <w:rsid w:val="00D337B2"/>
    <w:rsid w:val="00D33E87"/>
    <w:rsid w:val="00D3472C"/>
    <w:rsid w:val="00D34EE8"/>
    <w:rsid w:val="00D34F7D"/>
    <w:rsid w:val="00D40888"/>
    <w:rsid w:val="00D40AD2"/>
    <w:rsid w:val="00D41006"/>
    <w:rsid w:val="00D4109B"/>
    <w:rsid w:val="00D41191"/>
    <w:rsid w:val="00D411AE"/>
    <w:rsid w:val="00D41FFB"/>
    <w:rsid w:val="00D46340"/>
    <w:rsid w:val="00D47343"/>
    <w:rsid w:val="00D50187"/>
    <w:rsid w:val="00D50C1B"/>
    <w:rsid w:val="00D51049"/>
    <w:rsid w:val="00D51704"/>
    <w:rsid w:val="00D5216E"/>
    <w:rsid w:val="00D52FFC"/>
    <w:rsid w:val="00D54C6E"/>
    <w:rsid w:val="00D55874"/>
    <w:rsid w:val="00D56995"/>
    <w:rsid w:val="00D56DF3"/>
    <w:rsid w:val="00D60E6C"/>
    <w:rsid w:val="00D61799"/>
    <w:rsid w:val="00D6245F"/>
    <w:rsid w:val="00D6266A"/>
    <w:rsid w:val="00D663A1"/>
    <w:rsid w:val="00D70688"/>
    <w:rsid w:val="00D713BF"/>
    <w:rsid w:val="00D72588"/>
    <w:rsid w:val="00D73215"/>
    <w:rsid w:val="00D739E6"/>
    <w:rsid w:val="00D74151"/>
    <w:rsid w:val="00D7464C"/>
    <w:rsid w:val="00D81DD5"/>
    <w:rsid w:val="00D8275D"/>
    <w:rsid w:val="00D845B4"/>
    <w:rsid w:val="00D84FFC"/>
    <w:rsid w:val="00D8562C"/>
    <w:rsid w:val="00D86746"/>
    <w:rsid w:val="00D87C15"/>
    <w:rsid w:val="00D87C4A"/>
    <w:rsid w:val="00D92EC7"/>
    <w:rsid w:val="00D93755"/>
    <w:rsid w:val="00D94BEB"/>
    <w:rsid w:val="00D95CB0"/>
    <w:rsid w:val="00D96EE5"/>
    <w:rsid w:val="00DA0956"/>
    <w:rsid w:val="00DA2903"/>
    <w:rsid w:val="00DA33F5"/>
    <w:rsid w:val="00DA4F07"/>
    <w:rsid w:val="00DA5070"/>
    <w:rsid w:val="00DA633A"/>
    <w:rsid w:val="00DA63F1"/>
    <w:rsid w:val="00DA7F9A"/>
    <w:rsid w:val="00DB32B9"/>
    <w:rsid w:val="00DB3A18"/>
    <w:rsid w:val="00DB4285"/>
    <w:rsid w:val="00DB444E"/>
    <w:rsid w:val="00DB499B"/>
    <w:rsid w:val="00DB6259"/>
    <w:rsid w:val="00DB73A5"/>
    <w:rsid w:val="00DC0FF5"/>
    <w:rsid w:val="00DC3B65"/>
    <w:rsid w:val="00DC4AC6"/>
    <w:rsid w:val="00DC5D83"/>
    <w:rsid w:val="00DC6906"/>
    <w:rsid w:val="00DD156C"/>
    <w:rsid w:val="00DD1807"/>
    <w:rsid w:val="00DD2D88"/>
    <w:rsid w:val="00DD2F65"/>
    <w:rsid w:val="00DD5114"/>
    <w:rsid w:val="00DD6DE5"/>
    <w:rsid w:val="00DE0206"/>
    <w:rsid w:val="00DE04B9"/>
    <w:rsid w:val="00DE1D09"/>
    <w:rsid w:val="00DE36A3"/>
    <w:rsid w:val="00DE5B64"/>
    <w:rsid w:val="00DE6023"/>
    <w:rsid w:val="00DF16A4"/>
    <w:rsid w:val="00DF19F2"/>
    <w:rsid w:val="00DF33B9"/>
    <w:rsid w:val="00DF364B"/>
    <w:rsid w:val="00DF4BAF"/>
    <w:rsid w:val="00DF5EDB"/>
    <w:rsid w:val="00DF64A8"/>
    <w:rsid w:val="00E00E24"/>
    <w:rsid w:val="00E020F8"/>
    <w:rsid w:val="00E02564"/>
    <w:rsid w:val="00E02727"/>
    <w:rsid w:val="00E03ECA"/>
    <w:rsid w:val="00E06AF2"/>
    <w:rsid w:val="00E06FC7"/>
    <w:rsid w:val="00E10ACC"/>
    <w:rsid w:val="00E10F97"/>
    <w:rsid w:val="00E13123"/>
    <w:rsid w:val="00E14AF1"/>
    <w:rsid w:val="00E15266"/>
    <w:rsid w:val="00E171EE"/>
    <w:rsid w:val="00E17B8E"/>
    <w:rsid w:val="00E17EF3"/>
    <w:rsid w:val="00E20512"/>
    <w:rsid w:val="00E20B3C"/>
    <w:rsid w:val="00E2148B"/>
    <w:rsid w:val="00E22A88"/>
    <w:rsid w:val="00E2348E"/>
    <w:rsid w:val="00E2489A"/>
    <w:rsid w:val="00E254AC"/>
    <w:rsid w:val="00E30F11"/>
    <w:rsid w:val="00E310F1"/>
    <w:rsid w:val="00E31D7B"/>
    <w:rsid w:val="00E31F80"/>
    <w:rsid w:val="00E3222B"/>
    <w:rsid w:val="00E324F3"/>
    <w:rsid w:val="00E37762"/>
    <w:rsid w:val="00E37E51"/>
    <w:rsid w:val="00E4092D"/>
    <w:rsid w:val="00E40D70"/>
    <w:rsid w:val="00E4198F"/>
    <w:rsid w:val="00E42EAB"/>
    <w:rsid w:val="00E43D3F"/>
    <w:rsid w:val="00E443B6"/>
    <w:rsid w:val="00E450CE"/>
    <w:rsid w:val="00E45FB6"/>
    <w:rsid w:val="00E46BFE"/>
    <w:rsid w:val="00E506AC"/>
    <w:rsid w:val="00E51B87"/>
    <w:rsid w:val="00E5294E"/>
    <w:rsid w:val="00E558D3"/>
    <w:rsid w:val="00E559EB"/>
    <w:rsid w:val="00E55D29"/>
    <w:rsid w:val="00E5633F"/>
    <w:rsid w:val="00E60F5C"/>
    <w:rsid w:val="00E62164"/>
    <w:rsid w:val="00E6268E"/>
    <w:rsid w:val="00E62B4F"/>
    <w:rsid w:val="00E62E5B"/>
    <w:rsid w:val="00E62F40"/>
    <w:rsid w:val="00E62F67"/>
    <w:rsid w:val="00E64EE2"/>
    <w:rsid w:val="00E65A8C"/>
    <w:rsid w:val="00E66451"/>
    <w:rsid w:val="00E66658"/>
    <w:rsid w:val="00E66FAF"/>
    <w:rsid w:val="00E70EC6"/>
    <w:rsid w:val="00E71AE1"/>
    <w:rsid w:val="00E733FC"/>
    <w:rsid w:val="00E73980"/>
    <w:rsid w:val="00E73A2B"/>
    <w:rsid w:val="00E73C1D"/>
    <w:rsid w:val="00E81F24"/>
    <w:rsid w:val="00E821AD"/>
    <w:rsid w:val="00E82419"/>
    <w:rsid w:val="00E8246C"/>
    <w:rsid w:val="00E82B97"/>
    <w:rsid w:val="00E82FFC"/>
    <w:rsid w:val="00E83ECB"/>
    <w:rsid w:val="00E84463"/>
    <w:rsid w:val="00E94B34"/>
    <w:rsid w:val="00E951C2"/>
    <w:rsid w:val="00E978D4"/>
    <w:rsid w:val="00EA19CF"/>
    <w:rsid w:val="00EA1E39"/>
    <w:rsid w:val="00EA2627"/>
    <w:rsid w:val="00EA2958"/>
    <w:rsid w:val="00EA2BF8"/>
    <w:rsid w:val="00EA2DF3"/>
    <w:rsid w:val="00EA3E28"/>
    <w:rsid w:val="00EA5213"/>
    <w:rsid w:val="00EA55C2"/>
    <w:rsid w:val="00EA678A"/>
    <w:rsid w:val="00EB082B"/>
    <w:rsid w:val="00EB4566"/>
    <w:rsid w:val="00EB66DD"/>
    <w:rsid w:val="00EB779B"/>
    <w:rsid w:val="00EC09B4"/>
    <w:rsid w:val="00EC20EF"/>
    <w:rsid w:val="00EC2268"/>
    <w:rsid w:val="00EC2543"/>
    <w:rsid w:val="00EC4699"/>
    <w:rsid w:val="00EC6259"/>
    <w:rsid w:val="00EC6718"/>
    <w:rsid w:val="00ED0700"/>
    <w:rsid w:val="00ED2048"/>
    <w:rsid w:val="00ED67F4"/>
    <w:rsid w:val="00ED766E"/>
    <w:rsid w:val="00EE0970"/>
    <w:rsid w:val="00EE104E"/>
    <w:rsid w:val="00EE11DF"/>
    <w:rsid w:val="00EE207B"/>
    <w:rsid w:val="00EE3464"/>
    <w:rsid w:val="00EE418C"/>
    <w:rsid w:val="00EE4C3E"/>
    <w:rsid w:val="00EE4CBC"/>
    <w:rsid w:val="00EE5EBB"/>
    <w:rsid w:val="00EE6621"/>
    <w:rsid w:val="00EE733F"/>
    <w:rsid w:val="00EF04E7"/>
    <w:rsid w:val="00EF0C15"/>
    <w:rsid w:val="00EF110A"/>
    <w:rsid w:val="00EF18B5"/>
    <w:rsid w:val="00EF26FF"/>
    <w:rsid w:val="00EF534D"/>
    <w:rsid w:val="00EF7207"/>
    <w:rsid w:val="00F02379"/>
    <w:rsid w:val="00F02E3D"/>
    <w:rsid w:val="00F040BA"/>
    <w:rsid w:val="00F05BB9"/>
    <w:rsid w:val="00F05D60"/>
    <w:rsid w:val="00F07EEE"/>
    <w:rsid w:val="00F10021"/>
    <w:rsid w:val="00F1219B"/>
    <w:rsid w:val="00F12D31"/>
    <w:rsid w:val="00F14A06"/>
    <w:rsid w:val="00F168E0"/>
    <w:rsid w:val="00F16E07"/>
    <w:rsid w:val="00F17D07"/>
    <w:rsid w:val="00F20EFC"/>
    <w:rsid w:val="00F217D1"/>
    <w:rsid w:val="00F24C4E"/>
    <w:rsid w:val="00F278DC"/>
    <w:rsid w:val="00F30ED5"/>
    <w:rsid w:val="00F31340"/>
    <w:rsid w:val="00F35343"/>
    <w:rsid w:val="00F35FA5"/>
    <w:rsid w:val="00F4172F"/>
    <w:rsid w:val="00F43BCD"/>
    <w:rsid w:val="00F4426B"/>
    <w:rsid w:val="00F44575"/>
    <w:rsid w:val="00F46CA6"/>
    <w:rsid w:val="00F50195"/>
    <w:rsid w:val="00F509ED"/>
    <w:rsid w:val="00F50B22"/>
    <w:rsid w:val="00F52534"/>
    <w:rsid w:val="00F52FFB"/>
    <w:rsid w:val="00F55553"/>
    <w:rsid w:val="00F607B8"/>
    <w:rsid w:val="00F60A5B"/>
    <w:rsid w:val="00F61362"/>
    <w:rsid w:val="00F6236B"/>
    <w:rsid w:val="00F62D8D"/>
    <w:rsid w:val="00F63C43"/>
    <w:rsid w:val="00F64BE3"/>
    <w:rsid w:val="00F65583"/>
    <w:rsid w:val="00F65D80"/>
    <w:rsid w:val="00F66487"/>
    <w:rsid w:val="00F67172"/>
    <w:rsid w:val="00F6729B"/>
    <w:rsid w:val="00F704A9"/>
    <w:rsid w:val="00F715E2"/>
    <w:rsid w:val="00F72E91"/>
    <w:rsid w:val="00F731FD"/>
    <w:rsid w:val="00F7397C"/>
    <w:rsid w:val="00F75C71"/>
    <w:rsid w:val="00F7686A"/>
    <w:rsid w:val="00F8007B"/>
    <w:rsid w:val="00F80218"/>
    <w:rsid w:val="00F82BC8"/>
    <w:rsid w:val="00F8494D"/>
    <w:rsid w:val="00F8511E"/>
    <w:rsid w:val="00F861AF"/>
    <w:rsid w:val="00F862DC"/>
    <w:rsid w:val="00F8686A"/>
    <w:rsid w:val="00F86E25"/>
    <w:rsid w:val="00F91EFB"/>
    <w:rsid w:val="00F92210"/>
    <w:rsid w:val="00F92752"/>
    <w:rsid w:val="00F927F8"/>
    <w:rsid w:val="00F9393F"/>
    <w:rsid w:val="00F93E21"/>
    <w:rsid w:val="00F96762"/>
    <w:rsid w:val="00F96A3C"/>
    <w:rsid w:val="00FA0125"/>
    <w:rsid w:val="00FA0420"/>
    <w:rsid w:val="00FA102C"/>
    <w:rsid w:val="00FA2357"/>
    <w:rsid w:val="00FA23B1"/>
    <w:rsid w:val="00FA36AC"/>
    <w:rsid w:val="00FA5B19"/>
    <w:rsid w:val="00FA69EF"/>
    <w:rsid w:val="00FB20D3"/>
    <w:rsid w:val="00FB21E7"/>
    <w:rsid w:val="00FB397B"/>
    <w:rsid w:val="00FB3C98"/>
    <w:rsid w:val="00FB3D0A"/>
    <w:rsid w:val="00FB4920"/>
    <w:rsid w:val="00FB7A16"/>
    <w:rsid w:val="00FC0887"/>
    <w:rsid w:val="00FC11C3"/>
    <w:rsid w:val="00FC1780"/>
    <w:rsid w:val="00FC304D"/>
    <w:rsid w:val="00FC4583"/>
    <w:rsid w:val="00FC60B5"/>
    <w:rsid w:val="00FC72BF"/>
    <w:rsid w:val="00FD068D"/>
    <w:rsid w:val="00FD0E70"/>
    <w:rsid w:val="00FD1C37"/>
    <w:rsid w:val="00FD1D8D"/>
    <w:rsid w:val="00FD2A5E"/>
    <w:rsid w:val="00FD4F4B"/>
    <w:rsid w:val="00FD5A90"/>
    <w:rsid w:val="00FD671E"/>
    <w:rsid w:val="00FD7BD1"/>
    <w:rsid w:val="00FE18C7"/>
    <w:rsid w:val="00FE313F"/>
    <w:rsid w:val="00FE36F4"/>
    <w:rsid w:val="00FE4EF2"/>
    <w:rsid w:val="00FE52D1"/>
    <w:rsid w:val="00FE5491"/>
    <w:rsid w:val="00FE5BC7"/>
    <w:rsid w:val="00FE71FD"/>
    <w:rsid w:val="00FE7E1C"/>
    <w:rsid w:val="00FF3565"/>
    <w:rsid w:val="00FF69CC"/>
    <w:rsid w:val="010A353B"/>
    <w:rsid w:val="014E290D"/>
    <w:rsid w:val="015679D0"/>
    <w:rsid w:val="015F38E8"/>
    <w:rsid w:val="016519C1"/>
    <w:rsid w:val="01844F13"/>
    <w:rsid w:val="022D5EAD"/>
    <w:rsid w:val="026E6F9B"/>
    <w:rsid w:val="027D1E8C"/>
    <w:rsid w:val="029F0F02"/>
    <w:rsid w:val="03BE20DD"/>
    <w:rsid w:val="046057CC"/>
    <w:rsid w:val="049F7362"/>
    <w:rsid w:val="04CA4A74"/>
    <w:rsid w:val="059D583E"/>
    <w:rsid w:val="065300CE"/>
    <w:rsid w:val="06951203"/>
    <w:rsid w:val="07117EF5"/>
    <w:rsid w:val="07296192"/>
    <w:rsid w:val="072B74A6"/>
    <w:rsid w:val="07AA45D1"/>
    <w:rsid w:val="08403200"/>
    <w:rsid w:val="087A1FE2"/>
    <w:rsid w:val="094B0C70"/>
    <w:rsid w:val="0A49111F"/>
    <w:rsid w:val="0ABA6B0C"/>
    <w:rsid w:val="0ABE6CB0"/>
    <w:rsid w:val="0B57008E"/>
    <w:rsid w:val="0BBC28CE"/>
    <w:rsid w:val="0D2D6044"/>
    <w:rsid w:val="0D7116ED"/>
    <w:rsid w:val="0DC10F3C"/>
    <w:rsid w:val="0E4A7295"/>
    <w:rsid w:val="0F1113DA"/>
    <w:rsid w:val="1102722C"/>
    <w:rsid w:val="119A0E83"/>
    <w:rsid w:val="120343C6"/>
    <w:rsid w:val="1224017A"/>
    <w:rsid w:val="1233254C"/>
    <w:rsid w:val="12D30A20"/>
    <w:rsid w:val="134419D0"/>
    <w:rsid w:val="13DD7B3F"/>
    <w:rsid w:val="15135796"/>
    <w:rsid w:val="15B61697"/>
    <w:rsid w:val="16927B48"/>
    <w:rsid w:val="17321EED"/>
    <w:rsid w:val="17CA5220"/>
    <w:rsid w:val="189B3AC2"/>
    <w:rsid w:val="18CD4D57"/>
    <w:rsid w:val="18E6320F"/>
    <w:rsid w:val="19A1335A"/>
    <w:rsid w:val="19F24478"/>
    <w:rsid w:val="19F93084"/>
    <w:rsid w:val="1A46462D"/>
    <w:rsid w:val="1A5328A6"/>
    <w:rsid w:val="1B506DE6"/>
    <w:rsid w:val="1BA8182B"/>
    <w:rsid w:val="1CF36417"/>
    <w:rsid w:val="1CFB0451"/>
    <w:rsid w:val="1D273244"/>
    <w:rsid w:val="1D491F5C"/>
    <w:rsid w:val="1D7831A4"/>
    <w:rsid w:val="1DD97567"/>
    <w:rsid w:val="1E024ED4"/>
    <w:rsid w:val="1E301ABC"/>
    <w:rsid w:val="1E5523F1"/>
    <w:rsid w:val="1EFD0847"/>
    <w:rsid w:val="1F9A2D26"/>
    <w:rsid w:val="1FCF2475"/>
    <w:rsid w:val="202B2241"/>
    <w:rsid w:val="20A60B68"/>
    <w:rsid w:val="22BD4007"/>
    <w:rsid w:val="24FF2735"/>
    <w:rsid w:val="25072C0B"/>
    <w:rsid w:val="26026F4C"/>
    <w:rsid w:val="263F0183"/>
    <w:rsid w:val="26B11081"/>
    <w:rsid w:val="275E288B"/>
    <w:rsid w:val="278C389C"/>
    <w:rsid w:val="27FE771F"/>
    <w:rsid w:val="28C05298"/>
    <w:rsid w:val="28C438FA"/>
    <w:rsid w:val="29DD3F3B"/>
    <w:rsid w:val="2A477590"/>
    <w:rsid w:val="2A673458"/>
    <w:rsid w:val="2A887D98"/>
    <w:rsid w:val="2AC0099D"/>
    <w:rsid w:val="2AF317E6"/>
    <w:rsid w:val="2C620039"/>
    <w:rsid w:val="2C936745"/>
    <w:rsid w:val="2CC31B0E"/>
    <w:rsid w:val="2D0D61FC"/>
    <w:rsid w:val="2D426ED6"/>
    <w:rsid w:val="2D766D01"/>
    <w:rsid w:val="2E3D5CA7"/>
    <w:rsid w:val="2E440A2C"/>
    <w:rsid w:val="301F52AD"/>
    <w:rsid w:val="305E17D7"/>
    <w:rsid w:val="30877A50"/>
    <w:rsid w:val="308C0468"/>
    <w:rsid w:val="30CA4E30"/>
    <w:rsid w:val="3165248D"/>
    <w:rsid w:val="319D242B"/>
    <w:rsid w:val="31A25080"/>
    <w:rsid w:val="32841682"/>
    <w:rsid w:val="33142EA8"/>
    <w:rsid w:val="332E3A59"/>
    <w:rsid w:val="34242CB0"/>
    <w:rsid w:val="34C0456D"/>
    <w:rsid w:val="350B7E07"/>
    <w:rsid w:val="359E79D5"/>
    <w:rsid w:val="36050AA1"/>
    <w:rsid w:val="36CB62E7"/>
    <w:rsid w:val="374E4C69"/>
    <w:rsid w:val="376E08C8"/>
    <w:rsid w:val="37E82C61"/>
    <w:rsid w:val="37F0110E"/>
    <w:rsid w:val="39263367"/>
    <w:rsid w:val="3A974416"/>
    <w:rsid w:val="3AD54E40"/>
    <w:rsid w:val="3B435B69"/>
    <w:rsid w:val="3C12216A"/>
    <w:rsid w:val="3C3913FA"/>
    <w:rsid w:val="3D2939AE"/>
    <w:rsid w:val="3D2E4D81"/>
    <w:rsid w:val="3E1F291C"/>
    <w:rsid w:val="3E49205B"/>
    <w:rsid w:val="3E9A2ABD"/>
    <w:rsid w:val="3FEA6E6B"/>
    <w:rsid w:val="406F404D"/>
    <w:rsid w:val="40A9648B"/>
    <w:rsid w:val="40E8793D"/>
    <w:rsid w:val="41941570"/>
    <w:rsid w:val="42B20202"/>
    <w:rsid w:val="42E00A4C"/>
    <w:rsid w:val="43300CB0"/>
    <w:rsid w:val="43D81418"/>
    <w:rsid w:val="43F3462F"/>
    <w:rsid w:val="442B1ADC"/>
    <w:rsid w:val="448A5ACB"/>
    <w:rsid w:val="450A325E"/>
    <w:rsid w:val="473F1D7C"/>
    <w:rsid w:val="48F9543B"/>
    <w:rsid w:val="4A501080"/>
    <w:rsid w:val="4A566406"/>
    <w:rsid w:val="4AD27D28"/>
    <w:rsid w:val="4B620C50"/>
    <w:rsid w:val="4B926FEA"/>
    <w:rsid w:val="4BEC5F10"/>
    <w:rsid w:val="4BF26976"/>
    <w:rsid w:val="4C0E0406"/>
    <w:rsid w:val="4CBA3B1F"/>
    <w:rsid w:val="4D5256F1"/>
    <w:rsid w:val="4D6D36A4"/>
    <w:rsid w:val="4DE50D6B"/>
    <w:rsid w:val="4E047438"/>
    <w:rsid w:val="4E0C1C5E"/>
    <w:rsid w:val="4E347774"/>
    <w:rsid w:val="4ECE7859"/>
    <w:rsid w:val="4EFA4203"/>
    <w:rsid w:val="50636FCF"/>
    <w:rsid w:val="52111D45"/>
    <w:rsid w:val="52227DF1"/>
    <w:rsid w:val="528D3EA0"/>
    <w:rsid w:val="5327502A"/>
    <w:rsid w:val="535D6464"/>
    <w:rsid w:val="53973965"/>
    <w:rsid w:val="53E2021C"/>
    <w:rsid w:val="554A42CB"/>
    <w:rsid w:val="56A75EA3"/>
    <w:rsid w:val="575F5C80"/>
    <w:rsid w:val="57EB290A"/>
    <w:rsid w:val="589E6E07"/>
    <w:rsid w:val="595219A0"/>
    <w:rsid w:val="59D85454"/>
    <w:rsid w:val="5A1D3D5C"/>
    <w:rsid w:val="5ACC7530"/>
    <w:rsid w:val="5B9444F1"/>
    <w:rsid w:val="5CD31049"/>
    <w:rsid w:val="5CFD7E74"/>
    <w:rsid w:val="5D3F223B"/>
    <w:rsid w:val="5D6B3425"/>
    <w:rsid w:val="600A269D"/>
    <w:rsid w:val="60634D98"/>
    <w:rsid w:val="610033F5"/>
    <w:rsid w:val="6145013B"/>
    <w:rsid w:val="62010F3C"/>
    <w:rsid w:val="634369A5"/>
    <w:rsid w:val="634E4310"/>
    <w:rsid w:val="63C40272"/>
    <w:rsid w:val="63D57455"/>
    <w:rsid w:val="63FD00DC"/>
    <w:rsid w:val="64012DCD"/>
    <w:rsid w:val="649C7F73"/>
    <w:rsid w:val="65BD457F"/>
    <w:rsid w:val="66801FDF"/>
    <w:rsid w:val="67A94E81"/>
    <w:rsid w:val="684072F6"/>
    <w:rsid w:val="68540AA2"/>
    <w:rsid w:val="68C74DCD"/>
    <w:rsid w:val="694641F3"/>
    <w:rsid w:val="69F20B9B"/>
    <w:rsid w:val="69FD30F9"/>
    <w:rsid w:val="6A4D41E9"/>
    <w:rsid w:val="6A4F12FC"/>
    <w:rsid w:val="6A81158B"/>
    <w:rsid w:val="6B4858A9"/>
    <w:rsid w:val="6B731183"/>
    <w:rsid w:val="6B9B16D8"/>
    <w:rsid w:val="6BD97063"/>
    <w:rsid w:val="6C0B50CD"/>
    <w:rsid w:val="6C81461E"/>
    <w:rsid w:val="6CA52BE1"/>
    <w:rsid w:val="6CCD4D4E"/>
    <w:rsid w:val="6D832633"/>
    <w:rsid w:val="6DD2469D"/>
    <w:rsid w:val="6EC42D83"/>
    <w:rsid w:val="6F587148"/>
    <w:rsid w:val="7053007F"/>
    <w:rsid w:val="70834EA9"/>
    <w:rsid w:val="714F4CEB"/>
    <w:rsid w:val="718B031D"/>
    <w:rsid w:val="71E847F7"/>
    <w:rsid w:val="72C74B35"/>
    <w:rsid w:val="72EA3C3A"/>
    <w:rsid w:val="73DD5A58"/>
    <w:rsid w:val="74846A01"/>
    <w:rsid w:val="7499627D"/>
    <w:rsid w:val="756D3991"/>
    <w:rsid w:val="75AC045E"/>
    <w:rsid w:val="75E33C54"/>
    <w:rsid w:val="763A6510"/>
    <w:rsid w:val="76644B8A"/>
    <w:rsid w:val="76BB072D"/>
    <w:rsid w:val="76C06B84"/>
    <w:rsid w:val="788973A4"/>
    <w:rsid w:val="78D15E0E"/>
    <w:rsid w:val="790E0FE8"/>
    <w:rsid w:val="79AC25AE"/>
    <w:rsid w:val="7A24483B"/>
    <w:rsid w:val="7A813A3B"/>
    <w:rsid w:val="7A9251B4"/>
    <w:rsid w:val="7BA96DAE"/>
    <w:rsid w:val="7C0901A3"/>
    <w:rsid w:val="7C98359C"/>
    <w:rsid w:val="7CB0036A"/>
    <w:rsid w:val="7D1607D1"/>
    <w:rsid w:val="7DC4557D"/>
    <w:rsid w:val="7DE5674F"/>
    <w:rsid w:val="7E6F5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9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99" w:name="Balloon Text"/>
    <w:lsdException w:qFormat="1" w:unhideWhenUsed="0" w:uiPriority="39" w:semiHidden="0" w:name="Table Grid" w:locked="1"/>
    <w:lsdException w:uiPriority="0" w:name="Table Theme" w:locked="1"/>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23"/>
    <w:qFormat/>
    <w:uiPriority w:val="9"/>
    <w:pPr>
      <w:keepNext/>
      <w:keepLines/>
      <w:spacing w:line="578" w:lineRule="auto"/>
      <w:outlineLvl w:val="0"/>
    </w:pPr>
    <w:rPr>
      <w:b/>
      <w:bCs/>
      <w:kern w:val="44"/>
      <w:sz w:val="44"/>
      <w:szCs w:val="44"/>
      <w:lang w:val="zh-CN"/>
    </w:rPr>
  </w:style>
  <w:style w:type="paragraph" w:styleId="3">
    <w:name w:val="heading 2"/>
    <w:basedOn w:val="1"/>
    <w:next w:val="1"/>
    <w:link w:val="24"/>
    <w:qFormat/>
    <w:uiPriority w:val="9"/>
    <w:pPr>
      <w:keepNext/>
      <w:keepLines/>
      <w:spacing w:line="416" w:lineRule="auto"/>
      <w:outlineLvl w:val="1"/>
    </w:pPr>
    <w:rPr>
      <w:rFonts w:ascii="Cambria" w:hAnsi="Cambria"/>
      <w:b/>
      <w:bCs/>
      <w:kern w:val="0"/>
      <w:sz w:val="32"/>
      <w:szCs w:val="32"/>
      <w:lang w:val="zh-CN"/>
    </w:rPr>
  </w:style>
  <w:style w:type="paragraph" w:styleId="4">
    <w:name w:val="heading 3"/>
    <w:basedOn w:val="1"/>
    <w:next w:val="1"/>
    <w:link w:val="25"/>
    <w:qFormat/>
    <w:uiPriority w:val="9"/>
    <w:pPr>
      <w:keepNext/>
      <w:keepLines/>
      <w:spacing w:line="416" w:lineRule="auto"/>
      <w:outlineLvl w:val="2"/>
    </w:pPr>
    <w:rPr>
      <w:b/>
      <w:bCs/>
      <w:kern w:val="0"/>
      <w:sz w:val="32"/>
      <w:szCs w:val="32"/>
      <w:lang w:val="zh-CN"/>
    </w:rPr>
  </w:style>
  <w:style w:type="paragraph" w:styleId="5">
    <w:name w:val="heading 4"/>
    <w:basedOn w:val="1"/>
    <w:next w:val="1"/>
    <w:link w:val="26"/>
    <w:qFormat/>
    <w:uiPriority w:val="99"/>
    <w:pPr>
      <w:keepNext/>
      <w:keepLines/>
      <w:spacing w:before="280" w:after="290" w:line="376" w:lineRule="auto"/>
      <w:outlineLvl w:val="3"/>
    </w:pPr>
    <w:rPr>
      <w:rFonts w:ascii="Cambria" w:hAnsi="Cambria"/>
      <w:b/>
      <w:bCs/>
      <w:sz w:val="28"/>
      <w:szCs w:val="28"/>
      <w:lang w:val="zh-CN"/>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29"/>
    <w:semiHidden/>
    <w:qFormat/>
    <w:uiPriority w:val="99"/>
    <w:pPr>
      <w:shd w:val="clear" w:color="auto" w:fill="000080"/>
    </w:pPr>
    <w:rPr>
      <w:kern w:val="0"/>
      <w:sz w:val="0"/>
      <w:szCs w:val="0"/>
      <w:lang w:val="zh-CN"/>
    </w:rPr>
  </w:style>
  <w:style w:type="paragraph" w:styleId="7">
    <w:name w:val="annotation text"/>
    <w:basedOn w:val="1"/>
    <w:link w:val="27"/>
    <w:semiHidden/>
    <w:qFormat/>
    <w:uiPriority w:val="99"/>
    <w:pPr>
      <w:jc w:val="left"/>
    </w:pPr>
    <w:rPr>
      <w:kern w:val="0"/>
      <w:sz w:val="20"/>
      <w:lang w:val="zh-CN"/>
    </w:rPr>
  </w:style>
  <w:style w:type="paragraph" w:styleId="8">
    <w:name w:val="toc 3"/>
    <w:basedOn w:val="1"/>
    <w:next w:val="1"/>
    <w:semiHidden/>
    <w:qFormat/>
    <w:uiPriority w:val="99"/>
    <w:pPr>
      <w:widowControl/>
      <w:ind w:left="480"/>
      <w:jc w:val="left"/>
    </w:pPr>
    <w:rPr>
      <w:kern w:val="0"/>
      <w:sz w:val="24"/>
      <w:szCs w:val="24"/>
    </w:rPr>
  </w:style>
  <w:style w:type="paragraph" w:styleId="9">
    <w:name w:val="Plain Text"/>
    <w:basedOn w:val="1"/>
    <w:qFormat/>
    <w:uiPriority w:val="0"/>
    <w:rPr>
      <w:rFonts w:ascii="宋体" w:hAnsi="Courier New" w:cs="Courier New"/>
    </w:rPr>
  </w:style>
  <w:style w:type="paragraph" w:styleId="10">
    <w:name w:val="Date"/>
    <w:basedOn w:val="1"/>
    <w:next w:val="1"/>
    <w:link w:val="30"/>
    <w:qFormat/>
    <w:uiPriority w:val="99"/>
    <w:pPr>
      <w:ind w:left="100" w:leftChars="2500"/>
    </w:pPr>
    <w:rPr>
      <w:kern w:val="0"/>
      <w:sz w:val="20"/>
      <w:lang w:val="zh-CN"/>
    </w:rPr>
  </w:style>
  <w:style w:type="paragraph" w:styleId="11">
    <w:name w:val="Balloon Text"/>
    <w:basedOn w:val="1"/>
    <w:link w:val="31"/>
    <w:semiHidden/>
    <w:qFormat/>
    <w:uiPriority w:val="99"/>
    <w:rPr>
      <w:kern w:val="0"/>
      <w:sz w:val="0"/>
      <w:szCs w:val="0"/>
      <w:lang w:val="zh-CN"/>
    </w:rPr>
  </w:style>
  <w:style w:type="paragraph" w:styleId="12">
    <w:name w:val="footer"/>
    <w:basedOn w:val="1"/>
    <w:link w:val="32"/>
    <w:qFormat/>
    <w:uiPriority w:val="99"/>
    <w:pPr>
      <w:tabs>
        <w:tab w:val="center" w:pos="4153"/>
        <w:tab w:val="right" w:pos="8306"/>
      </w:tabs>
      <w:snapToGrid w:val="0"/>
      <w:jc w:val="left"/>
    </w:pPr>
    <w:rPr>
      <w:kern w:val="0"/>
      <w:sz w:val="18"/>
      <w:szCs w:val="18"/>
      <w:lang w:val="zh-CN"/>
    </w:rPr>
  </w:style>
  <w:style w:type="paragraph" w:styleId="13">
    <w:name w:val="header"/>
    <w:basedOn w:val="1"/>
    <w:link w:val="33"/>
    <w:qFormat/>
    <w:uiPriority w:val="99"/>
    <w:pPr>
      <w:pBdr>
        <w:bottom w:val="single" w:color="auto" w:sz="6" w:space="1"/>
      </w:pBdr>
      <w:tabs>
        <w:tab w:val="center" w:pos="4153"/>
        <w:tab w:val="right" w:pos="8306"/>
      </w:tabs>
      <w:snapToGrid w:val="0"/>
      <w:jc w:val="center"/>
    </w:pPr>
    <w:rPr>
      <w:kern w:val="0"/>
      <w:sz w:val="18"/>
      <w:szCs w:val="18"/>
      <w:lang w:val="zh-CN"/>
    </w:rPr>
  </w:style>
  <w:style w:type="paragraph" w:styleId="14">
    <w:name w:val="toc 1"/>
    <w:basedOn w:val="1"/>
    <w:next w:val="1"/>
    <w:qFormat/>
    <w:uiPriority w:val="39"/>
    <w:pPr>
      <w:widowControl/>
      <w:jc w:val="left"/>
    </w:pPr>
    <w:rPr>
      <w:kern w:val="0"/>
      <w:sz w:val="24"/>
      <w:szCs w:val="24"/>
    </w:rPr>
  </w:style>
  <w:style w:type="paragraph" w:styleId="15">
    <w:name w:val="toc 2"/>
    <w:basedOn w:val="1"/>
    <w:next w:val="1"/>
    <w:qFormat/>
    <w:uiPriority w:val="39"/>
    <w:pPr>
      <w:widowControl/>
      <w:ind w:left="240"/>
      <w:jc w:val="left"/>
    </w:pPr>
    <w:rPr>
      <w:kern w:val="0"/>
      <w:sz w:val="24"/>
      <w:szCs w:val="24"/>
    </w:rPr>
  </w:style>
  <w:style w:type="paragraph" w:styleId="16">
    <w:name w:val="annotation subject"/>
    <w:basedOn w:val="7"/>
    <w:next w:val="7"/>
    <w:link w:val="28"/>
    <w:semiHidden/>
    <w:qFormat/>
    <w:uiPriority w:val="99"/>
    <w:rPr>
      <w:b/>
      <w:bCs/>
    </w:rPr>
  </w:style>
  <w:style w:type="table" w:styleId="18">
    <w:name w:val="Table Grid"/>
    <w:basedOn w:val="17"/>
    <w:qFormat/>
    <w:locked/>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99"/>
  </w:style>
  <w:style w:type="character" w:styleId="21">
    <w:name w:val="Hyperlink"/>
    <w:basedOn w:val="19"/>
    <w:qFormat/>
    <w:uiPriority w:val="99"/>
  </w:style>
  <w:style w:type="character" w:styleId="22">
    <w:name w:val="annotation reference"/>
    <w:semiHidden/>
    <w:qFormat/>
    <w:uiPriority w:val="99"/>
    <w:rPr>
      <w:sz w:val="21"/>
      <w:szCs w:val="21"/>
    </w:rPr>
  </w:style>
  <w:style w:type="character" w:customStyle="1" w:styleId="23">
    <w:name w:val="标题 1 字符"/>
    <w:link w:val="2"/>
    <w:qFormat/>
    <w:uiPriority w:val="9"/>
    <w:rPr>
      <w:b/>
      <w:bCs/>
      <w:kern w:val="44"/>
      <w:sz w:val="44"/>
      <w:szCs w:val="44"/>
    </w:rPr>
  </w:style>
  <w:style w:type="character" w:customStyle="1" w:styleId="24">
    <w:name w:val="标题 2 字符"/>
    <w:link w:val="3"/>
    <w:semiHidden/>
    <w:qFormat/>
    <w:uiPriority w:val="9"/>
    <w:rPr>
      <w:rFonts w:ascii="Cambria" w:hAnsi="Cambria" w:eastAsia="宋体" w:cs="Times New Roman"/>
      <w:b/>
      <w:bCs/>
      <w:sz w:val="32"/>
      <w:szCs w:val="32"/>
    </w:rPr>
  </w:style>
  <w:style w:type="character" w:customStyle="1" w:styleId="25">
    <w:name w:val="标题 3 字符"/>
    <w:link w:val="4"/>
    <w:semiHidden/>
    <w:qFormat/>
    <w:uiPriority w:val="9"/>
    <w:rPr>
      <w:b/>
      <w:bCs/>
      <w:sz w:val="32"/>
      <w:szCs w:val="32"/>
    </w:rPr>
  </w:style>
  <w:style w:type="character" w:customStyle="1" w:styleId="26">
    <w:name w:val="标题 4 字符"/>
    <w:link w:val="5"/>
    <w:qFormat/>
    <w:locked/>
    <w:uiPriority w:val="99"/>
    <w:rPr>
      <w:rFonts w:ascii="Cambria" w:hAnsi="Cambria" w:eastAsia="宋体" w:cs="Cambria"/>
      <w:b/>
      <w:bCs/>
      <w:kern w:val="2"/>
      <w:sz w:val="28"/>
      <w:szCs w:val="28"/>
    </w:rPr>
  </w:style>
  <w:style w:type="character" w:customStyle="1" w:styleId="27">
    <w:name w:val="批注文字 字符"/>
    <w:link w:val="7"/>
    <w:semiHidden/>
    <w:qFormat/>
    <w:uiPriority w:val="99"/>
    <w:rPr>
      <w:szCs w:val="21"/>
    </w:rPr>
  </w:style>
  <w:style w:type="character" w:customStyle="1" w:styleId="28">
    <w:name w:val="批注主题 字符"/>
    <w:link w:val="16"/>
    <w:semiHidden/>
    <w:qFormat/>
    <w:uiPriority w:val="99"/>
    <w:rPr>
      <w:b/>
      <w:bCs/>
      <w:szCs w:val="21"/>
    </w:rPr>
  </w:style>
  <w:style w:type="character" w:customStyle="1" w:styleId="29">
    <w:name w:val="文档结构图 字符"/>
    <w:link w:val="6"/>
    <w:semiHidden/>
    <w:qFormat/>
    <w:uiPriority w:val="99"/>
    <w:rPr>
      <w:sz w:val="0"/>
      <w:szCs w:val="0"/>
    </w:rPr>
  </w:style>
  <w:style w:type="character" w:customStyle="1" w:styleId="30">
    <w:name w:val="日期 字符"/>
    <w:link w:val="10"/>
    <w:semiHidden/>
    <w:qFormat/>
    <w:uiPriority w:val="99"/>
    <w:rPr>
      <w:szCs w:val="21"/>
    </w:rPr>
  </w:style>
  <w:style w:type="character" w:customStyle="1" w:styleId="31">
    <w:name w:val="批注框文本 字符"/>
    <w:link w:val="11"/>
    <w:semiHidden/>
    <w:qFormat/>
    <w:uiPriority w:val="99"/>
    <w:rPr>
      <w:sz w:val="0"/>
      <w:szCs w:val="0"/>
    </w:rPr>
  </w:style>
  <w:style w:type="character" w:customStyle="1" w:styleId="32">
    <w:name w:val="页脚 字符"/>
    <w:link w:val="12"/>
    <w:semiHidden/>
    <w:qFormat/>
    <w:uiPriority w:val="99"/>
    <w:rPr>
      <w:sz w:val="18"/>
      <w:szCs w:val="18"/>
    </w:rPr>
  </w:style>
  <w:style w:type="character" w:customStyle="1" w:styleId="33">
    <w:name w:val="页眉 字符"/>
    <w:link w:val="13"/>
    <w:semiHidden/>
    <w:uiPriority w:val="99"/>
    <w:rPr>
      <w:sz w:val="18"/>
      <w:szCs w:val="18"/>
    </w:rPr>
  </w:style>
  <w:style w:type="character" w:customStyle="1" w:styleId="34">
    <w:name w:val="card1"/>
    <w:qFormat/>
    <w:uiPriority w:val="99"/>
    <w:rPr>
      <w:rFonts w:ascii="??" w:cs="??"/>
      <w:sz w:val="12"/>
      <w:szCs w:val="12"/>
    </w:rPr>
  </w:style>
  <w:style w:type="character" w:customStyle="1" w:styleId="35">
    <w:name w:val="word_other"/>
    <w:basedOn w:val="19"/>
    <w:qFormat/>
    <w:uiPriority w:val="99"/>
  </w:style>
  <w:style w:type="character" w:customStyle="1" w:styleId="36">
    <w:name w:val="trans"/>
    <w:basedOn w:val="19"/>
    <w:qFormat/>
    <w:uiPriority w:val="99"/>
  </w:style>
  <w:style w:type="paragraph" w:customStyle="1" w:styleId="37">
    <w:name w:val="Char Char Char Char"/>
    <w:basedOn w:val="1"/>
    <w:next w:val="1"/>
    <w:qFormat/>
    <w:uiPriority w:val="0"/>
    <w:pPr>
      <w:spacing w:line="360" w:lineRule="auto"/>
      <w:jc w:val="left"/>
    </w:pPr>
    <w:rPr>
      <w:sz w:val="28"/>
      <w:szCs w:val="24"/>
    </w:rPr>
  </w:style>
  <w:style w:type="paragraph" w:customStyle="1" w:styleId="38">
    <w:name w:val="标准文件_段"/>
    <w:uiPriority w:val="0"/>
    <w:pPr>
      <w:widowControl w:val="0"/>
      <w:autoSpaceDE w:val="0"/>
      <w:autoSpaceDN w:val="0"/>
      <w:adjustRightInd w:val="0"/>
      <w:snapToGrid w:val="0"/>
      <w:spacing w:line="276" w:lineRule="auto"/>
      <w:jc w:val="both"/>
      <w:outlineLvl w:val="2"/>
    </w:pPr>
    <w:rPr>
      <w:rFonts w:ascii="宋体" w:hAnsi="宋体" w:eastAsia="宋体" w:cs="Times New Roman"/>
      <w:color w:val="FF0000"/>
      <w:kern w:val="2"/>
      <w:sz w:val="24"/>
      <w:szCs w:val="24"/>
      <w:lang w:val="en-US" w:eastAsia="zh-CN" w:bidi="ar-SA"/>
    </w:rPr>
  </w:style>
  <w:style w:type="paragraph" w:customStyle="1" w:styleId="39">
    <w:name w:val="标准文件_正文图标题"/>
    <w:next w:val="38"/>
    <w:qFormat/>
    <w:uiPriority w:val="0"/>
    <w:pPr>
      <w:numPr>
        <w:ilvl w:val="0"/>
        <w:numId w:val="1"/>
      </w:numPr>
      <w:jc w:val="center"/>
    </w:pPr>
    <w:rPr>
      <w:rFonts w:ascii="黑体" w:hAnsi="Times New Roman" w:eastAsia="黑体" w:cs="Times New Roman"/>
      <w:sz w:val="21"/>
      <w:lang w:val="en-US" w:eastAsia="zh-CN" w:bidi="ar-SA"/>
    </w:rPr>
  </w:style>
  <w:style w:type="paragraph" w:customStyle="1" w:styleId="40">
    <w:name w:val="段"/>
    <w:link w:val="41"/>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41">
    <w:name w:val="段 Char"/>
    <w:link w:val="40"/>
    <w:qFormat/>
    <w:uiPriority w:val="0"/>
    <w:rPr>
      <w:rFonts w:ascii="宋体"/>
      <w:sz w:val="21"/>
      <w:lang w:val="en-US" w:eastAsia="zh-CN" w:bidi="ar-SA"/>
    </w:rPr>
  </w:style>
  <w:style w:type="paragraph" w:customStyle="1" w:styleId="42">
    <w:name w:val="标准文件_章标题"/>
    <w:next w:val="38"/>
    <w:qFormat/>
    <w:uiPriority w:val="0"/>
    <w:pPr>
      <w:numPr>
        <w:ilvl w:val="1"/>
        <w:numId w:val="2"/>
      </w:numPr>
      <w:spacing w:before="50" w:beforeLines="50" w:after="50" w:afterLines="50"/>
      <w:ind w:right="-50" w:rightChars="-50"/>
      <w:jc w:val="both"/>
      <w:outlineLvl w:val="1"/>
    </w:pPr>
    <w:rPr>
      <w:rFonts w:ascii="黑体" w:hAnsi="Times New Roman" w:eastAsia="黑体" w:cs="Times New Roman"/>
      <w:spacing w:val="2"/>
      <w:sz w:val="21"/>
      <w:lang w:val="en-US" w:eastAsia="zh-CN" w:bidi="ar-SA"/>
    </w:rPr>
  </w:style>
  <w:style w:type="paragraph" w:customStyle="1" w:styleId="43">
    <w:name w:val="标准文件_一级条标题"/>
    <w:basedOn w:val="42"/>
    <w:next w:val="38"/>
    <w:qFormat/>
    <w:uiPriority w:val="0"/>
    <w:pPr>
      <w:numPr>
        <w:ilvl w:val="2"/>
      </w:numPr>
      <w:spacing w:before="0" w:beforeLines="0" w:after="0" w:afterLines="0"/>
      <w:outlineLvl w:val="2"/>
    </w:pPr>
  </w:style>
  <w:style w:type="paragraph" w:customStyle="1" w:styleId="44">
    <w:name w:val="标准文件_二级条标题"/>
    <w:basedOn w:val="43"/>
    <w:next w:val="38"/>
    <w:qFormat/>
    <w:uiPriority w:val="0"/>
    <w:pPr>
      <w:numPr>
        <w:ilvl w:val="3"/>
      </w:numPr>
      <w:outlineLvl w:val="3"/>
    </w:pPr>
  </w:style>
  <w:style w:type="paragraph" w:customStyle="1" w:styleId="45">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46">
    <w:name w:val="标准文件_三级条标题"/>
    <w:basedOn w:val="44"/>
    <w:next w:val="38"/>
    <w:qFormat/>
    <w:uiPriority w:val="0"/>
    <w:pPr>
      <w:numPr>
        <w:ilvl w:val="4"/>
      </w:numPr>
      <w:outlineLvl w:val="4"/>
    </w:pPr>
  </w:style>
  <w:style w:type="paragraph" w:customStyle="1" w:styleId="47">
    <w:name w:val="标准文件_四级条标题"/>
    <w:basedOn w:val="46"/>
    <w:next w:val="38"/>
    <w:qFormat/>
    <w:uiPriority w:val="0"/>
    <w:pPr>
      <w:numPr>
        <w:ilvl w:val="5"/>
      </w:numPr>
      <w:outlineLvl w:val="5"/>
    </w:pPr>
  </w:style>
  <w:style w:type="paragraph" w:customStyle="1" w:styleId="48">
    <w:name w:val="标准文件_五级条标题"/>
    <w:basedOn w:val="47"/>
    <w:next w:val="38"/>
    <w:qFormat/>
    <w:uiPriority w:val="0"/>
    <w:pPr>
      <w:numPr>
        <w:ilvl w:val="6"/>
      </w:numPr>
      <w:outlineLvl w:val="6"/>
    </w:pPr>
  </w:style>
  <w:style w:type="paragraph" w:customStyle="1" w:styleId="49">
    <w:name w:val="Char"/>
    <w:basedOn w:val="6"/>
    <w:qFormat/>
    <w:uiPriority w:val="0"/>
    <w:rPr>
      <w:rFonts w:ascii="Tahoma" w:hAnsi="Tahoma"/>
      <w:sz w:val="24"/>
      <w:szCs w:val="24"/>
    </w:rPr>
  </w:style>
  <w:style w:type="paragraph" w:customStyle="1" w:styleId="50">
    <w:name w:val="列表段落1"/>
    <w:basedOn w:val="1"/>
    <w:qFormat/>
    <w:uiPriority w:val="0"/>
    <w:pPr>
      <w:ind w:firstLine="420" w:firstLineChars="200"/>
    </w:pPr>
    <w:rPr>
      <w:rFonts w:ascii="Calibri" w:hAnsi="Calibri" w:cs="Calibri"/>
    </w:rPr>
  </w:style>
  <w:style w:type="paragraph" w:customStyle="1" w:styleId="51">
    <w:name w:val="列出段落1"/>
    <w:basedOn w:val="1"/>
    <w:qFormat/>
    <w:uiPriority w:val="34"/>
    <w:pPr>
      <w:ind w:firstLine="420" w:firstLineChars="200"/>
    </w:pPr>
  </w:style>
  <w:style w:type="paragraph" w:customStyle="1" w:styleId="52">
    <w:name w:val="修订1"/>
    <w:hidden/>
    <w:semiHidden/>
    <w:qFormat/>
    <w:uiPriority w:val="99"/>
    <w:rPr>
      <w:rFonts w:ascii="Times New Roman" w:hAnsi="Times New Roman" w:eastAsia="宋体" w:cs="Times New Roman"/>
      <w:kern w:val="2"/>
      <w:sz w:val="21"/>
      <w:szCs w:val="21"/>
      <w:lang w:val="en-US" w:eastAsia="zh-CN" w:bidi="ar-SA"/>
    </w:rPr>
  </w:style>
  <w:style w:type="paragraph" w:styleId="53">
    <w:name w:val="List Paragraph"/>
    <w:basedOn w:val="1"/>
    <w:qFormat/>
    <w:uiPriority w:val="34"/>
    <w:pPr>
      <w:adjustRightInd w:val="0"/>
      <w:spacing w:line="360" w:lineRule="auto"/>
      <w:ind w:firstLine="420" w:firstLineChars="200"/>
      <w:textAlignment w:val="baseline"/>
    </w:pPr>
    <w:rPr>
      <w:kern w:val="0"/>
      <w:sz w:val="24"/>
      <w:szCs w:val="20"/>
    </w:rPr>
  </w:style>
  <w:style w:type="character" w:styleId="54">
    <w:name w:val="Placeholder Text"/>
    <w:basedOn w:val="19"/>
    <w:semiHidden/>
    <w:qFormat/>
    <w:uiPriority w:val="99"/>
    <w:rPr>
      <w:color w:val="808080"/>
    </w:rPr>
  </w:style>
  <w:style w:type="paragraph" w:customStyle="1" w:styleId="55">
    <w:name w:val="中等深浅网格 1 - 强调文字颜色 21"/>
    <w:basedOn w:val="1"/>
    <w:link w:val="56"/>
    <w:qFormat/>
    <w:uiPriority w:val="34"/>
    <w:pPr>
      <w:ind w:firstLine="420" w:firstLineChars="200"/>
    </w:pPr>
    <w:rPr>
      <w:rFonts w:ascii="Calibri" w:hAnsi="Calibri"/>
      <w:szCs w:val="22"/>
      <w:lang w:val="zh-CN"/>
    </w:rPr>
  </w:style>
  <w:style w:type="character" w:customStyle="1" w:styleId="56">
    <w:name w:val="中等深浅网格 1 - 强调文字颜色 2 Char"/>
    <w:link w:val="55"/>
    <w:qFormat/>
    <w:uiPriority w:val="34"/>
    <w:rPr>
      <w:rFonts w:ascii="Calibri" w:hAnsi="Calibri"/>
      <w:kern w:val="2"/>
      <w:sz w:val="21"/>
      <w:szCs w:val="22"/>
      <w:lang w:val="zh-CN" w:eastAsia="zh-CN"/>
    </w:rPr>
  </w:style>
  <w:style w:type="paragraph" w:customStyle="1" w:styleId="57">
    <w:name w:val="Revision"/>
    <w:hidden/>
    <w:semiHidden/>
    <w:qFormat/>
    <w:uiPriority w:val="99"/>
    <w:rPr>
      <w:rFonts w:ascii="Times New Roman" w:hAnsi="Times New Roman" w:eastAsia="宋体" w:cs="Times New Roman"/>
      <w:kern w:val="2"/>
      <w:sz w:val="21"/>
      <w:szCs w:val="21"/>
      <w:lang w:val="en-US" w:eastAsia="zh-CN" w:bidi="ar-SA"/>
    </w:rPr>
  </w:style>
  <w:style w:type="paragraph" w:customStyle="1" w:styleId="58">
    <w:name w:val="MTDisplayEquation"/>
    <w:basedOn w:val="1"/>
    <w:next w:val="1"/>
    <w:qFormat/>
    <w:uiPriority w:val="0"/>
    <w:pPr>
      <w:tabs>
        <w:tab w:val="center" w:pos="4160"/>
        <w:tab w:val="right" w:pos="8300"/>
      </w:tabs>
      <w:ind w:firstLine="560"/>
    </w:p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wmf"/><Relationship Id="rId6" Type="http://schemas.openxmlformats.org/officeDocument/2006/relationships/oleObject" Target="embeddings/oleObject1.bin"/><Relationship Id="rId59" Type="http://schemas.openxmlformats.org/officeDocument/2006/relationships/fontTable" Target="fontTable.xml"/><Relationship Id="rId58" Type="http://schemas.openxmlformats.org/officeDocument/2006/relationships/numbering" Target="numbering.xml"/><Relationship Id="rId57" Type="http://schemas.openxmlformats.org/officeDocument/2006/relationships/image" Target="media/image25.wmf"/><Relationship Id="rId56" Type="http://schemas.openxmlformats.org/officeDocument/2006/relationships/oleObject" Target="embeddings/oleObject27.bin"/><Relationship Id="rId55" Type="http://schemas.openxmlformats.org/officeDocument/2006/relationships/image" Target="media/image24.wmf"/><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image" Target="media/image21.wmf"/><Relationship Id="rId48" Type="http://schemas.openxmlformats.org/officeDocument/2006/relationships/oleObject" Target="embeddings/oleObject23.bin"/><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image" Target="media/image14.wmf"/><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image" Target="media/image11.wmf"/><Relationship Id="rId26" Type="http://schemas.openxmlformats.org/officeDocument/2006/relationships/oleObject" Target="embeddings/oleObject11.bin"/><Relationship Id="rId25" Type="http://schemas.openxmlformats.org/officeDocument/2006/relationships/image" Target="media/image10.wmf"/><Relationship Id="rId24" Type="http://schemas.openxmlformats.org/officeDocument/2006/relationships/oleObject" Target="embeddings/oleObject10.bin"/><Relationship Id="rId23" Type="http://schemas.openxmlformats.org/officeDocument/2006/relationships/image" Target="media/image9.wmf"/><Relationship Id="rId22" Type="http://schemas.openxmlformats.org/officeDocument/2006/relationships/oleObject" Target="embeddings/oleObject9.bin"/><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7.bin"/><Relationship Id="rId17" Type="http://schemas.openxmlformats.org/officeDocument/2006/relationships/image" Target="media/image6.wmf"/><Relationship Id="rId16" Type="http://schemas.openxmlformats.org/officeDocument/2006/relationships/oleObject" Target="embeddings/oleObject6.bin"/><Relationship Id="rId15" Type="http://schemas.openxmlformats.org/officeDocument/2006/relationships/image" Target="media/image5.wmf"/><Relationship Id="rId14" Type="http://schemas.openxmlformats.org/officeDocument/2006/relationships/oleObject" Target="embeddings/oleObject5.bin"/><Relationship Id="rId13" Type="http://schemas.openxmlformats.org/officeDocument/2006/relationships/image" Target="media/image4.wmf"/><Relationship Id="rId12" Type="http://schemas.openxmlformats.org/officeDocument/2006/relationships/oleObject" Target="embeddings/oleObject4.bin"/><Relationship Id="rId11" Type="http://schemas.openxmlformats.org/officeDocument/2006/relationships/image" Target="media/image3.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7</Pages>
  <Words>2657</Words>
  <Characters>3413</Characters>
  <Lines>19</Lines>
  <Paragraphs>9</Paragraphs>
  <TotalTime>0</TotalTime>
  <ScaleCrop>false</ScaleCrop>
  <LinksUpToDate>false</LinksUpToDate>
  <CharactersWithSpaces>3851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2019-12-05T06:21:00Z</dcterms:created>
  <dc:creator>Chenhj</dc:creator>
  <cp:lastModifiedBy>蔡晨光</cp:lastModifiedBy>
  <cp:lastPrinted>2010-02-25T09:11:00Z</cp:lastPrinted>
  <dcterms:modified xsi:type="dcterms:W3CDTF">2025-09-09T15:41:24Z</dcterms:modified>
  <dc:title> </dc:title>
  <cp:revision>532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61F1A0F6AE264F35AA187B921BB7719E</vt:lpwstr>
  </property>
  <property fmtid="{D5CDD505-2E9C-101B-9397-08002B2CF9AE}" pid="4" name="KSOTemplateDocerSaveRecord">
    <vt:lpwstr>eyJoZGlkIjoiMDg4ZTc2NjI2MDY2NTBlZGNjODkxY2Y5MjE3ZjQ0NWQiLCJ1c2VySWQiOiI0NjU1MTAzMTEifQ==</vt:lpwstr>
  </property>
</Properties>
</file>