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510E7">
      <w:pPr>
        <w:ind w:firstLine="560"/>
      </w:pPr>
    </w:p>
    <w:p w14:paraId="17502E86">
      <w:pPr>
        <w:ind w:firstLine="560"/>
      </w:pPr>
    </w:p>
    <w:p w14:paraId="367F008F">
      <w:pPr>
        <w:ind w:firstLine="560"/>
      </w:pPr>
    </w:p>
    <w:p w14:paraId="1B4731E4">
      <w:pPr>
        <w:ind w:firstLine="560"/>
      </w:pPr>
    </w:p>
    <w:p w14:paraId="7C5E9BE3">
      <w:pPr>
        <w:ind w:firstLine="560"/>
      </w:pPr>
    </w:p>
    <w:p w14:paraId="7CF98633">
      <w:pPr>
        <w:ind w:firstLine="560"/>
      </w:pPr>
    </w:p>
    <w:p w14:paraId="4EFBF3BE">
      <w:pPr>
        <w:ind w:firstLine="560"/>
      </w:pPr>
    </w:p>
    <w:p w14:paraId="3AD02FA2">
      <w:pPr>
        <w:pStyle w:val="26"/>
        <w:rPr>
          <w:sz w:val="72"/>
          <w:szCs w:val="72"/>
        </w:rPr>
      </w:pPr>
      <w:r>
        <w:rPr>
          <w:sz w:val="72"/>
          <w:szCs w:val="72"/>
        </w:rPr>
        <w:t>多普勒测风激光雷达</w:t>
      </w:r>
    </w:p>
    <w:p w14:paraId="0BF6B878">
      <w:pPr>
        <w:pStyle w:val="26"/>
        <w:rPr>
          <w:sz w:val="72"/>
          <w:szCs w:val="72"/>
        </w:rPr>
      </w:pPr>
      <w:r>
        <w:rPr>
          <w:sz w:val="72"/>
          <w:szCs w:val="72"/>
        </w:rPr>
        <w:t>校准规范</w:t>
      </w:r>
      <w:r>
        <w:rPr>
          <w:rFonts w:hint="eastAsia"/>
          <w:sz w:val="72"/>
          <w:szCs w:val="72"/>
        </w:rPr>
        <w:t>试验报告</w:t>
      </w:r>
    </w:p>
    <w:p w14:paraId="73E1DE91">
      <w:pPr>
        <w:pStyle w:val="26"/>
        <w:rPr>
          <w:rFonts w:hint="eastAsia" w:ascii="黑体" w:hAnsi="黑体"/>
          <w:sz w:val="72"/>
          <w:szCs w:val="72"/>
        </w:rPr>
      </w:pPr>
    </w:p>
    <w:p w14:paraId="130F7C95">
      <w:pPr>
        <w:ind w:firstLine="560"/>
      </w:pPr>
    </w:p>
    <w:p w14:paraId="7E324312">
      <w:pPr>
        <w:ind w:firstLine="560"/>
      </w:pPr>
    </w:p>
    <w:p w14:paraId="70A14214">
      <w:pPr>
        <w:ind w:firstLine="560"/>
      </w:pPr>
    </w:p>
    <w:p w14:paraId="073C83A8">
      <w:pPr>
        <w:pStyle w:val="26"/>
      </w:pPr>
      <w:r>
        <w:rPr>
          <w:rFonts w:hint="eastAsia"/>
        </w:rPr>
        <w:t>规程起草组</w:t>
      </w:r>
    </w:p>
    <w:p w14:paraId="44FB31FA">
      <w:pPr>
        <w:pStyle w:val="26"/>
        <w:rPr>
          <w:rFonts w:hint="eastAsia"/>
        </w:rPr>
      </w:pPr>
      <w:r>
        <w:rPr>
          <w:rFonts w:hint="eastAsia"/>
        </w:rPr>
        <w:t>20260626</w:t>
      </w:r>
    </w:p>
    <w:p w14:paraId="5B93F9D7">
      <w:pPr>
        <w:ind w:firstLine="560"/>
      </w:pPr>
    </w:p>
    <w:p w14:paraId="5FA79855">
      <w:pPr>
        <w:ind w:firstLine="560"/>
      </w:pPr>
    </w:p>
    <w:p w14:paraId="3B8BEEF0">
      <w:pPr>
        <w:pStyle w:val="3"/>
        <w:spacing w:before="312" w:after="156"/>
        <w:sectPr>
          <w:headerReference r:id="rId7" w:type="first"/>
          <w:footerReference r:id="rId10" w:type="first"/>
          <w:headerReference r:id="rId5" w:type="default"/>
          <w:footerReference r:id="rId8" w:type="default"/>
          <w:headerReference r:id="rId6" w:type="even"/>
          <w:footerReference r:id="rId9" w:type="even"/>
          <w:pgSz w:w="11906" w:h="16838"/>
          <w:pgMar w:top="1985" w:right="1701" w:bottom="1701" w:left="1985" w:header="851" w:footer="992" w:gutter="0"/>
          <w:cols w:space="425" w:num="1"/>
          <w:docGrid w:type="lines" w:linePitch="312" w:charSpace="0"/>
        </w:sectPr>
      </w:pPr>
      <w:r>
        <w:br w:type="page"/>
      </w:r>
    </w:p>
    <w:p w14:paraId="3AC35159">
      <w:pPr>
        <w:pStyle w:val="26"/>
        <w:spacing w:before="312" w:beforeLines="100" w:after="312" w:afterLines="100"/>
      </w:pPr>
      <w:bookmarkStart w:id="0" w:name="_Toc159242910"/>
      <w:bookmarkStart w:id="1" w:name="_Toc159242696"/>
      <w:bookmarkStart w:id="2" w:name="_Toc159243394"/>
      <w:bookmarkStart w:id="3" w:name="_Toc159243290"/>
      <w:r>
        <w:rPr>
          <w:rFonts w:hint="eastAsia"/>
        </w:rPr>
        <w:t>目录</w:t>
      </w:r>
      <w:bookmarkEnd w:id="0"/>
      <w:bookmarkEnd w:id="1"/>
      <w:bookmarkEnd w:id="2"/>
      <w:bookmarkEnd w:id="3"/>
      <w:bookmarkStart w:id="4" w:name="_Toc159242697"/>
      <w:bookmarkEnd w:id="4"/>
      <w:bookmarkStart w:id="5" w:name="_Toc159243395"/>
      <w:bookmarkEnd w:id="5"/>
      <w:bookmarkStart w:id="6" w:name="_Toc159242911"/>
      <w:bookmarkEnd w:id="6"/>
      <w:bookmarkStart w:id="7" w:name="_Toc159243291"/>
      <w:bookmarkEnd w:id="7"/>
    </w:p>
    <w:p w14:paraId="33F67416">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TOC \o "2-3" \h \z \u \t "标题 1,1" </w:instrText>
      </w:r>
      <w:r>
        <w:fldChar w:fldCharType="separate"/>
      </w:r>
      <w:r>
        <w:fldChar w:fldCharType="begin"/>
      </w:r>
      <w:r>
        <w:instrText xml:space="preserve"> HYPERLINK \l "_Toc233382916" </w:instrText>
      </w:r>
      <w:r>
        <w:fldChar w:fldCharType="separate"/>
      </w:r>
      <w:r>
        <w:rPr>
          <w:rStyle w:val="22"/>
        </w:rPr>
        <w:t>1 试验目的</w:t>
      </w:r>
      <w:r>
        <w:rPr>
          <w:rFonts w:hint="eastAsia"/>
        </w:rPr>
        <w:tab/>
      </w:r>
      <w:r>
        <w:rPr>
          <w:rFonts w:hint="eastAsia"/>
        </w:rPr>
        <w:fldChar w:fldCharType="begin"/>
      </w:r>
      <w:r>
        <w:rPr>
          <w:rFonts w:hint="eastAsia"/>
        </w:rPr>
        <w:instrText xml:space="preserve"> </w:instrText>
      </w:r>
      <w:r>
        <w:instrText xml:space="preserve">PAGEREF _Toc233382916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0D051DA">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"_Toc233382917" </w:instrText>
      </w:r>
      <w:r>
        <w:fldChar w:fldCharType="separate"/>
      </w:r>
      <w:r>
        <w:rPr>
          <w:rStyle w:val="22"/>
        </w:rPr>
        <w:t>2 试验地点</w:t>
      </w:r>
      <w:r>
        <w:rPr>
          <w:rFonts w:hint="eastAsia"/>
        </w:rPr>
        <w:tab/>
      </w:r>
      <w:r>
        <w:rPr>
          <w:rFonts w:hint="eastAsia"/>
        </w:rPr>
        <w:fldChar w:fldCharType="begin"/>
      </w:r>
      <w:r>
        <w:rPr>
          <w:rFonts w:hint="eastAsia"/>
        </w:rPr>
        <w:instrText xml:space="preserve"> </w:instrText>
      </w:r>
      <w:r>
        <w:instrText xml:space="preserve">PAGEREF _Toc233382917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2E0D437">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"_Toc233382918" </w:instrText>
      </w:r>
      <w:r>
        <w:fldChar w:fldCharType="separate"/>
      </w:r>
      <w:r>
        <w:rPr>
          <w:rStyle w:val="22"/>
        </w:rPr>
        <w:t>3 环境条件</w:t>
      </w:r>
      <w:r>
        <w:rPr>
          <w:rFonts w:hint="eastAsia"/>
        </w:rPr>
        <w:tab/>
      </w:r>
      <w:r>
        <w:rPr>
          <w:rFonts w:hint="eastAsia"/>
        </w:rPr>
        <w:fldChar w:fldCharType="begin"/>
      </w:r>
      <w:r>
        <w:rPr>
          <w:rFonts w:hint="eastAsia"/>
        </w:rPr>
        <w:instrText xml:space="preserve"> </w:instrText>
      </w:r>
      <w:r>
        <w:instrText xml:space="preserve">PAGEREF _Toc233382918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63A086A">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"_Toc233382919" </w:instrText>
      </w:r>
      <w:r>
        <w:fldChar w:fldCharType="separate"/>
      </w:r>
      <w:r>
        <w:rPr>
          <w:rStyle w:val="22"/>
        </w:rPr>
        <w:t>4 样品型式</w:t>
      </w:r>
      <w:r>
        <w:rPr>
          <w:rFonts w:hint="eastAsia"/>
        </w:rPr>
        <w:tab/>
      </w:r>
      <w:r>
        <w:rPr>
          <w:rFonts w:hint="eastAsia"/>
        </w:rPr>
        <w:fldChar w:fldCharType="begin"/>
      </w:r>
      <w:r>
        <w:rPr>
          <w:rFonts w:hint="eastAsia"/>
        </w:rPr>
        <w:instrText xml:space="preserve"> </w:instrText>
      </w:r>
      <w:r>
        <w:instrText xml:space="preserve">PAGEREF _Toc233382919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B619A75">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"_Toc233382920" </w:instrText>
      </w:r>
      <w:r>
        <w:fldChar w:fldCharType="separate"/>
      </w:r>
      <w:r>
        <w:rPr>
          <w:rStyle w:val="22"/>
        </w:rPr>
        <w:t>5 试验用装置</w:t>
      </w:r>
      <w:r>
        <w:rPr>
          <w:rFonts w:hint="eastAsia"/>
        </w:rPr>
        <w:tab/>
      </w:r>
      <w:r>
        <w:rPr>
          <w:rFonts w:hint="eastAsia"/>
        </w:rPr>
        <w:fldChar w:fldCharType="begin"/>
      </w:r>
      <w:r>
        <w:rPr>
          <w:rFonts w:hint="eastAsia"/>
        </w:rPr>
        <w:instrText xml:space="preserve"> </w:instrText>
      </w:r>
      <w:r>
        <w:instrText xml:space="preserve">PAGEREF _Toc233382920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A6F4D14">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"_Toc233382921" </w:instrText>
      </w:r>
      <w:r>
        <w:fldChar w:fldCharType="separate"/>
      </w:r>
      <w:r>
        <w:rPr>
          <w:rStyle w:val="22"/>
        </w:rPr>
        <w:t>6 试验点的选择</w:t>
      </w:r>
      <w:r>
        <w:rPr>
          <w:rFonts w:hint="eastAsia"/>
        </w:rPr>
        <w:tab/>
      </w:r>
      <w:r>
        <w:rPr>
          <w:rFonts w:hint="eastAsia"/>
        </w:rPr>
        <w:fldChar w:fldCharType="begin"/>
      </w:r>
      <w:r>
        <w:rPr>
          <w:rFonts w:hint="eastAsia"/>
        </w:rPr>
        <w:instrText xml:space="preserve"> </w:instrText>
      </w:r>
      <w:r>
        <w:instrText xml:space="preserve">PAGEREF _Toc233382921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AECB22F">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"_Toc233382922" </w:instrText>
      </w:r>
      <w:r>
        <w:fldChar w:fldCharType="separate"/>
      </w:r>
      <w:r>
        <w:rPr>
          <w:rStyle w:val="22"/>
        </w:rPr>
        <w:t>7 试验方法</w:t>
      </w:r>
      <w:r>
        <w:rPr>
          <w:rFonts w:hint="eastAsia"/>
        </w:rPr>
        <w:tab/>
      </w:r>
      <w:r>
        <w:rPr>
          <w:rFonts w:hint="eastAsia"/>
        </w:rPr>
        <w:fldChar w:fldCharType="begin"/>
      </w:r>
      <w:r>
        <w:rPr>
          <w:rFonts w:hint="eastAsia"/>
        </w:rPr>
        <w:instrText xml:space="preserve"> </w:instrText>
      </w:r>
      <w:r>
        <w:instrText xml:space="preserve">PAGEREF _Toc233382922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157C9E94">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"_Toc233382923" </w:instrText>
      </w:r>
      <w:r>
        <w:fldChar w:fldCharType="separate"/>
      </w:r>
      <w:r>
        <w:rPr>
          <w:rStyle w:val="22"/>
        </w:rPr>
        <w:t>8 试验结果</w:t>
      </w:r>
      <w:r>
        <w:rPr>
          <w:rFonts w:hint="eastAsia"/>
        </w:rPr>
        <w:tab/>
      </w:r>
      <w:r>
        <w:rPr>
          <w:rFonts w:hint="eastAsia"/>
        </w:rPr>
        <w:fldChar w:fldCharType="begin"/>
      </w:r>
      <w:r>
        <w:rPr>
          <w:rFonts w:hint="eastAsia"/>
        </w:rPr>
        <w:instrText xml:space="preserve"> </w:instrText>
      </w:r>
      <w:r>
        <w:instrText xml:space="preserve">PAGEREF _Toc233382923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68DC3DA6">
      <w:pPr>
        <w:pStyle w:val="15"/>
        <w:tabs>
          <w:tab w:val="right" w:leader="dot" w:pos="8210"/>
        </w:tabs>
        <w:rPr>
          <w:rFonts w:hint="eastAsia" w:asciiTheme="minorHAnsi" w:hAnsiTheme="minorHAnsi" w:eastAsiaTheme="minorEastAsia"/>
          <w:sz w:val="22"/>
          <w:szCs w:val="24"/>
          <w14:ligatures w14:val="standardContextual"/>
        </w:rPr>
      </w:pPr>
      <w:r>
        <w:fldChar w:fldCharType="begin"/>
      </w:r>
      <w:r>
        <w:instrText xml:space="preserve"> HYPERLINK \l "_Toc233382924" </w:instrText>
      </w:r>
      <w:r>
        <w:fldChar w:fldCharType="separate"/>
      </w:r>
      <w:r>
        <w:rPr>
          <w:rStyle w:val="22"/>
        </w:rPr>
        <w:t>9 试验结论</w:t>
      </w:r>
      <w:r>
        <w:rPr>
          <w:rFonts w:hint="eastAsia"/>
        </w:rPr>
        <w:tab/>
      </w:r>
      <w:r>
        <w:rPr>
          <w:rFonts w:hint="eastAsia"/>
        </w:rPr>
        <w:fldChar w:fldCharType="begin"/>
      </w:r>
      <w:r>
        <w:rPr>
          <w:rFonts w:hint="eastAsia"/>
        </w:rPr>
        <w:instrText xml:space="preserve"> </w:instrText>
      </w:r>
      <w:r>
        <w:instrText xml:space="preserve">PAGEREF _Toc233382924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4BED4421">
      <w:pPr>
        <w:ind w:firstLine="560"/>
      </w:pPr>
      <w:r>
        <w:fldChar w:fldCharType="end"/>
      </w:r>
    </w:p>
    <w:p w14:paraId="157EEBE1">
      <w:pPr>
        <w:ind w:firstLine="560"/>
        <w:sectPr>
          <w:footerReference r:id="rId11" w:type="default"/>
          <w:type w:val="continuous"/>
          <w:pgSz w:w="11906" w:h="16838"/>
          <w:pgMar w:top="1985" w:right="1701" w:bottom="1701" w:left="1985" w:header="851" w:footer="992" w:gutter="0"/>
          <w:pgNumType w:start="1"/>
          <w:cols w:space="425" w:num="1"/>
          <w:docGrid w:type="lines" w:linePitch="312" w:charSpace="0"/>
        </w:sectPr>
      </w:pPr>
    </w:p>
    <w:p w14:paraId="0403169B">
      <w:pPr>
        <w:pStyle w:val="2"/>
        <w:numPr>
          <w:ilvl w:val="0"/>
          <w:numId w:val="2"/>
        </w:numPr>
        <w:spacing w:before="624" w:after="156"/>
      </w:pPr>
      <w:bookmarkStart w:id="8" w:name="_Toc233382916"/>
      <w:r>
        <w:rPr>
          <w:rFonts w:hint="eastAsia"/>
        </w:rPr>
        <w:t>试验目的</w:t>
      </w:r>
      <w:bookmarkEnd w:id="8"/>
    </w:p>
    <w:p w14:paraId="308A55BE">
      <w:pPr>
        <w:ind w:firstLine="560"/>
        <w:rPr>
          <w:rFonts w:hint="eastAsia"/>
        </w:rPr>
      </w:pPr>
      <w:r>
        <w:t>随着风力发电、气象探测及航空安全等领域对精细化风场观测需求的日益增长，多普勒测风激光雷达得到了广泛应用。为保证该类仪器测量数据的准确性、可溯源性及各厂家设备之间的数据可比性，特制定本校准规范。本试验报告旨在通过系统性的科学试验，验证本校准规范所提技术方法的可行性与准确性。</w:t>
      </w:r>
    </w:p>
    <w:p w14:paraId="5241B70C">
      <w:pPr>
        <w:pStyle w:val="2"/>
        <w:spacing w:after="156"/>
      </w:pPr>
      <w:bookmarkStart w:id="9" w:name="_Toc233382917"/>
      <w:r>
        <w:rPr>
          <w:rFonts w:hint="eastAsia"/>
        </w:rPr>
        <w:t>试验地点</w:t>
      </w:r>
      <w:bookmarkEnd w:id="9"/>
    </w:p>
    <w:p w14:paraId="1CE782A5">
      <w:pPr>
        <w:ind w:firstLine="560"/>
      </w:pPr>
      <w:r>
        <w:rPr>
          <w:rFonts w:hint="eastAsia"/>
        </w:rPr>
        <w:t>浙江省杭州市临安区</w:t>
      </w:r>
      <w:r>
        <w:t>中国气象科学研究院浙江分院青山湖院区</w:t>
      </w:r>
      <w:r>
        <w:rPr>
          <w:rFonts w:hint="eastAsia"/>
        </w:rPr>
        <w:t>激光测风雷达标校实验室。</w:t>
      </w:r>
    </w:p>
    <w:p w14:paraId="38C1093E">
      <w:pPr>
        <w:pStyle w:val="2"/>
        <w:spacing w:after="156"/>
      </w:pPr>
      <w:bookmarkStart w:id="10" w:name="_Toc233382918"/>
      <w:r>
        <w:rPr>
          <w:rFonts w:hint="eastAsia"/>
        </w:rPr>
        <w:t>环境条件</w:t>
      </w:r>
      <w:bookmarkEnd w:id="10"/>
    </w:p>
    <w:p w14:paraId="500D5BCA">
      <w:pPr>
        <w:pStyle w:val="24"/>
        <w:numPr>
          <w:ilvl w:val="0"/>
          <w:numId w:val="3"/>
        </w:numPr>
        <w:ind w:firstLineChars="0"/>
        <w:rPr>
          <w:rFonts w:hint="eastAsia"/>
        </w:rPr>
      </w:pPr>
      <w:r>
        <w:rPr>
          <w:rFonts w:hint="eastAsia"/>
        </w:rPr>
        <w:t>环境温度：21.5℃；</w:t>
      </w:r>
    </w:p>
    <w:p w14:paraId="2B87271B">
      <w:pPr>
        <w:pStyle w:val="24"/>
        <w:numPr>
          <w:ilvl w:val="0"/>
          <w:numId w:val="3"/>
        </w:numPr>
        <w:ind w:firstLineChars="0"/>
        <w:rPr>
          <w:rFonts w:hint="eastAsia"/>
        </w:rPr>
      </w:pPr>
      <w:r>
        <w:rPr>
          <w:rFonts w:hint="eastAsia"/>
        </w:rPr>
        <w:t>相对湿度：65%；</w:t>
      </w:r>
    </w:p>
    <w:p w14:paraId="35D6847C">
      <w:pPr>
        <w:pStyle w:val="24"/>
        <w:numPr>
          <w:ilvl w:val="0"/>
          <w:numId w:val="3"/>
        </w:numPr>
        <w:ind w:firstLineChars="0"/>
        <w:rPr>
          <w:rFonts w:hint="eastAsia"/>
        </w:rPr>
      </w:pPr>
      <w:r>
        <w:rPr>
          <w:rFonts w:hint="eastAsia"/>
        </w:rPr>
        <w:t>大气压力：1009.12 hPa；</w:t>
      </w:r>
    </w:p>
    <w:p w14:paraId="14223AE7">
      <w:pPr>
        <w:pStyle w:val="2"/>
        <w:spacing w:after="156"/>
      </w:pPr>
      <w:bookmarkStart w:id="11" w:name="_Toc233382919"/>
      <w:r>
        <w:rPr>
          <w:rFonts w:hint="eastAsia"/>
        </w:rPr>
        <w:t>样品型式</w:t>
      </w:r>
      <w:bookmarkEnd w:id="11"/>
    </w:p>
    <w:p w14:paraId="19A6AE46">
      <w:pPr>
        <w:ind w:firstLine="560"/>
        <w:rPr>
          <w:rFonts w:hint="eastAsia"/>
        </w:rPr>
      </w:pPr>
      <w:r>
        <w:t>本规范适用的范围为气象探测中使用的相干多普勒测风激光雷达</w:t>
      </w:r>
      <w:r>
        <w:rPr>
          <w:rFonts w:hint="eastAsia"/>
        </w:rPr>
        <w:t>，包含远距、中距、近距、脉冲型/连续性相干多普勒测风激光雷达，径向速度测量范围要求-50 m/s~50 m/s。</w:t>
      </w:r>
    </w:p>
    <w:p w14:paraId="2FAFB15A">
      <w:pPr>
        <w:widowControl/>
        <w:spacing w:line="240" w:lineRule="auto"/>
        <w:ind w:firstLine="0" w:firstLineChars="0"/>
        <w:jc w:val="left"/>
        <w:rPr>
          <w:rFonts w:eastAsia="黑体"/>
          <w:b/>
          <w:bCs/>
          <w:kern w:val="44"/>
          <w:sz w:val="44"/>
          <w:szCs w:val="44"/>
        </w:rPr>
      </w:pPr>
      <w:r>
        <w:br w:type="page"/>
      </w:r>
    </w:p>
    <w:p w14:paraId="17AEC3E9">
      <w:pPr>
        <w:pStyle w:val="2"/>
        <w:spacing w:after="156"/>
      </w:pPr>
      <w:bookmarkStart w:id="12" w:name="_Toc233382920"/>
      <w:r>
        <w:rPr>
          <w:rFonts w:hint="eastAsia"/>
        </w:rPr>
        <w:t>试验用装置</w:t>
      </w:r>
      <w:bookmarkEnd w:id="12"/>
    </w:p>
    <w:p w14:paraId="5B1F984E">
      <w:pPr>
        <w:pStyle w:val="11"/>
        <w:spacing w:before="156" w:after="156"/>
        <w:rPr>
          <w:rFonts w:hint="eastAsia"/>
        </w:rPr>
      </w:pPr>
      <w:r>
        <w:rPr>
          <w:rFonts w:hint="eastAsia"/>
        </w:rPr>
        <w:t xml:space="preserve">表 </w:t>
      </w:r>
      <w:r>
        <w:fldChar w:fldCharType="begin"/>
      </w:r>
      <w:r>
        <w:instrText xml:space="preserve"> </w:instrText>
      </w:r>
      <w:r>
        <w:rPr>
          <w:rFonts w:hint="eastAsia"/>
        </w:rPr>
        <w:instrText xml:space="preserve">SEQ 表 \* ARABIC</w:instrText>
      </w:r>
      <w:r>
        <w:instrText xml:space="preserve"> </w:instrText>
      </w:r>
      <w:r>
        <w:fldChar w:fldCharType="separate"/>
      </w:r>
      <w:r>
        <w:t>1</w:t>
      </w:r>
      <w:r>
        <w:fldChar w:fldCharType="end"/>
      </w:r>
      <w:r>
        <w:rPr>
          <w:rFonts w:hint="eastAsia"/>
        </w:rPr>
        <w:t>试验用装置汇总表</w:t>
      </w:r>
    </w:p>
    <w:tbl>
      <w:tblPr>
        <w:tblStyle w:val="20"/>
        <w:tblW w:w="8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11"/>
        <w:gridCol w:w="2486"/>
        <w:gridCol w:w="3119"/>
        <w:gridCol w:w="2140"/>
      </w:tblGrid>
      <w:tr w14:paraId="36F8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tblHeader/>
          <w:jc w:val="center"/>
        </w:trPr>
        <w:tc>
          <w:tcPr>
            <w:tcW w:w="911" w:type="dxa"/>
            <w:vAlign w:val="center"/>
          </w:tcPr>
          <w:p w14:paraId="7270F758">
            <w:pPr>
              <w:pStyle w:val="34"/>
              <w:rPr>
                <w:rFonts w:hint="eastAsia" w:cs="Times New Roman"/>
              </w:rPr>
            </w:pPr>
            <w:bookmarkStart w:id="13" w:name="_Hlk163744184"/>
            <w:r>
              <w:rPr>
                <w:rFonts w:hint="eastAsia" w:cs="Times New Roman"/>
              </w:rPr>
              <w:t>序号</w:t>
            </w:r>
          </w:p>
        </w:tc>
        <w:tc>
          <w:tcPr>
            <w:tcW w:w="2486" w:type="dxa"/>
            <w:vAlign w:val="center"/>
          </w:tcPr>
          <w:p w14:paraId="72CDE5ED">
            <w:pPr>
              <w:pStyle w:val="34"/>
              <w:rPr>
                <w:rFonts w:hint="eastAsia" w:cs="Times New Roman"/>
              </w:rPr>
            </w:pPr>
            <w:r>
              <w:rPr>
                <w:rFonts w:hint="eastAsia" w:cs="Times New Roman"/>
              </w:rPr>
              <w:t>仪器名称</w:t>
            </w:r>
          </w:p>
        </w:tc>
        <w:tc>
          <w:tcPr>
            <w:tcW w:w="3119" w:type="dxa"/>
            <w:vAlign w:val="center"/>
          </w:tcPr>
          <w:p w14:paraId="5FFA9D52">
            <w:pPr>
              <w:pStyle w:val="34"/>
              <w:rPr>
                <w:rFonts w:hint="eastAsia" w:cs="Times New Roman"/>
              </w:rPr>
            </w:pPr>
            <w:r>
              <w:rPr>
                <w:rFonts w:hint="eastAsia" w:cs="Times New Roman"/>
              </w:rPr>
              <w:t>主要技术要求</w:t>
            </w:r>
          </w:p>
        </w:tc>
        <w:tc>
          <w:tcPr>
            <w:tcW w:w="2140" w:type="dxa"/>
          </w:tcPr>
          <w:p w14:paraId="2C72461B">
            <w:pPr>
              <w:pStyle w:val="34"/>
              <w:rPr>
                <w:rFonts w:hint="eastAsia" w:cs="Times New Roman"/>
              </w:rPr>
            </w:pPr>
            <w:r>
              <w:rPr>
                <w:rFonts w:hint="eastAsia" w:cs="Times New Roman"/>
              </w:rPr>
              <w:t>用途</w:t>
            </w:r>
          </w:p>
        </w:tc>
      </w:tr>
      <w:tr w14:paraId="3A70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11" w:type="dxa"/>
            <w:vAlign w:val="center"/>
          </w:tcPr>
          <w:p w14:paraId="6D10171B">
            <w:pPr>
              <w:pStyle w:val="34"/>
              <w:rPr>
                <w:rFonts w:hint="eastAsia" w:cs="Times New Roman"/>
              </w:rPr>
            </w:pPr>
            <w:r>
              <w:rPr>
                <w:rFonts w:hint="eastAsia" w:cs="Times New Roman"/>
              </w:rPr>
              <w:t>1</w:t>
            </w:r>
          </w:p>
        </w:tc>
        <w:tc>
          <w:tcPr>
            <w:tcW w:w="2486" w:type="dxa"/>
            <w:vAlign w:val="center"/>
          </w:tcPr>
          <w:p w14:paraId="1D5367B0">
            <w:pPr>
              <w:pStyle w:val="34"/>
              <w:rPr>
                <w:rFonts w:hint="eastAsia" w:cs="Times New Roman"/>
                <w:lang w:eastAsia="zh-Hans"/>
              </w:rPr>
            </w:pPr>
            <w:r>
              <w:rPr>
                <w:rFonts w:hint="eastAsia" w:cs="Times New Roman"/>
                <w:lang w:eastAsia="zh-Hans"/>
              </w:rPr>
              <w:t>激光多普勒测</w:t>
            </w:r>
            <w:r>
              <w:rPr>
                <w:rFonts w:hint="eastAsia" w:cs="Times New Roman"/>
              </w:rPr>
              <w:t>速</w:t>
            </w:r>
            <w:r>
              <w:rPr>
                <w:rFonts w:hint="eastAsia" w:cs="Times New Roman"/>
                <w:lang w:eastAsia="zh-Hans"/>
              </w:rPr>
              <w:t>仪</w:t>
            </w:r>
          </w:p>
        </w:tc>
        <w:tc>
          <w:tcPr>
            <w:tcW w:w="3119" w:type="dxa"/>
            <w:vAlign w:val="center"/>
          </w:tcPr>
          <w:p w14:paraId="23BD8E9A">
            <w:pPr>
              <w:pStyle w:val="34"/>
              <w:rPr>
                <w:rFonts w:hint="eastAsia" w:cs="Times New Roman"/>
                <w:lang w:eastAsia="zh-Hans"/>
              </w:rPr>
            </w:pPr>
            <w:r>
              <w:rPr>
                <w:rFonts w:hint="eastAsia" w:cs="Times New Roman"/>
              </w:rPr>
              <w:t>扩展不确定度</w:t>
            </w:r>
            <w:r>
              <w:rPr>
                <w:rFonts w:hint="eastAsia" w:cs="Times New Roman"/>
                <w:i/>
                <w:iCs/>
              </w:rPr>
              <w:t>U</w:t>
            </w:r>
            <w:r>
              <w:rPr>
                <w:rFonts w:hint="eastAsia" w:cs="Times New Roman"/>
                <w:vertAlign w:val="subscript"/>
              </w:rPr>
              <w:t>rel</w:t>
            </w:r>
            <w:r>
              <w:rPr>
                <w:rFonts w:cs="Times New Roman"/>
              </w:rPr>
              <w:t>：</w:t>
            </w:r>
            <w:r>
              <w:rPr>
                <w:rFonts w:hint="eastAsia" w:cs="Times New Roman"/>
              </w:rPr>
              <w:t>0.2%(</w:t>
            </w:r>
            <w:r>
              <w:rPr>
                <w:rFonts w:hint="eastAsia" w:cs="Times New Roman"/>
                <w:i/>
                <w:iCs/>
              </w:rPr>
              <w:t>k</w:t>
            </w:r>
            <w:r>
              <w:rPr>
                <w:rFonts w:hint="eastAsia" w:cs="Times New Roman"/>
              </w:rPr>
              <w:t>=2)</w:t>
            </w:r>
          </w:p>
        </w:tc>
        <w:tc>
          <w:tcPr>
            <w:tcW w:w="2140" w:type="dxa"/>
          </w:tcPr>
          <w:p w14:paraId="3A145E3F">
            <w:pPr>
              <w:pStyle w:val="34"/>
              <w:rPr>
                <w:rFonts w:hint="eastAsia" w:cs="Times New Roman"/>
              </w:rPr>
            </w:pPr>
            <w:r>
              <w:rPr>
                <w:rFonts w:hint="eastAsia" w:cs="Times New Roman"/>
              </w:rPr>
              <w:t>计量标准器</w:t>
            </w:r>
          </w:p>
        </w:tc>
      </w:tr>
      <w:tr w14:paraId="46B8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11" w:type="dxa"/>
            <w:vAlign w:val="center"/>
          </w:tcPr>
          <w:p w14:paraId="05652F79">
            <w:pPr>
              <w:pStyle w:val="34"/>
              <w:rPr>
                <w:rFonts w:hint="eastAsia" w:cs="Times New Roman"/>
              </w:rPr>
            </w:pPr>
            <w:r>
              <w:rPr>
                <w:rFonts w:hint="eastAsia" w:cs="Times New Roman"/>
              </w:rPr>
              <w:t>2</w:t>
            </w:r>
          </w:p>
        </w:tc>
        <w:tc>
          <w:tcPr>
            <w:tcW w:w="2486" w:type="dxa"/>
            <w:vAlign w:val="center"/>
          </w:tcPr>
          <w:p w14:paraId="15DAE0F1">
            <w:pPr>
              <w:pStyle w:val="34"/>
              <w:rPr>
                <w:rFonts w:hint="eastAsia" w:cs="Times New Roman"/>
              </w:rPr>
            </w:pPr>
            <w:r>
              <w:rPr>
                <w:rFonts w:hint="eastAsia" w:cs="Times New Roman"/>
              </w:rPr>
              <w:t>伺服电机角度控制系统</w:t>
            </w:r>
          </w:p>
        </w:tc>
        <w:tc>
          <w:tcPr>
            <w:tcW w:w="3119" w:type="dxa"/>
            <w:vAlign w:val="center"/>
          </w:tcPr>
          <w:p w14:paraId="08F448EF">
            <w:pPr>
              <w:pStyle w:val="34"/>
              <w:rPr>
                <w:rFonts w:hint="eastAsia" w:cs="Times New Roman"/>
              </w:rPr>
            </w:pPr>
            <w:r>
              <w:rPr>
                <w:rFonts w:hint="eastAsia" w:cs="Times New Roman"/>
              </w:rPr>
              <w:t>最大允许误差</w:t>
            </w:r>
            <w:r>
              <w:rPr>
                <w:rFonts w:cs="Times New Roman"/>
              </w:rPr>
              <w:t>：</w:t>
            </w:r>
            <w:r>
              <w:rPr>
                <w:rFonts w:hint="eastAsia" w:cs="Times New Roman"/>
              </w:rPr>
              <w:t>±</w:t>
            </w:r>
            <w:r>
              <w:rPr>
                <w:rFonts w:cs="Times New Roman"/>
              </w:rPr>
              <w:t>0</w:t>
            </w:r>
            <w:r>
              <w:rPr>
                <w:rFonts w:hint="eastAsia" w:cs="Times New Roman"/>
                <w:lang w:eastAsia="zh-Hans"/>
              </w:rPr>
              <w:t>.</w:t>
            </w:r>
            <w:r>
              <w:rPr>
                <w:rFonts w:hint="eastAsia" w:cs="Times New Roman"/>
              </w:rPr>
              <w:t>01°</w:t>
            </w:r>
          </w:p>
        </w:tc>
        <w:tc>
          <w:tcPr>
            <w:tcW w:w="2140" w:type="dxa"/>
          </w:tcPr>
          <w:p w14:paraId="1E9EA1F6">
            <w:pPr>
              <w:pStyle w:val="34"/>
              <w:rPr>
                <w:rFonts w:hint="eastAsia" w:cs="Times New Roman"/>
              </w:rPr>
            </w:pPr>
            <w:r>
              <w:rPr>
                <w:rFonts w:hint="eastAsia" w:cs="Times New Roman"/>
              </w:rPr>
              <w:t>计量标准器</w:t>
            </w:r>
          </w:p>
        </w:tc>
      </w:tr>
      <w:tr w14:paraId="1C21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11" w:type="dxa"/>
            <w:vAlign w:val="center"/>
          </w:tcPr>
          <w:p w14:paraId="221C996C">
            <w:pPr>
              <w:pStyle w:val="34"/>
              <w:rPr>
                <w:rFonts w:hint="eastAsia" w:cs="Times New Roman"/>
              </w:rPr>
            </w:pPr>
            <w:r>
              <w:rPr>
                <w:rFonts w:cs="Times New Roman"/>
              </w:rPr>
              <w:t>3</w:t>
            </w:r>
          </w:p>
        </w:tc>
        <w:tc>
          <w:tcPr>
            <w:tcW w:w="2486" w:type="dxa"/>
            <w:vAlign w:val="center"/>
          </w:tcPr>
          <w:p w14:paraId="3E36851F">
            <w:pPr>
              <w:pStyle w:val="34"/>
              <w:rPr>
                <w:rFonts w:hint="eastAsia" w:cs="Times New Roman"/>
                <w:lang w:eastAsia="zh-Hans"/>
              </w:rPr>
            </w:pPr>
            <w:r>
              <w:rPr>
                <w:rFonts w:hint="eastAsia" w:cs="Times New Roman"/>
                <w:lang w:eastAsia="zh-Hans"/>
              </w:rPr>
              <w:t>高精度光学</w:t>
            </w:r>
            <w:r>
              <w:rPr>
                <w:rFonts w:hint="eastAsia" w:cs="Times New Roman"/>
              </w:rPr>
              <w:t>转盘</w:t>
            </w:r>
            <w:r>
              <w:rPr>
                <w:rFonts w:hint="eastAsia" w:cs="Times New Roman"/>
                <w:lang w:eastAsia="zh-Hans"/>
              </w:rPr>
              <w:t>系统</w:t>
            </w:r>
          </w:p>
        </w:tc>
        <w:tc>
          <w:tcPr>
            <w:tcW w:w="3119" w:type="dxa"/>
            <w:vAlign w:val="center"/>
          </w:tcPr>
          <w:p w14:paraId="4C9DDBA4">
            <w:pPr>
              <w:pStyle w:val="34"/>
              <w:rPr>
                <w:rFonts w:hint="eastAsia" w:cs="Times New Roman"/>
                <w:lang w:eastAsia="zh-Hans"/>
              </w:rPr>
            </w:pPr>
            <w:r>
              <w:rPr>
                <w:rFonts w:hint="eastAsia" w:cs="Times New Roman"/>
              </w:rPr>
              <w:t>最大允许误差</w:t>
            </w:r>
            <w:r>
              <w:rPr>
                <w:rFonts w:cs="Times New Roman"/>
              </w:rPr>
              <w:t>：</w:t>
            </w:r>
            <w:r>
              <w:rPr>
                <w:rFonts w:hint="eastAsia" w:cs="Times New Roman"/>
              </w:rPr>
              <w:t>±</w:t>
            </w:r>
            <w:r>
              <w:rPr>
                <w:rFonts w:cs="Times New Roman"/>
              </w:rPr>
              <w:t>0</w:t>
            </w:r>
            <w:r>
              <w:rPr>
                <w:rFonts w:hint="eastAsia" w:cs="Times New Roman"/>
                <w:lang w:eastAsia="zh-Hans"/>
              </w:rPr>
              <w:t>.</w:t>
            </w:r>
            <w:r>
              <w:rPr>
                <w:rFonts w:cs="Times New Roman"/>
                <w:lang w:eastAsia="zh-Hans"/>
              </w:rPr>
              <w:t>03</w:t>
            </w:r>
            <w:r>
              <w:rPr>
                <w:rFonts w:hint="eastAsia" w:cs="Times New Roman"/>
                <w:lang w:eastAsia="zh-Hans"/>
              </w:rPr>
              <w:t xml:space="preserve"> m</w:t>
            </w:r>
            <w:r>
              <w:rPr>
                <w:rFonts w:cs="Times New Roman"/>
                <w:lang w:eastAsia="zh-Hans"/>
              </w:rPr>
              <w:t>/s</w:t>
            </w:r>
          </w:p>
        </w:tc>
        <w:tc>
          <w:tcPr>
            <w:tcW w:w="2140" w:type="dxa"/>
          </w:tcPr>
          <w:p w14:paraId="5EFFF333">
            <w:pPr>
              <w:pStyle w:val="34"/>
              <w:rPr>
                <w:rFonts w:hint="eastAsia" w:cs="Times New Roman"/>
                <w:lang w:eastAsia="zh-Hans"/>
              </w:rPr>
            </w:pPr>
            <w:r>
              <w:rPr>
                <w:rFonts w:hint="eastAsia" w:cs="Times New Roman"/>
              </w:rPr>
              <w:t>主要配套设备</w:t>
            </w:r>
          </w:p>
        </w:tc>
      </w:tr>
      <w:tr w14:paraId="3488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11" w:type="dxa"/>
            <w:vAlign w:val="center"/>
          </w:tcPr>
          <w:p w14:paraId="592CDB55">
            <w:pPr>
              <w:pStyle w:val="34"/>
              <w:rPr>
                <w:rFonts w:hint="eastAsia" w:cs="Times New Roman"/>
              </w:rPr>
            </w:pPr>
            <w:r>
              <w:rPr>
                <w:rFonts w:hint="eastAsia" w:cs="Times New Roman"/>
              </w:rPr>
              <w:t>4</w:t>
            </w:r>
          </w:p>
        </w:tc>
        <w:tc>
          <w:tcPr>
            <w:tcW w:w="2486" w:type="dxa"/>
            <w:vAlign w:val="center"/>
          </w:tcPr>
          <w:p w14:paraId="28E738C0">
            <w:pPr>
              <w:pStyle w:val="34"/>
              <w:rPr>
                <w:rFonts w:hint="eastAsia" w:cs="Times New Roman"/>
              </w:rPr>
            </w:pPr>
            <w:r>
              <w:rPr>
                <w:rFonts w:hint="eastAsia" w:cs="Times New Roman"/>
              </w:rPr>
              <w:t>光路反射系统</w:t>
            </w:r>
          </w:p>
        </w:tc>
        <w:tc>
          <w:tcPr>
            <w:tcW w:w="3119" w:type="dxa"/>
            <w:vAlign w:val="center"/>
          </w:tcPr>
          <w:p w14:paraId="4978F4AB">
            <w:pPr>
              <w:pStyle w:val="34"/>
              <w:rPr>
                <w:rFonts w:hint="eastAsia" w:cs="Times New Roman"/>
              </w:rPr>
            </w:pPr>
            <w:r>
              <w:rPr>
                <w:rFonts w:hint="eastAsia" w:cs="Times New Roman"/>
              </w:rPr>
              <w:t>/</w:t>
            </w:r>
          </w:p>
        </w:tc>
        <w:tc>
          <w:tcPr>
            <w:tcW w:w="2140" w:type="dxa"/>
          </w:tcPr>
          <w:p w14:paraId="404F1292">
            <w:pPr>
              <w:pStyle w:val="34"/>
              <w:rPr>
                <w:rFonts w:hint="eastAsia" w:cs="Times New Roman"/>
              </w:rPr>
            </w:pPr>
            <w:r>
              <w:rPr>
                <w:rFonts w:hint="eastAsia" w:cs="Times New Roman"/>
              </w:rPr>
              <w:t>主要配套设备</w:t>
            </w:r>
          </w:p>
        </w:tc>
      </w:tr>
      <w:bookmarkEnd w:id="13"/>
    </w:tbl>
    <w:p w14:paraId="00EF2BD3">
      <w:pPr>
        <w:ind w:firstLine="560"/>
        <w:rPr>
          <w:rFonts w:hint="eastAsia"/>
        </w:rPr>
      </w:pPr>
    </w:p>
    <w:p w14:paraId="023D91D4">
      <w:pPr>
        <w:pStyle w:val="2"/>
        <w:spacing w:after="156"/>
      </w:pPr>
      <w:bookmarkStart w:id="14" w:name="_Toc233382921"/>
      <w:r>
        <w:rPr>
          <w:rFonts w:hint="eastAsia"/>
        </w:rPr>
        <w:t>试验点的选择</w:t>
      </w:r>
      <w:bookmarkEnd w:id="14"/>
    </w:p>
    <w:p w14:paraId="5DF0531D">
      <w:pPr>
        <w:ind w:firstLine="560"/>
      </w:pPr>
      <w:r>
        <w:rPr>
          <w:rFonts w:hint="eastAsia"/>
        </w:rPr>
        <w:t>径向速度选择点应</w:t>
      </w:r>
      <w:r>
        <w:t>涵盖雷达低、中、高风速区，以及正负双向（远离和接近雷达方向）</w:t>
      </w:r>
      <w:r>
        <w:rPr>
          <w:rFonts w:hint="eastAsia"/>
        </w:rPr>
        <w:t>，于是选取如下：</w:t>
      </w:r>
    </w:p>
    <w:p w14:paraId="1EB5C4B5">
      <w:pPr>
        <w:pStyle w:val="11"/>
        <w:spacing w:before="156" w:after="156"/>
      </w:pPr>
      <w:r>
        <w:rPr>
          <w:rFonts w:hint="eastAsia"/>
        </w:rPr>
        <w:t xml:space="preserve">表 </w:t>
      </w:r>
      <w:r>
        <w:fldChar w:fldCharType="begin"/>
      </w:r>
      <w:r>
        <w:instrText xml:space="preserve"> </w:instrText>
      </w:r>
      <w:r>
        <w:rPr>
          <w:rFonts w:hint="eastAsia"/>
        </w:rPr>
        <w:instrText xml:space="preserve">SEQ 表 \* ARABIC</w:instrText>
      </w:r>
      <w:r>
        <w:instrText xml:space="preserve"> </w:instrText>
      </w:r>
      <w:r>
        <w:fldChar w:fldCharType="separate"/>
      </w:r>
      <w:r>
        <w:t>2</w:t>
      </w:r>
      <w:r>
        <w:fldChar w:fldCharType="end"/>
      </w:r>
      <w:r>
        <w:rPr>
          <w:rFonts w:hint="eastAsia"/>
        </w:rPr>
        <w:t>激光测风雷达试验径向速度选择点</w:t>
      </w:r>
    </w:p>
    <w:tbl>
      <w:tblPr>
        <w:tblStyle w:val="20"/>
        <w:tblW w:w="8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198"/>
        <w:gridCol w:w="2224"/>
        <w:gridCol w:w="2047"/>
      </w:tblGrid>
      <w:tr w14:paraId="2DFB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tblHeader/>
          <w:jc w:val="center"/>
        </w:trPr>
        <w:tc>
          <w:tcPr>
            <w:tcW w:w="810" w:type="dxa"/>
            <w:vAlign w:val="center"/>
          </w:tcPr>
          <w:p w14:paraId="32767D65">
            <w:pPr>
              <w:pStyle w:val="34"/>
              <w:rPr>
                <w:rFonts w:cs="Times New Roman"/>
              </w:rPr>
            </w:pPr>
            <w:r>
              <w:rPr>
                <w:rFonts w:cs="Times New Roman"/>
              </w:rPr>
              <w:t>序号</w:t>
            </w:r>
          </w:p>
        </w:tc>
        <w:tc>
          <w:tcPr>
            <w:tcW w:w="3198" w:type="dxa"/>
            <w:vAlign w:val="center"/>
          </w:tcPr>
          <w:p w14:paraId="06B54816">
            <w:pPr>
              <w:pStyle w:val="34"/>
              <w:rPr>
                <w:rFonts w:cs="Times New Roman"/>
              </w:rPr>
            </w:pPr>
            <w:r>
              <w:rPr>
                <w:rFonts w:hint="eastAsia" w:cs="Times New Roman"/>
              </w:rPr>
              <w:t>径向速度选择点（m/s）</w:t>
            </w:r>
          </w:p>
        </w:tc>
        <w:tc>
          <w:tcPr>
            <w:tcW w:w="2224" w:type="dxa"/>
          </w:tcPr>
          <w:p w14:paraId="24961DA0">
            <w:pPr>
              <w:pStyle w:val="34"/>
              <w:rPr>
                <w:rFonts w:cs="Times New Roman"/>
              </w:rPr>
            </w:pPr>
            <w:r>
              <w:rPr>
                <w:rFonts w:hint="eastAsia" w:cs="Times New Roman"/>
              </w:rPr>
              <w:t>转盘底座角度（°）</w:t>
            </w:r>
          </w:p>
        </w:tc>
        <w:tc>
          <w:tcPr>
            <w:tcW w:w="2047" w:type="dxa"/>
          </w:tcPr>
          <w:p w14:paraId="37E9F600">
            <w:pPr>
              <w:pStyle w:val="34"/>
              <w:rPr>
                <w:rFonts w:hint="eastAsia" w:cs="Times New Roman"/>
              </w:rPr>
            </w:pPr>
            <w:r>
              <w:rPr>
                <w:rFonts w:hint="eastAsia" w:cs="Times New Roman"/>
              </w:rPr>
              <w:t>转盘转速（rpm）</w:t>
            </w:r>
          </w:p>
        </w:tc>
      </w:tr>
      <w:tr w14:paraId="1175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1E5B4AB7">
            <w:pPr>
              <w:pStyle w:val="34"/>
              <w:numPr>
                <w:ilvl w:val="0"/>
                <w:numId w:val="4"/>
              </w:numPr>
              <w:rPr>
                <w:rFonts w:cs="Times New Roman"/>
              </w:rPr>
            </w:pPr>
          </w:p>
        </w:tc>
        <w:tc>
          <w:tcPr>
            <w:tcW w:w="3198" w:type="dxa"/>
            <w:vAlign w:val="center"/>
          </w:tcPr>
          <w:p w14:paraId="2F4E1DAE">
            <w:pPr>
              <w:pStyle w:val="34"/>
              <w:rPr>
                <w:rFonts w:cs="Times New Roman"/>
              </w:rPr>
            </w:pPr>
            <w:r>
              <w:rPr>
                <w:rFonts w:hint="eastAsia" w:cs="Times New Roman"/>
              </w:rPr>
              <w:t>0</w:t>
            </w:r>
          </w:p>
        </w:tc>
        <w:tc>
          <w:tcPr>
            <w:tcW w:w="2224" w:type="dxa"/>
          </w:tcPr>
          <w:p w14:paraId="321602C9">
            <w:pPr>
              <w:pStyle w:val="34"/>
              <w:rPr>
                <w:rFonts w:hint="eastAsia" w:cs="Times New Roman"/>
              </w:rPr>
            </w:pPr>
            <w:r>
              <w:rPr>
                <w:rFonts w:hint="eastAsia" w:cs="Times New Roman"/>
              </w:rPr>
              <w:t>75</w:t>
            </w:r>
          </w:p>
        </w:tc>
        <w:tc>
          <w:tcPr>
            <w:tcW w:w="2047" w:type="dxa"/>
          </w:tcPr>
          <w:p w14:paraId="00FF548F">
            <w:pPr>
              <w:pStyle w:val="34"/>
              <w:rPr>
                <w:rFonts w:hint="eastAsia" w:cs="Times New Roman"/>
              </w:rPr>
            </w:pPr>
            <w:r>
              <w:rPr>
                <w:rFonts w:hint="eastAsia" w:cs="Times New Roman"/>
              </w:rPr>
              <w:t>0</w:t>
            </w:r>
          </w:p>
        </w:tc>
      </w:tr>
      <w:tr w14:paraId="0F31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6764C13E">
            <w:pPr>
              <w:pStyle w:val="34"/>
              <w:numPr>
                <w:ilvl w:val="0"/>
                <w:numId w:val="4"/>
              </w:numPr>
              <w:rPr>
                <w:rFonts w:cs="Times New Roman"/>
              </w:rPr>
            </w:pPr>
          </w:p>
        </w:tc>
        <w:tc>
          <w:tcPr>
            <w:tcW w:w="3198" w:type="dxa"/>
            <w:vAlign w:val="center"/>
          </w:tcPr>
          <w:p w14:paraId="1F566435">
            <w:pPr>
              <w:pStyle w:val="34"/>
              <w:rPr>
                <w:rFonts w:cs="Times New Roman"/>
              </w:rPr>
            </w:pPr>
            <w:r>
              <w:rPr>
                <w:rFonts w:hint="eastAsia" w:cs="Times New Roman"/>
              </w:rPr>
              <w:t>1</w:t>
            </w:r>
          </w:p>
        </w:tc>
        <w:tc>
          <w:tcPr>
            <w:tcW w:w="2224" w:type="dxa"/>
          </w:tcPr>
          <w:p w14:paraId="0218DF0E">
            <w:pPr>
              <w:pStyle w:val="34"/>
              <w:rPr>
                <w:rFonts w:cs="Times New Roman"/>
              </w:rPr>
            </w:pPr>
            <w:r>
              <w:rPr>
                <w:rFonts w:hint="eastAsia" w:cs="Times New Roman"/>
              </w:rPr>
              <w:t>75</w:t>
            </w:r>
          </w:p>
        </w:tc>
        <w:tc>
          <w:tcPr>
            <w:tcW w:w="2047" w:type="dxa"/>
          </w:tcPr>
          <w:p w14:paraId="7D70120F">
            <w:pPr>
              <w:pStyle w:val="34"/>
              <w:rPr>
                <w:rFonts w:hint="eastAsia" w:cs="Times New Roman"/>
              </w:rPr>
            </w:pPr>
            <w:r>
              <w:rPr>
                <w:rFonts w:hint="eastAsia" w:cs="Times New Roman"/>
              </w:rPr>
              <w:t>93</w:t>
            </w:r>
          </w:p>
        </w:tc>
      </w:tr>
      <w:tr w14:paraId="3A4B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61AF97FC">
            <w:pPr>
              <w:pStyle w:val="34"/>
              <w:numPr>
                <w:ilvl w:val="0"/>
                <w:numId w:val="4"/>
              </w:numPr>
              <w:rPr>
                <w:rFonts w:cs="Times New Roman"/>
              </w:rPr>
            </w:pPr>
          </w:p>
        </w:tc>
        <w:tc>
          <w:tcPr>
            <w:tcW w:w="3198" w:type="dxa"/>
            <w:vAlign w:val="center"/>
          </w:tcPr>
          <w:p w14:paraId="2866929D">
            <w:pPr>
              <w:pStyle w:val="34"/>
              <w:rPr>
                <w:rFonts w:hint="eastAsia" w:cs="Times New Roman"/>
              </w:rPr>
            </w:pPr>
            <w:r>
              <w:rPr>
                <w:rFonts w:hint="eastAsia" w:cs="Times New Roman"/>
              </w:rPr>
              <w:t>10</w:t>
            </w:r>
          </w:p>
        </w:tc>
        <w:tc>
          <w:tcPr>
            <w:tcW w:w="2224" w:type="dxa"/>
          </w:tcPr>
          <w:p w14:paraId="02135260">
            <w:pPr>
              <w:pStyle w:val="34"/>
              <w:rPr>
                <w:rFonts w:cs="Times New Roman"/>
              </w:rPr>
            </w:pPr>
            <w:r>
              <w:rPr>
                <w:rFonts w:hint="eastAsia" w:cs="Times New Roman"/>
              </w:rPr>
              <w:t>75</w:t>
            </w:r>
          </w:p>
        </w:tc>
        <w:tc>
          <w:tcPr>
            <w:tcW w:w="2047" w:type="dxa"/>
          </w:tcPr>
          <w:p w14:paraId="5C1274D3">
            <w:pPr>
              <w:pStyle w:val="34"/>
              <w:rPr>
                <w:rFonts w:hint="eastAsia" w:cs="Times New Roman"/>
              </w:rPr>
            </w:pPr>
            <w:r>
              <w:rPr>
                <w:rFonts w:hint="eastAsia" w:cs="Times New Roman"/>
              </w:rPr>
              <w:t>924</w:t>
            </w:r>
          </w:p>
        </w:tc>
      </w:tr>
      <w:tr w14:paraId="0BD9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53E3EC7B">
            <w:pPr>
              <w:pStyle w:val="34"/>
              <w:numPr>
                <w:ilvl w:val="0"/>
                <w:numId w:val="4"/>
              </w:numPr>
              <w:rPr>
                <w:rFonts w:cs="Times New Roman"/>
              </w:rPr>
            </w:pPr>
          </w:p>
        </w:tc>
        <w:tc>
          <w:tcPr>
            <w:tcW w:w="3198" w:type="dxa"/>
            <w:vAlign w:val="center"/>
          </w:tcPr>
          <w:p w14:paraId="69F413CE">
            <w:pPr>
              <w:pStyle w:val="34"/>
              <w:rPr>
                <w:rFonts w:hint="eastAsia" w:cs="Times New Roman"/>
              </w:rPr>
            </w:pPr>
            <w:r>
              <w:rPr>
                <w:rFonts w:hint="eastAsia" w:cs="Times New Roman"/>
              </w:rPr>
              <w:t>20</w:t>
            </w:r>
          </w:p>
        </w:tc>
        <w:tc>
          <w:tcPr>
            <w:tcW w:w="2224" w:type="dxa"/>
          </w:tcPr>
          <w:p w14:paraId="53A8BFF8">
            <w:pPr>
              <w:pStyle w:val="34"/>
              <w:rPr>
                <w:rFonts w:cs="Times New Roman"/>
              </w:rPr>
            </w:pPr>
            <w:r>
              <w:rPr>
                <w:rFonts w:hint="eastAsia" w:cs="Times New Roman"/>
              </w:rPr>
              <w:t>75</w:t>
            </w:r>
          </w:p>
        </w:tc>
        <w:tc>
          <w:tcPr>
            <w:tcW w:w="2047" w:type="dxa"/>
          </w:tcPr>
          <w:p w14:paraId="0B1B753B">
            <w:pPr>
              <w:pStyle w:val="34"/>
              <w:rPr>
                <w:rFonts w:hint="eastAsia" w:cs="Times New Roman"/>
              </w:rPr>
            </w:pPr>
            <w:r>
              <w:rPr>
                <w:rFonts w:hint="eastAsia" w:cs="Times New Roman"/>
              </w:rPr>
              <w:t>1848</w:t>
            </w:r>
          </w:p>
        </w:tc>
      </w:tr>
      <w:tr w14:paraId="413E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7E7B78FD">
            <w:pPr>
              <w:pStyle w:val="34"/>
              <w:numPr>
                <w:ilvl w:val="0"/>
                <w:numId w:val="4"/>
              </w:numPr>
              <w:rPr>
                <w:rFonts w:cs="Times New Roman"/>
              </w:rPr>
            </w:pPr>
          </w:p>
        </w:tc>
        <w:tc>
          <w:tcPr>
            <w:tcW w:w="3198" w:type="dxa"/>
            <w:vAlign w:val="center"/>
          </w:tcPr>
          <w:p w14:paraId="61DD7287">
            <w:pPr>
              <w:pStyle w:val="34"/>
              <w:rPr>
                <w:rFonts w:hint="eastAsia" w:cs="Times New Roman"/>
              </w:rPr>
            </w:pPr>
            <w:r>
              <w:rPr>
                <w:rFonts w:hint="eastAsia" w:cs="Times New Roman"/>
              </w:rPr>
              <w:t>30</w:t>
            </w:r>
          </w:p>
        </w:tc>
        <w:tc>
          <w:tcPr>
            <w:tcW w:w="2224" w:type="dxa"/>
          </w:tcPr>
          <w:p w14:paraId="077F7F2F">
            <w:pPr>
              <w:pStyle w:val="34"/>
              <w:rPr>
                <w:rFonts w:cs="Times New Roman"/>
              </w:rPr>
            </w:pPr>
            <w:r>
              <w:rPr>
                <w:rFonts w:hint="eastAsia" w:cs="Times New Roman"/>
              </w:rPr>
              <w:t>75</w:t>
            </w:r>
          </w:p>
        </w:tc>
        <w:tc>
          <w:tcPr>
            <w:tcW w:w="2047" w:type="dxa"/>
          </w:tcPr>
          <w:p w14:paraId="70517A14">
            <w:pPr>
              <w:pStyle w:val="34"/>
              <w:rPr>
                <w:rFonts w:hint="eastAsia" w:cs="Times New Roman"/>
              </w:rPr>
            </w:pPr>
            <w:r>
              <w:rPr>
                <w:rFonts w:hint="eastAsia" w:cs="Times New Roman"/>
              </w:rPr>
              <w:t>2772</w:t>
            </w:r>
          </w:p>
        </w:tc>
      </w:tr>
      <w:tr w14:paraId="144D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30C76FDC">
            <w:pPr>
              <w:pStyle w:val="34"/>
              <w:numPr>
                <w:ilvl w:val="0"/>
                <w:numId w:val="4"/>
              </w:numPr>
              <w:rPr>
                <w:rFonts w:cs="Times New Roman"/>
              </w:rPr>
            </w:pPr>
          </w:p>
        </w:tc>
        <w:tc>
          <w:tcPr>
            <w:tcW w:w="3198" w:type="dxa"/>
            <w:vAlign w:val="center"/>
          </w:tcPr>
          <w:p w14:paraId="6E1B0CEE">
            <w:pPr>
              <w:pStyle w:val="34"/>
              <w:rPr>
                <w:rFonts w:hint="eastAsia" w:cs="Times New Roman"/>
              </w:rPr>
            </w:pPr>
            <w:r>
              <w:rPr>
                <w:rFonts w:hint="eastAsia" w:cs="Times New Roman"/>
              </w:rPr>
              <w:t>50</w:t>
            </w:r>
          </w:p>
        </w:tc>
        <w:tc>
          <w:tcPr>
            <w:tcW w:w="2224" w:type="dxa"/>
          </w:tcPr>
          <w:p w14:paraId="1ECC07A4">
            <w:pPr>
              <w:pStyle w:val="34"/>
              <w:rPr>
                <w:rFonts w:cs="Times New Roman"/>
              </w:rPr>
            </w:pPr>
            <w:r>
              <w:rPr>
                <w:rFonts w:hint="eastAsia" w:cs="Times New Roman"/>
              </w:rPr>
              <w:t>75</w:t>
            </w:r>
          </w:p>
        </w:tc>
        <w:tc>
          <w:tcPr>
            <w:tcW w:w="2047" w:type="dxa"/>
          </w:tcPr>
          <w:p w14:paraId="2944036A">
            <w:pPr>
              <w:pStyle w:val="34"/>
              <w:rPr>
                <w:rFonts w:hint="eastAsia" w:cs="Times New Roman"/>
              </w:rPr>
            </w:pPr>
            <w:r>
              <w:rPr>
                <w:rFonts w:hint="eastAsia" w:cs="Times New Roman"/>
              </w:rPr>
              <w:t>4620</w:t>
            </w:r>
          </w:p>
        </w:tc>
      </w:tr>
      <w:tr w14:paraId="15CC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13E05E2D">
            <w:pPr>
              <w:pStyle w:val="34"/>
              <w:numPr>
                <w:ilvl w:val="0"/>
                <w:numId w:val="4"/>
              </w:numPr>
              <w:rPr>
                <w:rFonts w:cs="Times New Roman"/>
              </w:rPr>
            </w:pPr>
          </w:p>
        </w:tc>
        <w:tc>
          <w:tcPr>
            <w:tcW w:w="3198" w:type="dxa"/>
            <w:vAlign w:val="center"/>
          </w:tcPr>
          <w:p w14:paraId="218990DB">
            <w:pPr>
              <w:pStyle w:val="34"/>
              <w:rPr>
                <w:rFonts w:hint="eastAsia" w:cs="Times New Roman"/>
              </w:rPr>
            </w:pPr>
            <w:r>
              <w:rPr>
                <w:rFonts w:hint="eastAsia" w:cs="Times New Roman"/>
              </w:rPr>
              <w:t>-1</w:t>
            </w:r>
          </w:p>
        </w:tc>
        <w:tc>
          <w:tcPr>
            <w:tcW w:w="2224" w:type="dxa"/>
          </w:tcPr>
          <w:p w14:paraId="3586F75A">
            <w:pPr>
              <w:pStyle w:val="34"/>
              <w:rPr>
                <w:rFonts w:cs="Times New Roman"/>
              </w:rPr>
            </w:pPr>
            <w:r>
              <w:rPr>
                <w:rFonts w:hint="eastAsia" w:cs="Times New Roman"/>
              </w:rPr>
              <w:t>75</w:t>
            </w:r>
          </w:p>
        </w:tc>
        <w:tc>
          <w:tcPr>
            <w:tcW w:w="2047" w:type="dxa"/>
          </w:tcPr>
          <w:p w14:paraId="0EA321F4">
            <w:pPr>
              <w:pStyle w:val="34"/>
              <w:rPr>
                <w:rFonts w:hint="eastAsia" w:cs="Times New Roman"/>
              </w:rPr>
            </w:pPr>
            <w:r>
              <w:rPr>
                <w:rFonts w:hint="eastAsia" w:cs="Times New Roman"/>
              </w:rPr>
              <w:t>-93</w:t>
            </w:r>
          </w:p>
        </w:tc>
      </w:tr>
      <w:tr w14:paraId="300E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18754B0D">
            <w:pPr>
              <w:pStyle w:val="34"/>
              <w:numPr>
                <w:ilvl w:val="0"/>
                <w:numId w:val="4"/>
              </w:numPr>
              <w:rPr>
                <w:rFonts w:cs="Times New Roman"/>
              </w:rPr>
            </w:pPr>
          </w:p>
        </w:tc>
        <w:tc>
          <w:tcPr>
            <w:tcW w:w="3198" w:type="dxa"/>
            <w:vAlign w:val="center"/>
          </w:tcPr>
          <w:p w14:paraId="66CCF6A8">
            <w:pPr>
              <w:pStyle w:val="34"/>
              <w:rPr>
                <w:rFonts w:hint="eastAsia" w:cs="Times New Roman"/>
              </w:rPr>
            </w:pPr>
            <w:r>
              <w:rPr>
                <w:rFonts w:hint="eastAsia" w:cs="Times New Roman"/>
              </w:rPr>
              <w:t>-10</w:t>
            </w:r>
          </w:p>
        </w:tc>
        <w:tc>
          <w:tcPr>
            <w:tcW w:w="2224" w:type="dxa"/>
          </w:tcPr>
          <w:p w14:paraId="601F6911">
            <w:pPr>
              <w:pStyle w:val="34"/>
              <w:rPr>
                <w:rFonts w:cs="Times New Roman"/>
              </w:rPr>
            </w:pPr>
            <w:r>
              <w:rPr>
                <w:rFonts w:hint="eastAsia" w:cs="Times New Roman"/>
              </w:rPr>
              <w:t>75</w:t>
            </w:r>
          </w:p>
        </w:tc>
        <w:tc>
          <w:tcPr>
            <w:tcW w:w="2047" w:type="dxa"/>
          </w:tcPr>
          <w:p w14:paraId="5945D4B6">
            <w:pPr>
              <w:pStyle w:val="34"/>
              <w:rPr>
                <w:rFonts w:hint="eastAsia" w:cs="Times New Roman"/>
              </w:rPr>
            </w:pPr>
            <w:r>
              <w:rPr>
                <w:rFonts w:hint="eastAsia" w:cs="Times New Roman"/>
              </w:rPr>
              <w:t>-924</w:t>
            </w:r>
          </w:p>
        </w:tc>
      </w:tr>
      <w:tr w14:paraId="45C1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6D70BE36">
            <w:pPr>
              <w:pStyle w:val="34"/>
              <w:numPr>
                <w:ilvl w:val="0"/>
                <w:numId w:val="4"/>
              </w:numPr>
              <w:rPr>
                <w:rFonts w:cs="Times New Roman"/>
              </w:rPr>
            </w:pPr>
          </w:p>
        </w:tc>
        <w:tc>
          <w:tcPr>
            <w:tcW w:w="3198" w:type="dxa"/>
            <w:vAlign w:val="center"/>
          </w:tcPr>
          <w:p w14:paraId="193E1AAD">
            <w:pPr>
              <w:pStyle w:val="34"/>
              <w:rPr>
                <w:rFonts w:hint="eastAsia" w:cs="Times New Roman"/>
              </w:rPr>
            </w:pPr>
            <w:r>
              <w:rPr>
                <w:rFonts w:hint="eastAsia" w:cs="Times New Roman"/>
              </w:rPr>
              <w:t>-20</w:t>
            </w:r>
          </w:p>
        </w:tc>
        <w:tc>
          <w:tcPr>
            <w:tcW w:w="2224" w:type="dxa"/>
          </w:tcPr>
          <w:p w14:paraId="7E921877">
            <w:pPr>
              <w:pStyle w:val="34"/>
              <w:rPr>
                <w:rFonts w:cs="Times New Roman"/>
              </w:rPr>
            </w:pPr>
            <w:r>
              <w:rPr>
                <w:rFonts w:hint="eastAsia" w:cs="Times New Roman"/>
              </w:rPr>
              <w:t>75</w:t>
            </w:r>
          </w:p>
        </w:tc>
        <w:tc>
          <w:tcPr>
            <w:tcW w:w="2047" w:type="dxa"/>
          </w:tcPr>
          <w:p w14:paraId="3F75670A">
            <w:pPr>
              <w:pStyle w:val="34"/>
              <w:rPr>
                <w:rFonts w:hint="eastAsia" w:cs="Times New Roman"/>
              </w:rPr>
            </w:pPr>
            <w:r>
              <w:rPr>
                <w:rFonts w:hint="eastAsia" w:cs="Times New Roman"/>
              </w:rPr>
              <w:t>-1848</w:t>
            </w:r>
          </w:p>
        </w:tc>
      </w:tr>
      <w:tr w14:paraId="0447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08374E40">
            <w:pPr>
              <w:pStyle w:val="34"/>
              <w:numPr>
                <w:ilvl w:val="0"/>
                <w:numId w:val="4"/>
              </w:numPr>
              <w:rPr>
                <w:rFonts w:cs="Times New Roman"/>
              </w:rPr>
            </w:pPr>
          </w:p>
        </w:tc>
        <w:tc>
          <w:tcPr>
            <w:tcW w:w="3198" w:type="dxa"/>
            <w:vAlign w:val="center"/>
          </w:tcPr>
          <w:p w14:paraId="4CC1AEE3">
            <w:pPr>
              <w:pStyle w:val="34"/>
              <w:rPr>
                <w:rFonts w:hint="eastAsia" w:cs="Times New Roman"/>
              </w:rPr>
            </w:pPr>
            <w:r>
              <w:rPr>
                <w:rFonts w:hint="eastAsia" w:cs="Times New Roman"/>
              </w:rPr>
              <w:t>-30</w:t>
            </w:r>
          </w:p>
        </w:tc>
        <w:tc>
          <w:tcPr>
            <w:tcW w:w="2224" w:type="dxa"/>
          </w:tcPr>
          <w:p w14:paraId="3D5F18CD">
            <w:pPr>
              <w:pStyle w:val="34"/>
              <w:rPr>
                <w:rFonts w:cs="Times New Roman"/>
              </w:rPr>
            </w:pPr>
            <w:r>
              <w:rPr>
                <w:rFonts w:hint="eastAsia" w:cs="Times New Roman"/>
              </w:rPr>
              <w:t>75</w:t>
            </w:r>
          </w:p>
        </w:tc>
        <w:tc>
          <w:tcPr>
            <w:tcW w:w="2047" w:type="dxa"/>
          </w:tcPr>
          <w:p w14:paraId="6859F7EC">
            <w:pPr>
              <w:pStyle w:val="34"/>
              <w:rPr>
                <w:rFonts w:hint="eastAsia" w:cs="Times New Roman"/>
              </w:rPr>
            </w:pPr>
            <w:r>
              <w:rPr>
                <w:rFonts w:hint="eastAsia" w:cs="Times New Roman"/>
              </w:rPr>
              <w:t>-2772</w:t>
            </w:r>
          </w:p>
        </w:tc>
      </w:tr>
      <w:tr w14:paraId="7A28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0" w:type="dxa"/>
            <w:vAlign w:val="center"/>
          </w:tcPr>
          <w:p w14:paraId="1446B7AE">
            <w:pPr>
              <w:pStyle w:val="34"/>
              <w:numPr>
                <w:ilvl w:val="0"/>
                <w:numId w:val="4"/>
              </w:numPr>
              <w:rPr>
                <w:rFonts w:cs="Times New Roman"/>
              </w:rPr>
            </w:pPr>
          </w:p>
        </w:tc>
        <w:tc>
          <w:tcPr>
            <w:tcW w:w="3198" w:type="dxa"/>
            <w:vAlign w:val="center"/>
          </w:tcPr>
          <w:p w14:paraId="78014CFF">
            <w:pPr>
              <w:pStyle w:val="34"/>
              <w:rPr>
                <w:rFonts w:hint="eastAsia" w:cs="Times New Roman"/>
              </w:rPr>
            </w:pPr>
            <w:r>
              <w:rPr>
                <w:rFonts w:hint="eastAsia" w:cs="Times New Roman"/>
              </w:rPr>
              <w:t>-50</w:t>
            </w:r>
          </w:p>
        </w:tc>
        <w:tc>
          <w:tcPr>
            <w:tcW w:w="2224" w:type="dxa"/>
          </w:tcPr>
          <w:p w14:paraId="64F3DB14">
            <w:pPr>
              <w:pStyle w:val="34"/>
              <w:rPr>
                <w:rFonts w:cs="Times New Roman"/>
              </w:rPr>
            </w:pPr>
            <w:r>
              <w:rPr>
                <w:rFonts w:hint="eastAsia" w:cs="Times New Roman"/>
              </w:rPr>
              <w:t>75</w:t>
            </w:r>
          </w:p>
        </w:tc>
        <w:tc>
          <w:tcPr>
            <w:tcW w:w="2047" w:type="dxa"/>
          </w:tcPr>
          <w:p w14:paraId="49D1206A">
            <w:pPr>
              <w:pStyle w:val="34"/>
              <w:rPr>
                <w:rFonts w:hint="eastAsia" w:cs="Times New Roman"/>
              </w:rPr>
            </w:pPr>
            <w:r>
              <w:rPr>
                <w:rFonts w:hint="eastAsia" w:cs="Times New Roman"/>
              </w:rPr>
              <w:t>-4620</w:t>
            </w:r>
          </w:p>
        </w:tc>
      </w:tr>
    </w:tbl>
    <w:p w14:paraId="7F3A45F9">
      <w:pPr>
        <w:pStyle w:val="2"/>
        <w:spacing w:after="156"/>
      </w:pPr>
      <w:bookmarkStart w:id="15" w:name="_Toc233382922"/>
      <w:bookmarkStart w:id="18" w:name="_GoBack"/>
      <w:bookmarkEnd w:id="18"/>
      <w:r>
        <w:rPr>
          <w:rFonts w:hint="eastAsia"/>
        </w:rPr>
        <w:t>试验方法</w:t>
      </w:r>
      <w:bookmarkEnd w:id="15"/>
    </w:p>
    <w:p w14:paraId="45E280D7">
      <w:pPr>
        <w:ind w:firstLine="560"/>
      </w:pPr>
      <w:r>
        <w:t>在开展试验前，首先需要对标校实验室内的环境条件进行严格检查，确保环境温度保持在</w:t>
      </w:r>
      <w:r>
        <w:rPr>
          <w:rFonts w:hint="eastAsia"/>
        </w:rPr>
        <w:t>(20±5)℃</w:t>
      </w:r>
      <w:r>
        <w:t>，相对湿度不大于</w:t>
      </w:r>
      <w:r>
        <w:rPr>
          <w:rFonts w:hint="eastAsia"/>
        </w:rPr>
        <w:t>不大于80%</w:t>
      </w:r>
      <w:r>
        <w:t>，且大气压力维持在</w:t>
      </w:r>
      <w:r>
        <w:rPr>
          <w:rFonts w:hint="eastAsia"/>
        </w:rPr>
        <w:t>86 kPa～106 kPa</w:t>
      </w:r>
      <w:r>
        <w:t>的范围内。确认环境达标后，将待测的相干多普勒测风激光雷达牢固地固定在试验平台上。随后，依次将作为主要配套设备的高精度光学转盘系统、光路反射系统以及伺服电机角度控制系统进行安装、对齐与调试。</w:t>
      </w:r>
    </w:p>
    <w:p w14:paraId="59049BE3">
      <w:pPr>
        <w:ind w:firstLine="560"/>
      </w:pPr>
      <w:r>
        <w:t>同时，在相应位置部署作为计量标准器的激光多普勒测速仪，用以实时监测并校验光学转盘表面所产生的模拟线速度，以此作为高精度的标准速度源</w:t>
      </w:r>
      <w:r>
        <w:rPr>
          <w:rFonts w:hint="eastAsia"/>
        </w:rPr>
        <w:t>。</w:t>
      </w:r>
    </w:p>
    <w:p w14:paraId="5D46AE6F">
      <w:pPr>
        <w:ind w:firstLine="560"/>
      </w:pPr>
      <w:r>
        <w:t>接下来利用伺服电机角度控制系统，将高精度光学转盘的底座角度精准调整至</w:t>
      </w:r>
      <w:r>
        <w:rPr>
          <w:rFonts w:hint="eastAsia"/>
        </w:rPr>
        <w:t>75°</w:t>
      </w:r>
      <w:r>
        <w:t xml:space="preserve">，确保其角度的最大允许误差控制在 </w:t>
      </w:r>
      <w:r>
        <w:rPr>
          <w:rFonts w:hint="eastAsia"/>
        </w:rPr>
        <w:t>0.1°</w:t>
      </w:r>
      <w:r>
        <w:t>以内。在此基础上启动待测激光雷达，通过光路反射系统微调雷达发射的激光束，使其精准聚焦并准直照射到光学转盘的指定散射区域。通过精确调整激光的入射角度，使雷达光束的径向分量与转盘切线速度方向产生的多普勒频移完全符合试验设定要求</w:t>
      </w:r>
      <w:r>
        <w:rPr>
          <w:rFonts w:hint="eastAsia"/>
        </w:rPr>
        <w:t>。</w:t>
      </w:r>
    </w:p>
    <w:p w14:paraId="187AD9DA">
      <w:pPr>
        <w:ind w:firstLine="560"/>
        <w:rPr>
          <w:rFonts w:hint="eastAsia"/>
        </w:rPr>
      </w:pPr>
      <w:r>
        <w:t>实际的径向速度测量试验将按照由低风速到高风速、先正向后负向的顺序依次切换速度点进行 。首先控制伺服电机使转盘转速为 $0\text{ rpm}$ 开展零风速静止测试 ，记录此时标准器的示值与待测激光雷达的径向速度输出值 。随后进入正向速度测试阶段，依次控制伺服电机将光学转盘的转速稳定在</w:t>
      </w:r>
      <w:r>
        <w:rPr>
          <w:rFonts w:hint="eastAsia"/>
        </w:rPr>
        <w:t>93 rpm、924 rpm、1848 rpm、2772 rpm、4620 rpm</w:t>
      </w:r>
      <w:r>
        <w:t xml:space="preserve">，待转速完全稳定后，分别对应测量并记录 </w:t>
      </w:r>
      <w:r>
        <w:rPr>
          <w:rFonts w:hint="eastAsia"/>
        </w:rPr>
        <w:t>径向速度1 m/s、10 m/s、20 m/s、30 m/s、50 m/s</w:t>
      </w:r>
      <w:r>
        <w:t>试验点下的雷达径向速度测量值与标准器的示值。正向测试完毕后变换转盘的旋转方向，控制转盘转速分别稳定在</w:t>
      </w:r>
      <w:r>
        <w:rPr>
          <w:rFonts w:hint="eastAsia"/>
        </w:rPr>
        <w:t>-93 rpm、-924 rpm、-1848 rpm、-2772 rpm、-4620 rpm</w:t>
      </w:r>
      <w:r>
        <w:t>，对应测量并记录</w:t>
      </w:r>
      <w:r>
        <w:rPr>
          <w:rFonts w:hint="eastAsia"/>
        </w:rPr>
        <w:t>-1 m/s、-10 m/s、-20 m/s、-30 m/s、-50 m/s</w:t>
      </w:r>
      <w:r>
        <w:t>试验点下的</w:t>
      </w:r>
      <w:r>
        <w:rPr>
          <w:rFonts w:hint="eastAsia"/>
        </w:rPr>
        <w:t>反向</w:t>
      </w:r>
      <w:r>
        <w:t>测量数据。在此过程中，作为标准器的激光多普勒测速仪会同步提供</w:t>
      </w:r>
      <w:r>
        <w:rPr>
          <w:rFonts w:hint="eastAsia"/>
        </w:rPr>
        <w:t>测量不确定度</w:t>
      </w:r>
      <w:r>
        <w:t>为</w:t>
      </w:r>
      <w:r>
        <w:rPr>
          <w:rFonts w:hint="eastAsia"/>
        </w:rPr>
        <w:t>0.2%</w:t>
      </w:r>
      <w:r>
        <w:t>的高精度标准速度值作为比对依据</w:t>
      </w:r>
      <w:r>
        <w:rPr>
          <w:rFonts w:hint="eastAsia"/>
        </w:rPr>
        <w:t>。</w:t>
      </w:r>
    </w:p>
    <w:p w14:paraId="1266A17F">
      <w:pPr>
        <w:ind w:firstLine="560"/>
      </w:pPr>
      <w:r>
        <w:t>在完成</w:t>
      </w:r>
      <w:r>
        <w:rPr>
          <w:rFonts w:hint="eastAsia"/>
        </w:rPr>
        <w:t>所有</w:t>
      </w:r>
      <w:r>
        <w:t>速度点的单次测量后，为了保证数据的可靠性，需在相同的环境条件下重复进行至少3次全量程速度点的循环测试。试验结束后，将详细整理并记录的各个试验点下的标准器示值与待测激光雷达示值进行对比，计算出各点的示值误差，最终通过这些系统性的试验数据来全面验证本校准规范所提技术方法的可行性、准确性以及各厂家设备之间的数据可比性</w:t>
      </w:r>
      <w:r>
        <w:rPr>
          <w:rFonts w:hint="eastAsia"/>
        </w:rPr>
        <w:t>。</w:t>
      </w:r>
    </w:p>
    <w:p w14:paraId="4D63C8B2">
      <w:pPr>
        <w:pStyle w:val="2"/>
        <w:spacing w:after="156"/>
        <w:sectPr>
          <w:footerReference r:id="rId12" w:type="default"/>
          <w:pgSz w:w="11906" w:h="16838"/>
          <w:pgMar w:top="1985" w:right="1701" w:bottom="1701" w:left="1985" w:header="851" w:footer="992" w:gutter="0"/>
          <w:pgNumType w:start="1"/>
          <w:cols w:space="425" w:num="1"/>
          <w:docGrid w:type="lines" w:linePitch="312" w:charSpace="0"/>
        </w:sectPr>
      </w:pPr>
    </w:p>
    <w:p w14:paraId="32F026A9">
      <w:pPr>
        <w:pStyle w:val="2"/>
        <w:spacing w:after="190"/>
      </w:pPr>
      <w:bookmarkStart w:id="16" w:name="_Toc233382923"/>
      <w:r>
        <w:rPr>
          <w:rFonts w:hint="eastAsia"/>
        </w:rPr>
        <w:t>试验结果</w:t>
      </w:r>
      <w:bookmarkEnd w:id="16"/>
    </w:p>
    <w:p w14:paraId="5D419D38">
      <w:pPr>
        <w:pStyle w:val="11"/>
        <w:spacing w:before="190" w:after="190"/>
        <w:rPr>
          <w:rFonts w:hint="eastAsia"/>
        </w:rPr>
      </w:pPr>
      <w:r>
        <w:rPr>
          <w:rFonts w:hint="eastAsia"/>
        </w:rPr>
        <w:t xml:space="preserve">表 </w:t>
      </w:r>
      <w:r>
        <w:fldChar w:fldCharType="begin"/>
      </w:r>
      <w:r>
        <w:instrText xml:space="preserve"> </w:instrText>
      </w:r>
      <w:r>
        <w:rPr>
          <w:rFonts w:hint="eastAsia"/>
        </w:rPr>
        <w:instrText xml:space="preserve">SEQ 表 \* ARABIC</w:instrText>
      </w:r>
      <w:r>
        <w:instrText xml:space="preserve"> </w:instrText>
      </w:r>
      <w:r>
        <w:fldChar w:fldCharType="separate"/>
      </w:r>
      <w:r>
        <w:t>3</w:t>
      </w:r>
      <w:r>
        <w:fldChar w:fldCharType="end"/>
      </w:r>
      <w:r>
        <w:rPr>
          <w:rFonts w:hint="eastAsia"/>
        </w:rPr>
        <w:t>多普勒测风激光雷达校准数据</w:t>
      </w:r>
    </w:p>
    <w:tbl>
      <w:tblPr>
        <w:tblStyle w:val="19"/>
        <w:tblW w:w="14558"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701"/>
        <w:gridCol w:w="2410"/>
        <w:gridCol w:w="1303"/>
        <w:gridCol w:w="1673"/>
        <w:gridCol w:w="1773"/>
        <w:gridCol w:w="2693"/>
        <w:gridCol w:w="1303"/>
      </w:tblGrid>
      <w:tr w14:paraId="7058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702" w:type="dxa"/>
            <w:noWrap/>
            <w:vAlign w:val="center"/>
          </w:tcPr>
          <w:p w14:paraId="499F7969">
            <w:pPr>
              <w:pStyle w:val="34"/>
            </w:pPr>
            <w:r>
              <w:t>速度设定点（m/s）</w:t>
            </w:r>
          </w:p>
        </w:tc>
        <w:tc>
          <w:tcPr>
            <w:tcW w:w="1701" w:type="dxa"/>
            <w:vAlign w:val="center"/>
          </w:tcPr>
          <w:p w14:paraId="06017FD3">
            <w:pPr>
              <w:pStyle w:val="34"/>
            </w:pPr>
            <w:r>
              <w:t>转盘</w:t>
            </w:r>
            <w:r>
              <w:rPr>
                <w:rFonts w:hint="eastAsia"/>
              </w:rPr>
              <w:t>径向</w:t>
            </w:r>
            <w:r>
              <w:t>速度</w:t>
            </w:r>
            <w:r>
              <w:br w:type="textWrapping"/>
            </w:r>
            <w:r>
              <w:t>(m/s)</w:t>
            </w:r>
          </w:p>
        </w:tc>
        <w:tc>
          <w:tcPr>
            <w:tcW w:w="2410" w:type="dxa"/>
            <w:vAlign w:val="center"/>
          </w:tcPr>
          <w:p w14:paraId="02916A7E">
            <w:pPr>
              <w:pStyle w:val="34"/>
            </w:pPr>
            <w:r>
              <w:t>雷达</w:t>
            </w:r>
            <w:r>
              <w:rPr>
                <w:rFonts w:hint="eastAsia"/>
              </w:rPr>
              <w:t>径向</w:t>
            </w:r>
            <w:r>
              <w:t>速度</w:t>
            </w:r>
            <w:r>
              <w:br w:type="textWrapping"/>
            </w:r>
            <w:r>
              <w:t>(m/s)</w:t>
            </w:r>
          </w:p>
        </w:tc>
        <w:tc>
          <w:tcPr>
            <w:tcW w:w="1303" w:type="dxa"/>
            <w:vAlign w:val="center"/>
          </w:tcPr>
          <w:p w14:paraId="1FAF1707">
            <w:pPr>
              <w:pStyle w:val="34"/>
            </w:pPr>
            <w:r>
              <w:t>绝对误差</w:t>
            </w:r>
            <w:r>
              <w:br w:type="textWrapping"/>
            </w:r>
            <w:r>
              <w:t>(m/s)</w:t>
            </w:r>
          </w:p>
        </w:tc>
        <w:tc>
          <w:tcPr>
            <w:tcW w:w="1673" w:type="dxa"/>
            <w:noWrap/>
            <w:vAlign w:val="center"/>
          </w:tcPr>
          <w:p w14:paraId="1B132451">
            <w:pPr>
              <w:pStyle w:val="34"/>
            </w:pPr>
            <w:r>
              <w:t>速度设定点（m/s）</w:t>
            </w:r>
          </w:p>
        </w:tc>
        <w:tc>
          <w:tcPr>
            <w:tcW w:w="1773" w:type="dxa"/>
            <w:vAlign w:val="center"/>
          </w:tcPr>
          <w:p w14:paraId="4864E774">
            <w:pPr>
              <w:pStyle w:val="34"/>
            </w:pPr>
            <w:r>
              <w:t>转盘</w:t>
            </w:r>
            <w:r>
              <w:rPr>
                <w:rFonts w:hint="eastAsia"/>
              </w:rPr>
              <w:t>径向</w:t>
            </w:r>
            <w:r>
              <w:t>速度</w:t>
            </w:r>
            <w:r>
              <w:br w:type="textWrapping"/>
            </w:r>
            <w:r>
              <w:t>(m/s)</w:t>
            </w:r>
          </w:p>
        </w:tc>
        <w:tc>
          <w:tcPr>
            <w:tcW w:w="2693" w:type="dxa"/>
            <w:vAlign w:val="center"/>
          </w:tcPr>
          <w:p w14:paraId="62103789">
            <w:pPr>
              <w:pStyle w:val="34"/>
            </w:pPr>
            <w:r>
              <w:t>雷达</w:t>
            </w:r>
            <w:r>
              <w:rPr>
                <w:rFonts w:hint="eastAsia"/>
              </w:rPr>
              <w:t>径向</w:t>
            </w:r>
            <w:r>
              <w:t>速度</w:t>
            </w:r>
            <w:r>
              <w:br w:type="textWrapping"/>
            </w:r>
            <w:r>
              <w:t>(m/s)</w:t>
            </w:r>
          </w:p>
        </w:tc>
        <w:tc>
          <w:tcPr>
            <w:tcW w:w="1303" w:type="dxa"/>
            <w:vAlign w:val="center"/>
          </w:tcPr>
          <w:p w14:paraId="232F8047">
            <w:pPr>
              <w:pStyle w:val="34"/>
            </w:pPr>
            <w:r>
              <w:t>绝对误差</w:t>
            </w:r>
            <w:r>
              <w:br w:type="textWrapping"/>
            </w:r>
            <w:r>
              <w:t>(m/s)</w:t>
            </w:r>
          </w:p>
        </w:tc>
      </w:tr>
      <w:tr w14:paraId="6F21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restart"/>
            <w:noWrap/>
            <w:vAlign w:val="center"/>
          </w:tcPr>
          <w:p w14:paraId="1CB45351">
            <w:pPr>
              <w:pStyle w:val="34"/>
            </w:pPr>
            <w:r>
              <w:t>0</w:t>
            </w:r>
          </w:p>
        </w:tc>
        <w:tc>
          <w:tcPr>
            <w:tcW w:w="1701" w:type="dxa"/>
            <w:noWrap/>
            <w:vAlign w:val="center"/>
          </w:tcPr>
          <w:p w14:paraId="4CED0B3D">
            <w:pPr>
              <w:pStyle w:val="34"/>
            </w:pPr>
            <w:r>
              <w:t>0.000</w:t>
            </w:r>
          </w:p>
        </w:tc>
        <w:tc>
          <w:tcPr>
            <w:tcW w:w="2410" w:type="dxa"/>
            <w:noWrap/>
            <w:vAlign w:val="center"/>
          </w:tcPr>
          <w:p w14:paraId="3CD50192">
            <w:pPr>
              <w:pStyle w:val="34"/>
            </w:pPr>
            <w:r>
              <w:t>0.020</w:t>
            </w:r>
          </w:p>
        </w:tc>
        <w:tc>
          <w:tcPr>
            <w:tcW w:w="1303" w:type="dxa"/>
            <w:noWrap/>
            <w:vAlign w:val="center"/>
          </w:tcPr>
          <w:p w14:paraId="52AA12C8">
            <w:pPr>
              <w:pStyle w:val="34"/>
            </w:pPr>
            <w:r>
              <w:t>0.020</w:t>
            </w:r>
          </w:p>
        </w:tc>
        <w:tc>
          <w:tcPr>
            <w:tcW w:w="1673" w:type="dxa"/>
            <w:vMerge w:val="restart"/>
            <w:noWrap/>
            <w:vAlign w:val="center"/>
          </w:tcPr>
          <w:p w14:paraId="619F6D34">
            <w:pPr>
              <w:pStyle w:val="34"/>
            </w:pPr>
            <w:r>
              <w:t>0</w:t>
            </w:r>
          </w:p>
        </w:tc>
        <w:tc>
          <w:tcPr>
            <w:tcW w:w="1773" w:type="dxa"/>
            <w:noWrap/>
            <w:vAlign w:val="center"/>
          </w:tcPr>
          <w:p w14:paraId="3C2D48F8">
            <w:pPr>
              <w:pStyle w:val="34"/>
            </w:pPr>
            <w:r>
              <w:t>0.000</w:t>
            </w:r>
          </w:p>
        </w:tc>
        <w:tc>
          <w:tcPr>
            <w:tcW w:w="2693" w:type="dxa"/>
            <w:noWrap/>
            <w:vAlign w:val="center"/>
          </w:tcPr>
          <w:p w14:paraId="30552D35">
            <w:pPr>
              <w:pStyle w:val="34"/>
            </w:pPr>
            <w:r>
              <w:t>-0.010</w:t>
            </w:r>
          </w:p>
        </w:tc>
        <w:tc>
          <w:tcPr>
            <w:tcW w:w="1303" w:type="dxa"/>
            <w:noWrap/>
            <w:vAlign w:val="center"/>
          </w:tcPr>
          <w:p w14:paraId="4EB41F4C">
            <w:pPr>
              <w:pStyle w:val="34"/>
            </w:pPr>
            <w:r>
              <w:t>-0.010</w:t>
            </w:r>
          </w:p>
        </w:tc>
      </w:tr>
      <w:tr w14:paraId="26DB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743822B6">
            <w:pPr>
              <w:pStyle w:val="34"/>
            </w:pPr>
          </w:p>
        </w:tc>
        <w:tc>
          <w:tcPr>
            <w:tcW w:w="1701" w:type="dxa"/>
            <w:noWrap/>
            <w:vAlign w:val="center"/>
          </w:tcPr>
          <w:p w14:paraId="2898A32B">
            <w:pPr>
              <w:pStyle w:val="34"/>
            </w:pPr>
            <w:r>
              <w:t>0.000</w:t>
            </w:r>
          </w:p>
        </w:tc>
        <w:tc>
          <w:tcPr>
            <w:tcW w:w="2410" w:type="dxa"/>
            <w:noWrap/>
            <w:vAlign w:val="center"/>
          </w:tcPr>
          <w:p w14:paraId="02B876A0">
            <w:pPr>
              <w:pStyle w:val="34"/>
            </w:pPr>
            <w:r>
              <w:t>0.050</w:t>
            </w:r>
          </w:p>
        </w:tc>
        <w:tc>
          <w:tcPr>
            <w:tcW w:w="1303" w:type="dxa"/>
            <w:noWrap/>
            <w:vAlign w:val="center"/>
          </w:tcPr>
          <w:p w14:paraId="79AB8EF8">
            <w:pPr>
              <w:pStyle w:val="34"/>
            </w:pPr>
            <w:r>
              <w:t>0.050</w:t>
            </w:r>
          </w:p>
        </w:tc>
        <w:tc>
          <w:tcPr>
            <w:tcW w:w="1673" w:type="dxa"/>
            <w:vMerge w:val="continue"/>
            <w:noWrap/>
            <w:vAlign w:val="center"/>
          </w:tcPr>
          <w:p w14:paraId="4598BECD">
            <w:pPr>
              <w:pStyle w:val="34"/>
            </w:pPr>
          </w:p>
        </w:tc>
        <w:tc>
          <w:tcPr>
            <w:tcW w:w="1773" w:type="dxa"/>
            <w:noWrap/>
            <w:vAlign w:val="center"/>
          </w:tcPr>
          <w:p w14:paraId="0FDC8EE0">
            <w:pPr>
              <w:pStyle w:val="34"/>
            </w:pPr>
            <w:r>
              <w:t>0.000</w:t>
            </w:r>
          </w:p>
        </w:tc>
        <w:tc>
          <w:tcPr>
            <w:tcW w:w="2693" w:type="dxa"/>
            <w:noWrap/>
            <w:vAlign w:val="center"/>
          </w:tcPr>
          <w:p w14:paraId="1B61D708">
            <w:pPr>
              <w:pStyle w:val="34"/>
            </w:pPr>
            <w:r>
              <w:t>-0.010</w:t>
            </w:r>
          </w:p>
        </w:tc>
        <w:tc>
          <w:tcPr>
            <w:tcW w:w="1303" w:type="dxa"/>
            <w:noWrap/>
            <w:vAlign w:val="center"/>
          </w:tcPr>
          <w:p w14:paraId="13831577">
            <w:pPr>
              <w:pStyle w:val="34"/>
            </w:pPr>
            <w:r>
              <w:t>-0.010</w:t>
            </w:r>
          </w:p>
        </w:tc>
      </w:tr>
      <w:tr w14:paraId="21A0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438AD784">
            <w:pPr>
              <w:pStyle w:val="34"/>
            </w:pPr>
          </w:p>
        </w:tc>
        <w:tc>
          <w:tcPr>
            <w:tcW w:w="1701" w:type="dxa"/>
            <w:noWrap/>
            <w:vAlign w:val="center"/>
          </w:tcPr>
          <w:p w14:paraId="407AC8DB">
            <w:pPr>
              <w:pStyle w:val="34"/>
            </w:pPr>
            <w:r>
              <w:t>0.000</w:t>
            </w:r>
          </w:p>
        </w:tc>
        <w:tc>
          <w:tcPr>
            <w:tcW w:w="2410" w:type="dxa"/>
            <w:noWrap/>
            <w:vAlign w:val="center"/>
          </w:tcPr>
          <w:p w14:paraId="41785499">
            <w:pPr>
              <w:pStyle w:val="34"/>
            </w:pPr>
            <w:r>
              <w:t>0.040</w:t>
            </w:r>
          </w:p>
        </w:tc>
        <w:tc>
          <w:tcPr>
            <w:tcW w:w="1303" w:type="dxa"/>
            <w:noWrap/>
            <w:vAlign w:val="center"/>
          </w:tcPr>
          <w:p w14:paraId="40523FA8">
            <w:pPr>
              <w:pStyle w:val="34"/>
            </w:pPr>
            <w:r>
              <w:t>0.040</w:t>
            </w:r>
          </w:p>
        </w:tc>
        <w:tc>
          <w:tcPr>
            <w:tcW w:w="1673" w:type="dxa"/>
            <w:vMerge w:val="continue"/>
            <w:noWrap/>
            <w:vAlign w:val="center"/>
          </w:tcPr>
          <w:p w14:paraId="2E60F436">
            <w:pPr>
              <w:pStyle w:val="34"/>
            </w:pPr>
          </w:p>
        </w:tc>
        <w:tc>
          <w:tcPr>
            <w:tcW w:w="1773" w:type="dxa"/>
            <w:noWrap/>
            <w:vAlign w:val="center"/>
          </w:tcPr>
          <w:p w14:paraId="58858FD6">
            <w:pPr>
              <w:pStyle w:val="34"/>
            </w:pPr>
            <w:r>
              <w:t>0.000</w:t>
            </w:r>
          </w:p>
        </w:tc>
        <w:tc>
          <w:tcPr>
            <w:tcW w:w="2693" w:type="dxa"/>
            <w:noWrap/>
            <w:vAlign w:val="center"/>
          </w:tcPr>
          <w:p w14:paraId="16EBE4E1">
            <w:pPr>
              <w:pStyle w:val="34"/>
            </w:pPr>
            <w:r>
              <w:t>-0.010</w:t>
            </w:r>
          </w:p>
        </w:tc>
        <w:tc>
          <w:tcPr>
            <w:tcW w:w="1303" w:type="dxa"/>
            <w:noWrap/>
            <w:vAlign w:val="center"/>
          </w:tcPr>
          <w:p w14:paraId="72B840EF">
            <w:pPr>
              <w:pStyle w:val="34"/>
            </w:pPr>
            <w:r>
              <w:t>-0.010</w:t>
            </w:r>
          </w:p>
        </w:tc>
      </w:tr>
      <w:tr w14:paraId="1541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noWrap/>
            <w:vAlign w:val="center"/>
          </w:tcPr>
          <w:p w14:paraId="14B2457E">
            <w:pPr>
              <w:pStyle w:val="34"/>
            </w:pPr>
            <w:r>
              <w:t>平均值</w:t>
            </w:r>
          </w:p>
        </w:tc>
        <w:tc>
          <w:tcPr>
            <w:tcW w:w="1701" w:type="dxa"/>
            <w:noWrap/>
            <w:vAlign w:val="center"/>
          </w:tcPr>
          <w:p w14:paraId="1620BB9B">
            <w:pPr>
              <w:pStyle w:val="34"/>
            </w:pPr>
            <w:r>
              <w:t>0.000</w:t>
            </w:r>
          </w:p>
        </w:tc>
        <w:tc>
          <w:tcPr>
            <w:tcW w:w="2410" w:type="dxa"/>
            <w:noWrap/>
            <w:vAlign w:val="center"/>
          </w:tcPr>
          <w:p w14:paraId="00C9F211">
            <w:pPr>
              <w:pStyle w:val="34"/>
            </w:pPr>
            <w:r>
              <w:t>0.017</w:t>
            </w:r>
          </w:p>
        </w:tc>
        <w:tc>
          <w:tcPr>
            <w:tcW w:w="1303" w:type="dxa"/>
            <w:noWrap/>
            <w:vAlign w:val="center"/>
          </w:tcPr>
          <w:p w14:paraId="5E5837F6">
            <w:pPr>
              <w:pStyle w:val="34"/>
              <w:rPr>
                <w:b/>
                <w:bCs/>
                <w:color w:val="EE0000"/>
              </w:rPr>
            </w:pPr>
            <w:r>
              <w:rPr>
                <w:b/>
                <w:bCs/>
                <w:color w:val="00B050"/>
              </w:rPr>
              <w:t>0.017</w:t>
            </w:r>
          </w:p>
        </w:tc>
        <w:tc>
          <w:tcPr>
            <w:tcW w:w="1673" w:type="dxa"/>
            <w:noWrap/>
            <w:vAlign w:val="center"/>
          </w:tcPr>
          <w:p w14:paraId="7967C4A3">
            <w:pPr>
              <w:pStyle w:val="34"/>
            </w:pPr>
            <w:r>
              <w:t>平均值</w:t>
            </w:r>
          </w:p>
        </w:tc>
        <w:tc>
          <w:tcPr>
            <w:tcW w:w="1773" w:type="dxa"/>
            <w:noWrap/>
            <w:vAlign w:val="center"/>
          </w:tcPr>
          <w:p w14:paraId="1CEF9894">
            <w:pPr>
              <w:pStyle w:val="34"/>
            </w:pPr>
            <w:r>
              <w:t>0.000</w:t>
            </w:r>
          </w:p>
        </w:tc>
        <w:tc>
          <w:tcPr>
            <w:tcW w:w="2693" w:type="dxa"/>
            <w:noWrap/>
            <w:vAlign w:val="center"/>
          </w:tcPr>
          <w:p w14:paraId="2EBD26E1">
            <w:pPr>
              <w:pStyle w:val="34"/>
            </w:pPr>
            <w:r>
              <w:t>-0.010</w:t>
            </w:r>
          </w:p>
        </w:tc>
        <w:tc>
          <w:tcPr>
            <w:tcW w:w="1303" w:type="dxa"/>
            <w:noWrap/>
            <w:vAlign w:val="center"/>
          </w:tcPr>
          <w:p w14:paraId="298959A9">
            <w:pPr>
              <w:pStyle w:val="34"/>
              <w:rPr>
                <w:b/>
                <w:bCs/>
              </w:rPr>
            </w:pPr>
            <w:r>
              <w:rPr>
                <w:b/>
                <w:bCs/>
                <w:color w:val="00B050"/>
              </w:rPr>
              <w:t>-0.010</w:t>
            </w:r>
          </w:p>
        </w:tc>
      </w:tr>
      <w:tr w14:paraId="1B80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restart"/>
            <w:noWrap/>
            <w:vAlign w:val="center"/>
          </w:tcPr>
          <w:p w14:paraId="11F0363C">
            <w:pPr>
              <w:pStyle w:val="34"/>
            </w:pPr>
            <w:r>
              <w:t>1</w:t>
            </w:r>
          </w:p>
        </w:tc>
        <w:tc>
          <w:tcPr>
            <w:tcW w:w="1701" w:type="dxa"/>
            <w:noWrap/>
            <w:vAlign w:val="center"/>
          </w:tcPr>
          <w:p w14:paraId="475D4395">
            <w:pPr>
              <w:pStyle w:val="34"/>
            </w:pPr>
            <w:r>
              <w:t>1.007</w:t>
            </w:r>
          </w:p>
        </w:tc>
        <w:tc>
          <w:tcPr>
            <w:tcW w:w="2410" w:type="dxa"/>
            <w:noWrap/>
            <w:vAlign w:val="center"/>
          </w:tcPr>
          <w:p w14:paraId="5FF69646">
            <w:pPr>
              <w:pStyle w:val="34"/>
            </w:pPr>
            <w:r>
              <w:t>0.970</w:t>
            </w:r>
          </w:p>
        </w:tc>
        <w:tc>
          <w:tcPr>
            <w:tcW w:w="1303" w:type="dxa"/>
            <w:noWrap/>
            <w:vAlign w:val="center"/>
          </w:tcPr>
          <w:p w14:paraId="11EFF1E5">
            <w:pPr>
              <w:pStyle w:val="34"/>
            </w:pPr>
            <w:r>
              <w:t>-0.037</w:t>
            </w:r>
          </w:p>
        </w:tc>
        <w:tc>
          <w:tcPr>
            <w:tcW w:w="1673" w:type="dxa"/>
            <w:vMerge w:val="restart"/>
            <w:noWrap/>
            <w:vAlign w:val="center"/>
          </w:tcPr>
          <w:p w14:paraId="3D1F9856">
            <w:pPr>
              <w:pStyle w:val="34"/>
            </w:pPr>
            <w:r>
              <w:t>-1</w:t>
            </w:r>
          </w:p>
        </w:tc>
        <w:tc>
          <w:tcPr>
            <w:tcW w:w="1773" w:type="dxa"/>
            <w:noWrap/>
            <w:vAlign w:val="center"/>
          </w:tcPr>
          <w:p w14:paraId="0023F34A">
            <w:pPr>
              <w:pStyle w:val="34"/>
            </w:pPr>
            <w:r>
              <w:t>-1.006</w:t>
            </w:r>
          </w:p>
        </w:tc>
        <w:tc>
          <w:tcPr>
            <w:tcW w:w="2693" w:type="dxa"/>
            <w:noWrap/>
            <w:vAlign w:val="center"/>
          </w:tcPr>
          <w:p w14:paraId="7E38FB67">
            <w:pPr>
              <w:pStyle w:val="34"/>
            </w:pPr>
            <w:r>
              <w:t>-1.000</w:t>
            </w:r>
          </w:p>
        </w:tc>
        <w:tc>
          <w:tcPr>
            <w:tcW w:w="1303" w:type="dxa"/>
            <w:noWrap/>
            <w:vAlign w:val="center"/>
          </w:tcPr>
          <w:p w14:paraId="6B118DFC">
            <w:pPr>
              <w:pStyle w:val="34"/>
            </w:pPr>
            <w:r>
              <w:t>0.006</w:t>
            </w:r>
          </w:p>
        </w:tc>
      </w:tr>
      <w:tr w14:paraId="7A61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3D816E1A">
            <w:pPr>
              <w:pStyle w:val="34"/>
            </w:pPr>
          </w:p>
        </w:tc>
        <w:tc>
          <w:tcPr>
            <w:tcW w:w="1701" w:type="dxa"/>
            <w:noWrap/>
            <w:vAlign w:val="center"/>
          </w:tcPr>
          <w:p w14:paraId="2969B476">
            <w:pPr>
              <w:pStyle w:val="34"/>
            </w:pPr>
            <w:r>
              <w:t>1.009</w:t>
            </w:r>
          </w:p>
        </w:tc>
        <w:tc>
          <w:tcPr>
            <w:tcW w:w="2410" w:type="dxa"/>
            <w:noWrap/>
            <w:vAlign w:val="center"/>
          </w:tcPr>
          <w:p w14:paraId="573CE49D">
            <w:pPr>
              <w:pStyle w:val="34"/>
            </w:pPr>
            <w:r>
              <w:t>0.970</w:t>
            </w:r>
          </w:p>
        </w:tc>
        <w:tc>
          <w:tcPr>
            <w:tcW w:w="1303" w:type="dxa"/>
            <w:noWrap/>
            <w:vAlign w:val="center"/>
          </w:tcPr>
          <w:p w14:paraId="561B3B64">
            <w:pPr>
              <w:pStyle w:val="34"/>
            </w:pPr>
            <w:r>
              <w:t>-0.039</w:t>
            </w:r>
          </w:p>
        </w:tc>
        <w:tc>
          <w:tcPr>
            <w:tcW w:w="1673" w:type="dxa"/>
            <w:vMerge w:val="continue"/>
            <w:noWrap/>
            <w:vAlign w:val="center"/>
          </w:tcPr>
          <w:p w14:paraId="6DC25BCB">
            <w:pPr>
              <w:pStyle w:val="34"/>
            </w:pPr>
          </w:p>
        </w:tc>
        <w:tc>
          <w:tcPr>
            <w:tcW w:w="1773" w:type="dxa"/>
            <w:noWrap/>
            <w:vAlign w:val="center"/>
          </w:tcPr>
          <w:p w14:paraId="54486D3C">
            <w:pPr>
              <w:pStyle w:val="34"/>
            </w:pPr>
            <w:r>
              <w:t>-1.007</w:t>
            </w:r>
          </w:p>
        </w:tc>
        <w:tc>
          <w:tcPr>
            <w:tcW w:w="2693" w:type="dxa"/>
            <w:noWrap/>
            <w:vAlign w:val="center"/>
          </w:tcPr>
          <w:p w14:paraId="7993859D">
            <w:pPr>
              <w:pStyle w:val="34"/>
            </w:pPr>
            <w:r>
              <w:t>-1.000</w:t>
            </w:r>
          </w:p>
        </w:tc>
        <w:tc>
          <w:tcPr>
            <w:tcW w:w="1303" w:type="dxa"/>
            <w:noWrap/>
            <w:vAlign w:val="center"/>
          </w:tcPr>
          <w:p w14:paraId="2B79CAAD">
            <w:pPr>
              <w:pStyle w:val="34"/>
            </w:pPr>
            <w:r>
              <w:t>0.007</w:t>
            </w:r>
          </w:p>
        </w:tc>
      </w:tr>
      <w:tr w14:paraId="431A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7BE43F4C">
            <w:pPr>
              <w:pStyle w:val="34"/>
            </w:pPr>
          </w:p>
        </w:tc>
        <w:tc>
          <w:tcPr>
            <w:tcW w:w="1701" w:type="dxa"/>
            <w:noWrap/>
            <w:vAlign w:val="center"/>
          </w:tcPr>
          <w:p w14:paraId="7E5D3C05">
            <w:pPr>
              <w:pStyle w:val="34"/>
            </w:pPr>
            <w:r>
              <w:t>1.007</w:t>
            </w:r>
          </w:p>
        </w:tc>
        <w:tc>
          <w:tcPr>
            <w:tcW w:w="2410" w:type="dxa"/>
            <w:noWrap/>
            <w:vAlign w:val="center"/>
          </w:tcPr>
          <w:p w14:paraId="59D47DEE">
            <w:pPr>
              <w:pStyle w:val="34"/>
            </w:pPr>
            <w:r>
              <w:t>0.960</w:t>
            </w:r>
          </w:p>
        </w:tc>
        <w:tc>
          <w:tcPr>
            <w:tcW w:w="1303" w:type="dxa"/>
            <w:noWrap/>
            <w:vAlign w:val="center"/>
          </w:tcPr>
          <w:p w14:paraId="47F005E0">
            <w:pPr>
              <w:pStyle w:val="34"/>
            </w:pPr>
            <w:r>
              <w:t>-0.047</w:t>
            </w:r>
          </w:p>
        </w:tc>
        <w:tc>
          <w:tcPr>
            <w:tcW w:w="1673" w:type="dxa"/>
            <w:vMerge w:val="continue"/>
            <w:noWrap/>
            <w:vAlign w:val="center"/>
          </w:tcPr>
          <w:p w14:paraId="5E1E4A39">
            <w:pPr>
              <w:pStyle w:val="34"/>
            </w:pPr>
          </w:p>
        </w:tc>
        <w:tc>
          <w:tcPr>
            <w:tcW w:w="1773" w:type="dxa"/>
            <w:noWrap/>
            <w:vAlign w:val="center"/>
          </w:tcPr>
          <w:p w14:paraId="4B126378">
            <w:pPr>
              <w:pStyle w:val="34"/>
            </w:pPr>
            <w:r>
              <w:t>-1.009</w:t>
            </w:r>
          </w:p>
        </w:tc>
        <w:tc>
          <w:tcPr>
            <w:tcW w:w="2693" w:type="dxa"/>
            <w:noWrap/>
            <w:vAlign w:val="center"/>
          </w:tcPr>
          <w:p w14:paraId="1B7EC89D">
            <w:pPr>
              <w:pStyle w:val="34"/>
            </w:pPr>
            <w:r>
              <w:t>-1.000</w:t>
            </w:r>
          </w:p>
        </w:tc>
        <w:tc>
          <w:tcPr>
            <w:tcW w:w="1303" w:type="dxa"/>
            <w:noWrap/>
            <w:vAlign w:val="center"/>
          </w:tcPr>
          <w:p w14:paraId="69E2F697">
            <w:pPr>
              <w:pStyle w:val="34"/>
            </w:pPr>
            <w:r>
              <w:t>0.009</w:t>
            </w:r>
          </w:p>
        </w:tc>
      </w:tr>
      <w:tr w14:paraId="27F08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noWrap/>
            <w:vAlign w:val="center"/>
          </w:tcPr>
          <w:p w14:paraId="2D05CCD1">
            <w:pPr>
              <w:pStyle w:val="34"/>
            </w:pPr>
            <w:r>
              <w:t>平均值</w:t>
            </w:r>
          </w:p>
        </w:tc>
        <w:tc>
          <w:tcPr>
            <w:tcW w:w="1701" w:type="dxa"/>
            <w:noWrap/>
            <w:vAlign w:val="center"/>
          </w:tcPr>
          <w:p w14:paraId="528F41C5">
            <w:pPr>
              <w:pStyle w:val="34"/>
            </w:pPr>
            <w:r>
              <w:t>1.008</w:t>
            </w:r>
          </w:p>
        </w:tc>
        <w:tc>
          <w:tcPr>
            <w:tcW w:w="2410" w:type="dxa"/>
            <w:noWrap/>
            <w:vAlign w:val="center"/>
          </w:tcPr>
          <w:p w14:paraId="5CDB0638">
            <w:pPr>
              <w:pStyle w:val="34"/>
            </w:pPr>
            <w:r>
              <w:t>0.967</w:t>
            </w:r>
          </w:p>
        </w:tc>
        <w:tc>
          <w:tcPr>
            <w:tcW w:w="1303" w:type="dxa"/>
            <w:noWrap/>
            <w:vAlign w:val="center"/>
          </w:tcPr>
          <w:p w14:paraId="598A8283">
            <w:pPr>
              <w:pStyle w:val="34"/>
              <w:rPr>
                <w:b/>
                <w:bCs/>
              </w:rPr>
            </w:pPr>
            <w:r>
              <w:rPr>
                <w:b/>
                <w:bCs/>
                <w:color w:val="00B050"/>
              </w:rPr>
              <w:t>-0.041</w:t>
            </w:r>
          </w:p>
        </w:tc>
        <w:tc>
          <w:tcPr>
            <w:tcW w:w="1673" w:type="dxa"/>
            <w:noWrap/>
            <w:vAlign w:val="center"/>
          </w:tcPr>
          <w:p w14:paraId="31BDB235">
            <w:pPr>
              <w:pStyle w:val="34"/>
            </w:pPr>
            <w:r>
              <w:t>平均值</w:t>
            </w:r>
          </w:p>
        </w:tc>
        <w:tc>
          <w:tcPr>
            <w:tcW w:w="1773" w:type="dxa"/>
            <w:noWrap/>
            <w:vAlign w:val="center"/>
          </w:tcPr>
          <w:p w14:paraId="556A7431">
            <w:pPr>
              <w:pStyle w:val="34"/>
            </w:pPr>
            <w:r>
              <w:t>-1.007</w:t>
            </w:r>
          </w:p>
        </w:tc>
        <w:tc>
          <w:tcPr>
            <w:tcW w:w="2693" w:type="dxa"/>
            <w:noWrap/>
            <w:vAlign w:val="center"/>
          </w:tcPr>
          <w:p w14:paraId="6FF86CF1">
            <w:pPr>
              <w:pStyle w:val="34"/>
            </w:pPr>
            <w:r>
              <w:t>-1.000</w:t>
            </w:r>
          </w:p>
        </w:tc>
        <w:tc>
          <w:tcPr>
            <w:tcW w:w="1303" w:type="dxa"/>
            <w:noWrap/>
            <w:vAlign w:val="center"/>
          </w:tcPr>
          <w:p w14:paraId="28783E08">
            <w:pPr>
              <w:pStyle w:val="34"/>
              <w:rPr>
                <w:b/>
                <w:bCs/>
              </w:rPr>
            </w:pPr>
            <w:r>
              <w:rPr>
                <w:b/>
                <w:bCs/>
                <w:color w:val="00B050"/>
              </w:rPr>
              <w:t>0.007</w:t>
            </w:r>
          </w:p>
        </w:tc>
      </w:tr>
      <w:tr w14:paraId="4B30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restart"/>
            <w:noWrap/>
            <w:vAlign w:val="center"/>
          </w:tcPr>
          <w:p w14:paraId="5A0BFA9E">
            <w:pPr>
              <w:pStyle w:val="34"/>
            </w:pPr>
            <w:r>
              <w:t>10</w:t>
            </w:r>
          </w:p>
        </w:tc>
        <w:tc>
          <w:tcPr>
            <w:tcW w:w="1701" w:type="dxa"/>
            <w:noWrap/>
            <w:vAlign w:val="center"/>
          </w:tcPr>
          <w:p w14:paraId="189A5292">
            <w:pPr>
              <w:pStyle w:val="34"/>
            </w:pPr>
            <w:r>
              <w:t>10.001</w:t>
            </w:r>
          </w:p>
        </w:tc>
        <w:tc>
          <w:tcPr>
            <w:tcW w:w="2410" w:type="dxa"/>
            <w:noWrap/>
            <w:vAlign w:val="center"/>
          </w:tcPr>
          <w:p w14:paraId="735E7657">
            <w:pPr>
              <w:pStyle w:val="34"/>
            </w:pPr>
            <w:r>
              <w:t>9.980</w:t>
            </w:r>
          </w:p>
        </w:tc>
        <w:tc>
          <w:tcPr>
            <w:tcW w:w="1303" w:type="dxa"/>
            <w:noWrap/>
            <w:vAlign w:val="center"/>
          </w:tcPr>
          <w:p w14:paraId="09EED681">
            <w:pPr>
              <w:pStyle w:val="34"/>
            </w:pPr>
            <w:r>
              <w:t>-0.021</w:t>
            </w:r>
          </w:p>
        </w:tc>
        <w:tc>
          <w:tcPr>
            <w:tcW w:w="1673" w:type="dxa"/>
            <w:vMerge w:val="restart"/>
            <w:noWrap/>
            <w:vAlign w:val="center"/>
          </w:tcPr>
          <w:p w14:paraId="2AA7BFBF">
            <w:pPr>
              <w:pStyle w:val="34"/>
            </w:pPr>
            <w:r>
              <w:t>-10</w:t>
            </w:r>
          </w:p>
        </w:tc>
        <w:tc>
          <w:tcPr>
            <w:tcW w:w="1773" w:type="dxa"/>
            <w:noWrap/>
            <w:vAlign w:val="center"/>
          </w:tcPr>
          <w:p w14:paraId="0073D4AA">
            <w:pPr>
              <w:pStyle w:val="34"/>
            </w:pPr>
            <w:r>
              <w:t>-9.999</w:t>
            </w:r>
          </w:p>
        </w:tc>
        <w:tc>
          <w:tcPr>
            <w:tcW w:w="2693" w:type="dxa"/>
            <w:noWrap/>
            <w:vAlign w:val="center"/>
          </w:tcPr>
          <w:p w14:paraId="76B21BCD">
            <w:pPr>
              <w:pStyle w:val="34"/>
            </w:pPr>
            <w:r>
              <w:t>-10.000</w:t>
            </w:r>
          </w:p>
        </w:tc>
        <w:tc>
          <w:tcPr>
            <w:tcW w:w="1303" w:type="dxa"/>
            <w:noWrap/>
            <w:vAlign w:val="center"/>
          </w:tcPr>
          <w:p w14:paraId="29E18175">
            <w:pPr>
              <w:pStyle w:val="34"/>
            </w:pPr>
            <w:r>
              <w:t>-0.001</w:t>
            </w:r>
          </w:p>
        </w:tc>
      </w:tr>
      <w:tr w14:paraId="227E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150C23DE">
            <w:pPr>
              <w:pStyle w:val="34"/>
            </w:pPr>
          </w:p>
        </w:tc>
        <w:tc>
          <w:tcPr>
            <w:tcW w:w="1701" w:type="dxa"/>
            <w:noWrap/>
            <w:vAlign w:val="center"/>
          </w:tcPr>
          <w:p w14:paraId="0DC8BC51">
            <w:pPr>
              <w:pStyle w:val="34"/>
            </w:pPr>
            <w:r>
              <w:t>10.000</w:t>
            </w:r>
          </w:p>
        </w:tc>
        <w:tc>
          <w:tcPr>
            <w:tcW w:w="2410" w:type="dxa"/>
            <w:noWrap/>
            <w:vAlign w:val="center"/>
          </w:tcPr>
          <w:p w14:paraId="68ED1989">
            <w:pPr>
              <w:pStyle w:val="34"/>
            </w:pPr>
            <w:r>
              <w:t>9.980</w:t>
            </w:r>
          </w:p>
        </w:tc>
        <w:tc>
          <w:tcPr>
            <w:tcW w:w="1303" w:type="dxa"/>
            <w:noWrap/>
            <w:vAlign w:val="center"/>
          </w:tcPr>
          <w:p w14:paraId="6AF979C1">
            <w:pPr>
              <w:pStyle w:val="34"/>
            </w:pPr>
            <w:r>
              <w:t>-0.020</w:t>
            </w:r>
          </w:p>
        </w:tc>
        <w:tc>
          <w:tcPr>
            <w:tcW w:w="1673" w:type="dxa"/>
            <w:vMerge w:val="continue"/>
            <w:noWrap/>
            <w:vAlign w:val="center"/>
          </w:tcPr>
          <w:p w14:paraId="7FC0CAE9">
            <w:pPr>
              <w:pStyle w:val="34"/>
            </w:pPr>
          </w:p>
        </w:tc>
        <w:tc>
          <w:tcPr>
            <w:tcW w:w="1773" w:type="dxa"/>
            <w:noWrap/>
            <w:vAlign w:val="center"/>
          </w:tcPr>
          <w:p w14:paraId="223538C5">
            <w:pPr>
              <w:pStyle w:val="34"/>
            </w:pPr>
            <w:r>
              <w:t>-9.999</w:t>
            </w:r>
          </w:p>
        </w:tc>
        <w:tc>
          <w:tcPr>
            <w:tcW w:w="2693" w:type="dxa"/>
            <w:noWrap/>
            <w:vAlign w:val="center"/>
          </w:tcPr>
          <w:p w14:paraId="6ECF953C">
            <w:pPr>
              <w:pStyle w:val="34"/>
            </w:pPr>
            <w:r>
              <w:t>-10.000</w:t>
            </w:r>
          </w:p>
        </w:tc>
        <w:tc>
          <w:tcPr>
            <w:tcW w:w="1303" w:type="dxa"/>
            <w:noWrap/>
            <w:vAlign w:val="center"/>
          </w:tcPr>
          <w:p w14:paraId="2C9D1D6D">
            <w:pPr>
              <w:pStyle w:val="34"/>
            </w:pPr>
            <w:r>
              <w:t>-0.001</w:t>
            </w:r>
          </w:p>
        </w:tc>
      </w:tr>
      <w:tr w14:paraId="4118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7253F3E9">
            <w:pPr>
              <w:pStyle w:val="34"/>
            </w:pPr>
          </w:p>
        </w:tc>
        <w:tc>
          <w:tcPr>
            <w:tcW w:w="1701" w:type="dxa"/>
            <w:noWrap/>
            <w:vAlign w:val="center"/>
          </w:tcPr>
          <w:p w14:paraId="19C11620">
            <w:pPr>
              <w:pStyle w:val="34"/>
            </w:pPr>
            <w:r>
              <w:t>10.000</w:t>
            </w:r>
          </w:p>
        </w:tc>
        <w:tc>
          <w:tcPr>
            <w:tcW w:w="2410" w:type="dxa"/>
            <w:noWrap/>
            <w:vAlign w:val="center"/>
          </w:tcPr>
          <w:p w14:paraId="1F7A936F">
            <w:pPr>
              <w:pStyle w:val="34"/>
            </w:pPr>
            <w:r>
              <w:t>9.980</w:t>
            </w:r>
          </w:p>
        </w:tc>
        <w:tc>
          <w:tcPr>
            <w:tcW w:w="1303" w:type="dxa"/>
            <w:noWrap/>
            <w:vAlign w:val="center"/>
          </w:tcPr>
          <w:p w14:paraId="3C76B994">
            <w:pPr>
              <w:pStyle w:val="34"/>
            </w:pPr>
            <w:r>
              <w:t>-0.020</w:t>
            </w:r>
          </w:p>
        </w:tc>
        <w:tc>
          <w:tcPr>
            <w:tcW w:w="1673" w:type="dxa"/>
            <w:vMerge w:val="continue"/>
            <w:noWrap/>
            <w:vAlign w:val="center"/>
          </w:tcPr>
          <w:p w14:paraId="31BA3BB5">
            <w:pPr>
              <w:pStyle w:val="34"/>
            </w:pPr>
          </w:p>
        </w:tc>
        <w:tc>
          <w:tcPr>
            <w:tcW w:w="1773" w:type="dxa"/>
            <w:noWrap/>
            <w:vAlign w:val="center"/>
          </w:tcPr>
          <w:p w14:paraId="50915988">
            <w:pPr>
              <w:pStyle w:val="34"/>
            </w:pPr>
            <w:r>
              <w:t>-10.001</w:t>
            </w:r>
          </w:p>
        </w:tc>
        <w:tc>
          <w:tcPr>
            <w:tcW w:w="2693" w:type="dxa"/>
            <w:noWrap/>
            <w:vAlign w:val="center"/>
          </w:tcPr>
          <w:p w14:paraId="73249AE2">
            <w:pPr>
              <w:pStyle w:val="34"/>
            </w:pPr>
            <w:r>
              <w:t>-9.990</w:t>
            </w:r>
          </w:p>
        </w:tc>
        <w:tc>
          <w:tcPr>
            <w:tcW w:w="1303" w:type="dxa"/>
            <w:noWrap/>
            <w:vAlign w:val="center"/>
          </w:tcPr>
          <w:p w14:paraId="5E56C031">
            <w:pPr>
              <w:pStyle w:val="34"/>
            </w:pPr>
            <w:r>
              <w:t>0.011</w:t>
            </w:r>
          </w:p>
        </w:tc>
      </w:tr>
      <w:tr w14:paraId="456E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noWrap/>
            <w:vAlign w:val="center"/>
          </w:tcPr>
          <w:p w14:paraId="706F7632">
            <w:pPr>
              <w:pStyle w:val="34"/>
            </w:pPr>
            <w:r>
              <w:t>平均值</w:t>
            </w:r>
          </w:p>
        </w:tc>
        <w:tc>
          <w:tcPr>
            <w:tcW w:w="1701" w:type="dxa"/>
            <w:noWrap/>
            <w:vAlign w:val="center"/>
          </w:tcPr>
          <w:p w14:paraId="7F1660DC">
            <w:pPr>
              <w:pStyle w:val="34"/>
            </w:pPr>
            <w:r>
              <w:t>10.000</w:t>
            </w:r>
          </w:p>
        </w:tc>
        <w:tc>
          <w:tcPr>
            <w:tcW w:w="2410" w:type="dxa"/>
            <w:noWrap/>
            <w:vAlign w:val="center"/>
          </w:tcPr>
          <w:p w14:paraId="188ECC23">
            <w:pPr>
              <w:pStyle w:val="34"/>
            </w:pPr>
            <w:r>
              <w:t>9.980</w:t>
            </w:r>
          </w:p>
        </w:tc>
        <w:tc>
          <w:tcPr>
            <w:tcW w:w="1303" w:type="dxa"/>
            <w:noWrap/>
            <w:vAlign w:val="center"/>
          </w:tcPr>
          <w:p w14:paraId="393A2A11">
            <w:pPr>
              <w:pStyle w:val="34"/>
              <w:rPr>
                <w:b/>
                <w:bCs/>
              </w:rPr>
            </w:pPr>
            <w:r>
              <w:rPr>
                <w:b/>
                <w:bCs/>
                <w:color w:val="00B050"/>
              </w:rPr>
              <w:t>-0.020</w:t>
            </w:r>
          </w:p>
        </w:tc>
        <w:tc>
          <w:tcPr>
            <w:tcW w:w="1673" w:type="dxa"/>
            <w:noWrap/>
            <w:vAlign w:val="center"/>
          </w:tcPr>
          <w:p w14:paraId="076C8F5E">
            <w:pPr>
              <w:pStyle w:val="34"/>
            </w:pPr>
            <w:r>
              <w:t>平均值</w:t>
            </w:r>
          </w:p>
        </w:tc>
        <w:tc>
          <w:tcPr>
            <w:tcW w:w="1773" w:type="dxa"/>
            <w:noWrap/>
            <w:vAlign w:val="center"/>
          </w:tcPr>
          <w:p w14:paraId="6AC4BDAC">
            <w:pPr>
              <w:pStyle w:val="34"/>
            </w:pPr>
            <w:r>
              <w:t>-10.000</w:t>
            </w:r>
          </w:p>
        </w:tc>
        <w:tc>
          <w:tcPr>
            <w:tcW w:w="2693" w:type="dxa"/>
            <w:noWrap/>
            <w:vAlign w:val="center"/>
          </w:tcPr>
          <w:p w14:paraId="18AD55FD">
            <w:pPr>
              <w:pStyle w:val="34"/>
            </w:pPr>
            <w:r>
              <w:t>-9.997</w:t>
            </w:r>
          </w:p>
        </w:tc>
        <w:tc>
          <w:tcPr>
            <w:tcW w:w="1303" w:type="dxa"/>
            <w:noWrap/>
            <w:vAlign w:val="center"/>
          </w:tcPr>
          <w:p w14:paraId="4CC890F8">
            <w:pPr>
              <w:pStyle w:val="34"/>
              <w:rPr>
                <w:b/>
                <w:bCs/>
              </w:rPr>
            </w:pPr>
            <w:r>
              <w:rPr>
                <w:b/>
                <w:bCs/>
                <w:color w:val="00B050"/>
              </w:rPr>
              <w:t>0.003</w:t>
            </w:r>
          </w:p>
        </w:tc>
      </w:tr>
      <w:tr w14:paraId="0D73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restart"/>
            <w:noWrap/>
            <w:vAlign w:val="center"/>
          </w:tcPr>
          <w:p w14:paraId="285244DD">
            <w:pPr>
              <w:pStyle w:val="34"/>
            </w:pPr>
            <w:r>
              <w:t>20</w:t>
            </w:r>
          </w:p>
        </w:tc>
        <w:tc>
          <w:tcPr>
            <w:tcW w:w="1701" w:type="dxa"/>
            <w:noWrap/>
            <w:vAlign w:val="center"/>
          </w:tcPr>
          <w:p w14:paraId="7728A753">
            <w:pPr>
              <w:pStyle w:val="34"/>
            </w:pPr>
            <w:r>
              <w:t>19.999</w:t>
            </w:r>
          </w:p>
        </w:tc>
        <w:tc>
          <w:tcPr>
            <w:tcW w:w="2410" w:type="dxa"/>
            <w:noWrap/>
            <w:vAlign w:val="center"/>
          </w:tcPr>
          <w:p w14:paraId="6DA82192">
            <w:pPr>
              <w:pStyle w:val="34"/>
            </w:pPr>
            <w:r>
              <w:t>19.99</w:t>
            </w:r>
          </w:p>
        </w:tc>
        <w:tc>
          <w:tcPr>
            <w:tcW w:w="1303" w:type="dxa"/>
            <w:noWrap/>
            <w:vAlign w:val="center"/>
          </w:tcPr>
          <w:p w14:paraId="661CD925">
            <w:pPr>
              <w:pStyle w:val="34"/>
            </w:pPr>
            <w:r>
              <w:t>-0.009</w:t>
            </w:r>
          </w:p>
        </w:tc>
        <w:tc>
          <w:tcPr>
            <w:tcW w:w="1673" w:type="dxa"/>
            <w:vMerge w:val="restart"/>
            <w:noWrap/>
            <w:vAlign w:val="center"/>
          </w:tcPr>
          <w:p w14:paraId="7BC34B10">
            <w:pPr>
              <w:pStyle w:val="34"/>
            </w:pPr>
            <w:r>
              <w:t>20</w:t>
            </w:r>
          </w:p>
        </w:tc>
        <w:tc>
          <w:tcPr>
            <w:tcW w:w="1773" w:type="dxa"/>
            <w:noWrap/>
            <w:vAlign w:val="center"/>
          </w:tcPr>
          <w:p w14:paraId="0E2390DD">
            <w:pPr>
              <w:pStyle w:val="34"/>
            </w:pPr>
            <w:r>
              <w:t>-19.999</w:t>
            </w:r>
          </w:p>
        </w:tc>
        <w:tc>
          <w:tcPr>
            <w:tcW w:w="2693" w:type="dxa"/>
            <w:noWrap/>
            <w:vAlign w:val="center"/>
          </w:tcPr>
          <w:p w14:paraId="05791F11">
            <w:pPr>
              <w:pStyle w:val="34"/>
            </w:pPr>
            <w:r>
              <w:t>-19.990</w:t>
            </w:r>
          </w:p>
        </w:tc>
        <w:tc>
          <w:tcPr>
            <w:tcW w:w="1303" w:type="dxa"/>
            <w:noWrap/>
            <w:vAlign w:val="center"/>
          </w:tcPr>
          <w:p w14:paraId="12A98C2C">
            <w:pPr>
              <w:pStyle w:val="34"/>
            </w:pPr>
            <w:r>
              <w:t>0.009</w:t>
            </w:r>
          </w:p>
        </w:tc>
      </w:tr>
      <w:tr w14:paraId="51CF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14E8F51D">
            <w:pPr>
              <w:pStyle w:val="34"/>
            </w:pPr>
          </w:p>
        </w:tc>
        <w:tc>
          <w:tcPr>
            <w:tcW w:w="1701" w:type="dxa"/>
            <w:noWrap/>
            <w:vAlign w:val="center"/>
          </w:tcPr>
          <w:p w14:paraId="48100A9D">
            <w:pPr>
              <w:pStyle w:val="34"/>
            </w:pPr>
            <w:r>
              <w:t>19.999</w:t>
            </w:r>
          </w:p>
        </w:tc>
        <w:tc>
          <w:tcPr>
            <w:tcW w:w="2410" w:type="dxa"/>
            <w:noWrap/>
            <w:vAlign w:val="center"/>
          </w:tcPr>
          <w:p w14:paraId="2A7401E7">
            <w:pPr>
              <w:pStyle w:val="34"/>
            </w:pPr>
            <w:r>
              <w:t>19.99</w:t>
            </w:r>
          </w:p>
        </w:tc>
        <w:tc>
          <w:tcPr>
            <w:tcW w:w="1303" w:type="dxa"/>
            <w:noWrap/>
            <w:vAlign w:val="center"/>
          </w:tcPr>
          <w:p w14:paraId="3F79BEBA">
            <w:pPr>
              <w:pStyle w:val="34"/>
            </w:pPr>
            <w:r>
              <w:t>-0.009</w:t>
            </w:r>
          </w:p>
        </w:tc>
        <w:tc>
          <w:tcPr>
            <w:tcW w:w="1673" w:type="dxa"/>
            <w:vMerge w:val="continue"/>
            <w:noWrap/>
            <w:vAlign w:val="center"/>
          </w:tcPr>
          <w:p w14:paraId="3C96CE2C">
            <w:pPr>
              <w:pStyle w:val="34"/>
            </w:pPr>
          </w:p>
        </w:tc>
        <w:tc>
          <w:tcPr>
            <w:tcW w:w="1773" w:type="dxa"/>
            <w:noWrap/>
            <w:vAlign w:val="center"/>
          </w:tcPr>
          <w:p w14:paraId="00703758">
            <w:pPr>
              <w:pStyle w:val="34"/>
            </w:pPr>
            <w:r>
              <w:t>-20.001</w:t>
            </w:r>
          </w:p>
        </w:tc>
        <w:tc>
          <w:tcPr>
            <w:tcW w:w="2693" w:type="dxa"/>
            <w:noWrap/>
            <w:vAlign w:val="center"/>
          </w:tcPr>
          <w:p w14:paraId="6C07D7C6">
            <w:pPr>
              <w:pStyle w:val="34"/>
            </w:pPr>
            <w:r>
              <w:t>-19.990</w:t>
            </w:r>
          </w:p>
        </w:tc>
        <w:tc>
          <w:tcPr>
            <w:tcW w:w="1303" w:type="dxa"/>
            <w:noWrap/>
            <w:vAlign w:val="center"/>
          </w:tcPr>
          <w:p w14:paraId="03EDB89A">
            <w:pPr>
              <w:pStyle w:val="34"/>
            </w:pPr>
            <w:r>
              <w:t>0.011</w:t>
            </w:r>
          </w:p>
        </w:tc>
      </w:tr>
      <w:tr w14:paraId="388A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24494DBD">
            <w:pPr>
              <w:pStyle w:val="34"/>
            </w:pPr>
          </w:p>
        </w:tc>
        <w:tc>
          <w:tcPr>
            <w:tcW w:w="1701" w:type="dxa"/>
            <w:noWrap/>
            <w:vAlign w:val="center"/>
          </w:tcPr>
          <w:p w14:paraId="2B3804FB">
            <w:pPr>
              <w:pStyle w:val="34"/>
            </w:pPr>
            <w:r>
              <w:t>19.999</w:t>
            </w:r>
          </w:p>
        </w:tc>
        <w:tc>
          <w:tcPr>
            <w:tcW w:w="2410" w:type="dxa"/>
            <w:noWrap/>
            <w:vAlign w:val="center"/>
          </w:tcPr>
          <w:p w14:paraId="1F23E94D">
            <w:pPr>
              <w:pStyle w:val="34"/>
            </w:pPr>
            <w:r>
              <w:t>19.99</w:t>
            </w:r>
          </w:p>
        </w:tc>
        <w:tc>
          <w:tcPr>
            <w:tcW w:w="1303" w:type="dxa"/>
            <w:noWrap/>
            <w:vAlign w:val="center"/>
          </w:tcPr>
          <w:p w14:paraId="3FB9F9D4">
            <w:pPr>
              <w:pStyle w:val="34"/>
            </w:pPr>
            <w:r>
              <w:t>-0.009</w:t>
            </w:r>
          </w:p>
        </w:tc>
        <w:tc>
          <w:tcPr>
            <w:tcW w:w="1673" w:type="dxa"/>
            <w:vMerge w:val="continue"/>
            <w:noWrap/>
            <w:vAlign w:val="center"/>
          </w:tcPr>
          <w:p w14:paraId="5CB1FF19">
            <w:pPr>
              <w:pStyle w:val="34"/>
            </w:pPr>
          </w:p>
        </w:tc>
        <w:tc>
          <w:tcPr>
            <w:tcW w:w="1773" w:type="dxa"/>
            <w:noWrap/>
            <w:vAlign w:val="center"/>
          </w:tcPr>
          <w:p w14:paraId="33944E0E">
            <w:pPr>
              <w:pStyle w:val="34"/>
            </w:pPr>
            <w:r>
              <w:t>-20.000</w:t>
            </w:r>
          </w:p>
        </w:tc>
        <w:tc>
          <w:tcPr>
            <w:tcW w:w="2693" w:type="dxa"/>
            <w:noWrap/>
            <w:vAlign w:val="center"/>
          </w:tcPr>
          <w:p w14:paraId="5B833F1C">
            <w:pPr>
              <w:pStyle w:val="34"/>
            </w:pPr>
            <w:r>
              <w:t>-19.990</w:t>
            </w:r>
          </w:p>
        </w:tc>
        <w:tc>
          <w:tcPr>
            <w:tcW w:w="1303" w:type="dxa"/>
            <w:noWrap/>
            <w:vAlign w:val="center"/>
          </w:tcPr>
          <w:p w14:paraId="5518EEB6">
            <w:pPr>
              <w:pStyle w:val="34"/>
            </w:pPr>
            <w:r>
              <w:t>0.010</w:t>
            </w:r>
          </w:p>
        </w:tc>
      </w:tr>
      <w:tr w14:paraId="5CB5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noWrap/>
            <w:vAlign w:val="center"/>
          </w:tcPr>
          <w:p w14:paraId="3CC396F2">
            <w:pPr>
              <w:pStyle w:val="34"/>
            </w:pPr>
            <w:r>
              <w:t>平均值</w:t>
            </w:r>
          </w:p>
        </w:tc>
        <w:tc>
          <w:tcPr>
            <w:tcW w:w="1701" w:type="dxa"/>
            <w:noWrap/>
            <w:vAlign w:val="center"/>
          </w:tcPr>
          <w:p w14:paraId="3682A75E">
            <w:pPr>
              <w:pStyle w:val="34"/>
            </w:pPr>
            <w:r>
              <w:t>19.999</w:t>
            </w:r>
          </w:p>
        </w:tc>
        <w:tc>
          <w:tcPr>
            <w:tcW w:w="2410" w:type="dxa"/>
            <w:noWrap/>
            <w:vAlign w:val="center"/>
          </w:tcPr>
          <w:p w14:paraId="4D5B98BD">
            <w:pPr>
              <w:pStyle w:val="34"/>
            </w:pPr>
            <w:r>
              <w:t>19.990</w:t>
            </w:r>
          </w:p>
        </w:tc>
        <w:tc>
          <w:tcPr>
            <w:tcW w:w="1303" w:type="dxa"/>
            <w:noWrap/>
            <w:vAlign w:val="center"/>
          </w:tcPr>
          <w:p w14:paraId="4DFF7176">
            <w:pPr>
              <w:pStyle w:val="34"/>
              <w:rPr>
                <w:b/>
                <w:bCs/>
                <w:color w:val="00B050"/>
              </w:rPr>
            </w:pPr>
            <w:r>
              <w:rPr>
                <w:b/>
                <w:bCs/>
                <w:color w:val="00B050"/>
              </w:rPr>
              <w:t>-0.009</w:t>
            </w:r>
          </w:p>
        </w:tc>
        <w:tc>
          <w:tcPr>
            <w:tcW w:w="1673" w:type="dxa"/>
            <w:noWrap/>
            <w:vAlign w:val="center"/>
          </w:tcPr>
          <w:p w14:paraId="5BB09DCC">
            <w:pPr>
              <w:pStyle w:val="34"/>
            </w:pPr>
            <w:r>
              <w:t>平均值</w:t>
            </w:r>
          </w:p>
        </w:tc>
        <w:tc>
          <w:tcPr>
            <w:tcW w:w="1773" w:type="dxa"/>
            <w:noWrap/>
            <w:vAlign w:val="center"/>
          </w:tcPr>
          <w:p w14:paraId="21A28476">
            <w:pPr>
              <w:pStyle w:val="34"/>
            </w:pPr>
            <w:r>
              <w:t>-20.000</w:t>
            </w:r>
          </w:p>
        </w:tc>
        <w:tc>
          <w:tcPr>
            <w:tcW w:w="2693" w:type="dxa"/>
            <w:noWrap/>
            <w:vAlign w:val="center"/>
          </w:tcPr>
          <w:p w14:paraId="72C0652D">
            <w:pPr>
              <w:pStyle w:val="34"/>
            </w:pPr>
            <w:r>
              <w:t>-19.990</w:t>
            </w:r>
          </w:p>
        </w:tc>
        <w:tc>
          <w:tcPr>
            <w:tcW w:w="1303" w:type="dxa"/>
            <w:noWrap/>
            <w:vAlign w:val="center"/>
          </w:tcPr>
          <w:p w14:paraId="59F66608">
            <w:pPr>
              <w:pStyle w:val="34"/>
              <w:rPr>
                <w:b/>
                <w:bCs/>
              </w:rPr>
            </w:pPr>
            <w:r>
              <w:rPr>
                <w:b/>
                <w:bCs/>
                <w:color w:val="00B050"/>
              </w:rPr>
              <w:t>0.010</w:t>
            </w:r>
          </w:p>
        </w:tc>
      </w:tr>
      <w:tr w14:paraId="48F1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restart"/>
            <w:noWrap/>
            <w:vAlign w:val="center"/>
          </w:tcPr>
          <w:p w14:paraId="05822285">
            <w:pPr>
              <w:pStyle w:val="34"/>
            </w:pPr>
            <w:r>
              <w:t>30</w:t>
            </w:r>
          </w:p>
        </w:tc>
        <w:tc>
          <w:tcPr>
            <w:tcW w:w="1701" w:type="dxa"/>
            <w:noWrap/>
            <w:vAlign w:val="center"/>
          </w:tcPr>
          <w:p w14:paraId="6C72F798">
            <w:pPr>
              <w:pStyle w:val="34"/>
            </w:pPr>
            <w:r>
              <w:t>30.000</w:t>
            </w:r>
          </w:p>
        </w:tc>
        <w:tc>
          <w:tcPr>
            <w:tcW w:w="2410" w:type="dxa"/>
            <w:noWrap/>
            <w:vAlign w:val="center"/>
          </w:tcPr>
          <w:p w14:paraId="119173AA">
            <w:pPr>
              <w:pStyle w:val="34"/>
            </w:pPr>
            <w:r>
              <w:t>29.970</w:t>
            </w:r>
          </w:p>
        </w:tc>
        <w:tc>
          <w:tcPr>
            <w:tcW w:w="1303" w:type="dxa"/>
            <w:noWrap/>
            <w:vAlign w:val="center"/>
          </w:tcPr>
          <w:p w14:paraId="140EF489">
            <w:pPr>
              <w:pStyle w:val="34"/>
            </w:pPr>
            <w:r>
              <w:t>-0.030</w:t>
            </w:r>
          </w:p>
        </w:tc>
        <w:tc>
          <w:tcPr>
            <w:tcW w:w="1673" w:type="dxa"/>
            <w:vMerge w:val="restart"/>
            <w:noWrap/>
            <w:vAlign w:val="center"/>
          </w:tcPr>
          <w:p w14:paraId="1CC7F2F4">
            <w:pPr>
              <w:pStyle w:val="34"/>
            </w:pPr>
            <w:r>
              <w:t>30</w:t>
            </w:r>
          </w:p>
        </w:tc>
        <w:tc>
          <w:tcPr>
            <w:tcW w:w="1773" w:type="dxa"/>
            <w:noWrap/>
            <w:vAlign w:val="center"/>
          </w:tcPr>
          <w:p w14:paraId="3DC0438C">
            <w:pPr>
              <w:pStyle w:val="34"/>
            </w:pPr>
            <w:r>
              <w:t>-30.000</w:t>
            </w:r>
          </w:p>
        </w:tc>
        <w:tc>
          <w:tcPr>
            <w:tcW w:w="2693" w:type="dxa"/>
            <w:noWrap/>
            <w:vAlign w:val="center"/>
          </w:tcPr>
          <w:p w14:paraId="13EC2196">
            <w:pPr>
              <w:pStyle w:val="34"/>
            </w:pPr>
            <w:r>
              <w:t>-30.030</w:t>
            </w:r>
          </w:p>
        </w:tc>
        <w:tc>
          <w:tcPr>
            <w:tcW w:w="1303" w:type="dxa"/>
            <w:noWrap/>
            <w:vAlign w:val="center"/>
          </w:tcPr>
          <w:p w14:paraId="64D13528">
            <w:pPr>
              <w:pStyle w:val="34"/>
            </w:pPr>
            <w:r>
              <w:t>-0.030</w:t>
            </w:r>
          </w:p>
        </w:tc>
      </w:tr>
      <w:tr w14:paraId="53A0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6738A2B8">
            <w:pPr>
              <w:pStyle w:val="34"/>
            </w:pPr>
          </w:p>
        </w:tc>
        <w:tc>
          <w:tcPr>
            <w:tcW w:w="1701" w:type="dxa"/>
            <w:noWrap/>
            <w:vAlign w:val="center"/>
          </w:tcPr>
          <w:p w14:paraId="02C76E06">
            <w:pPr>
              <w:pStyle w:val="34"/>
            </w:pPr>
            <w:r>
              <w:t>29.999</w:t>
            </w:r>
          </w:p>
        </w:tc>
        <w:tc>
          <w:tcPr>
            <w:tcW w:w="2410" w:type="dxa"/>
            <w:noWrap/>
            <w:vAlign w:val="center"/>
          </w:tcPr>
          <w:p w14:paraId="37D4955A">
            <w:pPr>
              <w:pStyle w:val="34"/>
            </w:pPr>
            <w:r>
              <w:t>29.970</w:t>
            </w:r>
          </w:p>
        </w:tc>
        <w:tc>
          <w:tcPr>
            <w:tcW w:w="1303" w:type="dxa"/>
            <w:noWrap/>
            <w:vAlign w:val="center"/>
          </w:tcPr>
          <w:p w14:paraId="717267E0">
            <w:pPr>
              <w:pStyle w:val="34"/>
            </w:pPr>
            <w:r>
              <w:t>-0.029</w:t>
            </w:r>
          </w:p>
        </w:tc>
        <w:tc>
          <w:tcPr>
            <w:tcW w:w="1673" w:type="dxa"/>
            <w:vMerge w:val="continue"/>
            <w:noWrap/>
            <w:vAlign w:val="center"/>
          </w:tcPr>
          <w:p w14:paraId="4D07E679">
            <w:pPr>
              <w:pStyle w:val="34"/>
            </w:pPr>
          </w:p>
        </w:tc>
        <w:tc>
          <w:tcPr>
            <w:tcW w:w="1773" w:type="dxa"/>
            <w:noWrap/>
            <w:vAlign w:val="center"/>
          </w:tcPr>
          <w:p w14:paraId="43219197">
            <w:pPr>
              <w:pStyle w:val="34"/>
            </w:pPr>
            <w:r>
              <w:t>-30.000</w:t>
            </w:r>
          </w:p>
        </w:tc>
        <w:tc>
          <w:tcPr>
            <w:tcW w:w="2693" w:type="dxa"/>
            <w:noWrap/>
            <w:vAlign w:val="center"/>
          </w:tcPr>
          <w:p w14:paraId="79DB1B54">
            <w:pPr>
              <w:pStyle w:val="34"/>
            </w:pPr>
            <w:r>
              <w:t>-30.030</w:t>
            </w:r>
          </w:p>
        </w:tc>
        <w:tc>
          <w:tcPr>
            <w:tcW w:w="1303" w:type="dxa"/>
            <w:noWrap/>
            <w:vAlign w:val="center"/>
          </w:tcPr>
          <w:p w14:paraId="65B45EAC">
            <w:pPr>
              <w:pStyle w:val="34"/>
            </w:pPr>
            <w:r>
              <w:t>-0.030</w:t>
            </w:r>
          </w:p>
        </w:tc>
      </w:tr>
      <w:tr w14:paraId="0D3C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5E01407D">
            <w:pPr>
              <w:pStyle w:val="34"/>
            </w:pPr>
          </w:p>
        </w:tc>
        <w:tc>
          <w:tcPr>
            <w:tcW w:w="1701" w:type="dxa"/>
            <w:noWrap/>
            <w:vAlign w:val="center"/>
          </w:tcPr>
          <w:p w14:paraId="7113EF06">
            <w:pPr>
              <w:pStyle w:val="34"/>
            </w:pPr>
            <w:r>
              <w:t>30.001</w:t>
            </w:r>
          </w:p>
        </w:tc>
        <w:tc>
          <w:tcPr>
            <w:tcW w:w="2410" w:type="dxa"/>
            <w:noWrap/>
            <w:vAlign w:val="center"/>
          </w:tcPr>
          <w:p w14:paraId="24C59D70">
            <w:pPr>
              <w:pStyle w:val="34"/>
            </w:pPr>
            <w:r>
              <w:t>29.970</w:t>
            </w:r>
          </w:p>
        </w:tc>
        <w:tc>
          <w:tcPr>
            <w:tcW w:w="1303" w:type="dxa"/>
            <w:noWrap/>
            <w:vAlign w:val="center"/>
          </w:tcPr>
          <w:p w14:paraId="4C3586A9">
            <w:pPr>
              <w:pStyle w:val="34"/>
            </w:pPr>
            <w:r>
              <w:t>-0.031</w:t>
            </w:r>
          </w:p>
        </w:tc>
        <w:tc>
          <w:tcPr>
            <w:tcW w:w="1673" w:type="dxa"/>
            <w:vMerge w:val="continue"/>
            <w:noWrap/>
            <w:vAlign w:val="center"/>
          </w:tcPr>
          <w:p w14:paraId="3C7BEB58">
            <w:pPr>
              <w:pStyle w:val="34"/>
            </w:pPr>
          </w:p>
        </w:tc>
        <w:tc>
          <w:tcPr>
            <w:tcW w:w="1773" w:type="dxa"/>
            <w:noWrap/>
            <w:vAlign w:val="center"/>
          </w:tcPr>
          <w:p w14:paraId="790062A9">
            <w:pPr>
              <w:pStyle w:val="34"/>
            </w:pPr>
            <w:r>
              <w:t>-30.000</w:t>
            </w:r>
          </w:p>
        </w:tc>
        <w:tc>
          <w:tcPr>
            <w:tcW w:w="2693" w:type="dxa"/>
            <w:noWrap/>
            <w:vAlign w:val="center"/>
          </w:tcPr>
          <w:p w14:paraId="1ED5E97A">
            <w:pPr>
              <w:pStyle w:val="34"/>
            </w:pPr>
            <w:r>
              <w:t>-30.030</w:t>
            </w:r>
          </w:p>
        </w:tc>
        <w:tc>
          <w:tcPr>
            <w:tcW w:w="1303" w:type="dxa"/>
            <w:noWrap/>
            <w:vAlign w:val="center"/>
          </w:tcPr>
          <w:p w14:paraId="0F6ABF5F">
            <w:pPr>
              <w:pStyle w:val="34"/>
            </w:pPr>
            <w:r>
              <w:t>-0.030</w:t>
            </w:r>
          </w:p>
        </w:tc>
      </w:tr>
      <w:tr w14:paraId="2ADB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noWrap/>
            <w:vAlign w:val="center"/>
          </w:tcPr>
          <w:p w14:paraId="311F24C8">
            <w:pPr>
              <w:pStyle w:val="34"/>
            </w:pPr>
            <w:r>
              <w:t>平均值</w:t>
            </w:r>
          </w:p>
        </w:tc>
        <w:tc>
          <w:tcPr>
            <w:tcW w:w="1701" w:type="dxa"/>
            <w:noWrap/>
            <w:vAlign w:val="center"/>
          </w:tcPr>
          <w:p w14:paraId="12D2D2B8">
            <w:pPr>
              <w:pStyle w:val="34"/>
            </w:pPr>
            <w:r>
              <w:t>30.000</w:t>
            </w:r>
          </w:p>
        </w:tc>
        <w:tc>
          <w:tcPr>
            <w:tcW w:w="2410" w:type="dxa"/>
            <w:noWrap/>
            <w:vAlign w:val="center"/>
          </w:tcPr>
          <w:p w14:paraId="3CEA89F3">
            <w:pPr>
              <w:pStyle w:val="34"/>
            </w:pPr>
            <w:r>
              <w:t>29.970</w:t>
            </w:r>
          </w:p>
        </w:tc>
        <w:tc>
          <w:tcPr>
            <w:tcW w:w="1303" w:type="dxa"/>
            <w:noWrap/>
            <w:vAlign w:val="center"/>
          </w:tcPr>
          <w:p w14:paraId="0CBB1675">
            <w:pPr>
              <w:pStyle w:val="34"/>
              <w:rPr>
                <w:b/>
                <w:bCs/>
              </w:rPr>
            </w:pPr>
            <w:r>
              <w:rPr>
                <w:b/>
                <w:bCs/>
                <w:color w:val="00B050"/>
              </w:rPr>
              <w:t>-0.030</w:t>
            </w:r>
          </w:p>
        </w:tc>
        <w:tc>
          <w:tcPr>
            <w:tcW w:w="1673" w:type="dxa"/>
            <w:noWrap/>
            <w:vAlign w:val="center"/>
          </w:tcPr>
          <w:p w14:paraId="00593E8E">
            <w:pPr>
              <w:pStyle w:val="34"/>
            </w:pPr>
            <w:r>
              <w:t>平均值</w:t>
            </w:r>
          </w:p>
        </w:tc>
        <w:tc>
          <w:tcPr>
            <w:tcW w:w="1773" w:type="dxa"/>
            <w:noWrap/>
            <w:vAlign w:val="center"/>
          </w:tcPr>
          <w:p w14:paraId="7AC17BF7">
            <w:pPr>
              <w:pStyle w:val="34"/>
            </w:pPr>
            <w:r>
              <w:t>-30.000</w:t>
            </w:r>
          </w:p>
        </w:tc>
        <w:tc>
          <w:tcPr>
            <w:tcW w:w="2693" w:type="dxa"/>
            <w:noWrap/>
            <w:vAlign w:val="center"/>
          </w:tcPr>
          <w:p w14:paraId="6BBD9D47">
            <w:pPr>
              <w:pStyle w:val="34"/>
            </w:pPr>
            <w:r>
              <w:t>-30.030</w:t>
            </w:r>
          </w:p>
        </w:tc>
        <w:tc>
          <w:tcPr>
            <w:tcW w:w="1303" w:type="dxa"/>
            <w:noWrap/>
            <w:vAlign w:val="center"/>
          </w:tcPr>
          <w:p w14:paraId="6447A041">
            <w:pPr>
              <w:pStyle w:val="34"/>
              <w:rPr>
                <w:b/>
                <w:bCs/>
              </w:rPr>
            </w:pPr>
            <w:r>
              <w:rPr>
                <w:b/>
                <w:bCs/>
                <w:color w:val="00B050"/>
              </w:rPr>
              <w:t>-0.030</w:t>
            </w:r>
          </w:p>
        </w:tc>
      </w:tr>
      <w:tr w14:paraId="1CC0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restart"/>
            <w:noWrap/>
            <w:vAlign w:val="center"/>
          </w:tcPr>
          <w:p w14:paraId="175EE5A7">
            <w:pPr>
              <w:pStyle w:val="34"/>
            </w:pPr>
            <w:r>
              <w:t>50</w:t>
            </w:r>
          </w:p>
        </w:tc>
        <w:tc>
          <w:tcPr>
            <w:tcW w:w="1701" w:type="dxa"/>
            <w:noWrap/>
            <w:vAlign w:val="center"/>
          </w:tcPr>
          <w:p w14:paraId="2E9CF602">
            <w:pPr>
              <w:pStyle w:val="34"/>
            </w:pPr>
            <w:r>
              <w:t>50.002</w:t>
            </w:r>
          </w:p>
        </w:tc>
        <w:tc>
          <w:tcPr>
            <w:tcW w:w="2410" w:type="dxa"/>
            <w:noWrap/>
            <w:vAlign w:val="center"/>
          </w:tcPr>
          <w:p w14:paraId="5696895C">
            <w:pPr>
              <w:pStyle w:val="34"/>
            </w:pPr>
            <w:r>
              <w:t>49.930</w:t>
            </w:r>
          </w:p>
        </w:tc>
        <w:tc>
          <w:tcPr>
            <w:tcW w:w="1303" w:type="dxa"/>
            <w:noWrap/>
            <w:vAlign w:val="center"/>
          </w:tcPr>
          <w:p w14:paraId="68207812">
            <w:pPr>
              <w:pStyle w:val="34"/>
            </w:pPr>
            <w:r>
              <w:t>-0.072</w:t>
            </w:r>
          </w:p>
        </w:tc>
        <w:tc>
          <w:tcPr>
            <w:tcW w:w="1673" w:type="dxa"/>
            <w:vMerge w:val="restart"/>
            <w:noWrap/>
            <w:vAlign w:val="center"/>
          </w:tcPr>
          <w:p w14:paraId="40AB28B9">
            <w:pPr>
              <w:pStyle w:val="34"/>
            </w:pPr>
            <w:r>
              <w:t>50</w:t>
            </w:r>
          </w:p>
        </w:tc>
        <w:tc>
          <w:tcPr>
            <w:tcW w:w="1773" w:type="dxa"/>
            <w:noWrap/>
            <w:vAlign w:val="center"/>
          </w:tcPr>
          <w:p w14:paraId="0146276A">
            <w:pPr>
              <w:pStyle w:val="34"/>
            </w:pPr>
            <w:r>
              <w:t>-50.002</w:t>
            </w:r>
          </w:p>
        </w:tc>
        <w:tc>
          <w:tcPr>
            <w:tcW w:w="2693" w:type="dxa"/>
            <w:noWrap/>
            <w:vAlign w:val="center"/>
          </w:tcPr>
          <w:p w14:paraId="7B62B7B0">
            <w:pPr>
              <w:pStyle w:val="34"/>
            </w:pPr>
            <w:r>
              <w:t>-50.030</w:t>
            </w:r>
          </w:p>
        </w:tc>
        <w:tc>
          <w:tcPr>
            <w:tcW w:w="1303" w:type="dxa"/>
            <w:noWrap/>
            <w:vAlign w:val="center"/>
          </w:tcPr>
          <w:p w14:paraId="152DE542">
            <w:pPr>
              <w:pStyle w:val="34"/>
            </w:pPr>
            <w:r>
              <w:t>-0.028</w:t>
            </w:r>
          </w:p>
        </w:tc>
      </w:tr>
      <w:tr w14:paraId="1968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2E57B377">
            <w:pPr>
              <w:pStyle w:val="34"/>
            </w:pPr>
          </w:p>
        </w:tc>
        <w:tc>
          <w:tcPr>
            <w:tcW w:w="1701" w:type="dxa"/>
            <w:noWrap/>
            <w:vAlign w:val="center"/>
          </w:tcPr>
          <w:p w14:paraId="758CA1D6">
            <w:pPr>
              <w:pStyle w:val="34"/>
            </w:pPr>
            <w:r>
              <w:t>50.003</w:t>
            </w:r>
          </w:p>
        </w:tc>
        <w:tc>
          <w:tcPr>
            <w:tcW w:w="2410" w:type="dxa"/>
            <w:noWrap/>
            <w:vAlign w:val="center"/>
          </w:tcPr>
          <w:p w14:paraId="2F298521">
            <w:pPr>
              <w:pStyle w:val="34"/>
            </w:pPr>
            <w:r>
              <w:t>49.930</w:t>
            </w:r>
          </w:p>
        </w:tc>
        <w:tc>
          <w:tcPr>
            <w:tcW w:w="1303" w:type="dxa"/>
            <w:noWrap/>
            <w:vAlign w:val="center"/>
          </w:tcPr>
          <w:p w14:paraId="66E51C87">
            <w:pPr>
              <w:pStyle w:val="34"/>
            </w:pPr>
            <w:r>
              <w:t>-0.073</w:t>
            </w:r>
          </w:p>
        </w:tc>
        <w:tc>
          <w:tcPr>
            <w:tcW w:w="1673" w:type="dxa"/>
            <w:vMerge w:val="continue"/>
            <w:noWrap/>
            <w:vAlign w:val="center"/>
          </w:tcPr>
          <w:p w14:paraId="7E844334">
            <w:pPr>
              <w:pStyle w:val="34"/>
            </w:pPr>
          </w:p>
        </w:tc>
        <w:tc>
          <w:tcPr>
            <w:tcW w:w="1773" w:type="dxa"/>
            <w:noWrap/>
            <w:vAlign w:val="center"/>
          </w:tcPr>
          <w:p w14:paraId="33130BC4">
            <w:pPr>
              <w:pStyle w:val="34"/>
            </w:pPr>
            <w:r>
              <w:t>-50.003</w:t>
            </w:r>
          </w:p>
        </w:tc>
        <w:tc>
          <w:tcPr>
            <w:tcW w:w="2693" w:type="dxa"/>
            <w:noWrap/>
            <w:vAlign w:val="center"/>
          </w:tcPr>
          <w:p w14:paraId="7CB72B00">
            <w:pPr>
              <w:pStyle w:val="34"/>
            </w:pPr>
            <w:r>
              <w:t>-50.030</w:t>
            </w:r>
          </w:p>
        </w:tc>
        <w:tc>
          <w:tcPr>
            <w:tcW w:w="1303" w:type="dxa"/>
            <w:noWrap/>
            <w:vAlign w:val="center"/>
          </w:tcPr>
          <w:p w14:paraId="19F9A62C">
            <w:pPr>
              <w:pStyle w:val="34"/>
            </w:pPr>
            <w:r>
              <w:t>-0.027</w:t>
            </w:r>
          </w:p>
        </w:tc>
      </w:tr>
      <w:tr w14:paraId="6D43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2" w:type="dxa"/>
            <w:vMerge w:val="continue"/>
            <w:noWrap/>
            <w:vAlign w:val="center"/>
          </w:tcPr>
          <w:p w14:paraId="60BC6888">
            <w:pPr>
              <w:pStyle w:val="34"/>
            </w:pPr>
          </w:p>
        </w:tc>
        <w:tc>
          <w:tcPr>
            <w:tcW w:w="1701" w:type="dxa"/>
            <w:noWrap/>
            <w:vAlign w:val="center"/>
          </w:tcPr>
          <w:p w14:paraId="37031A79">
            <w:pPr>
              <w:pStyle w:val="34"/>
            </w:pPr>
            <w:r>
              <w:t>50.001</w:t>
            </w:r>
          </w:p>
        </w:tc>
        <w:tc>
          <w:tcPr>
            <w:tcW w:w="2410" w:type="dxa"/>
            <w:noWrap/>
            <w:vAlign w:val="center"/>
          </w:tcPr>
          <w:p w14:paraId="0D1B7179">
            <w:pPr>
              <w:pStyle w:val="34"/>
            </w:pPr>
            <w:r>
              <w:t>49.930</w:t>
            </w:r>
          </w:p>
        </w:tc>
        <w:tc>
          <w:tcPr>
            <w:tcW w:w="1303" w:type="dxa"/>
            <w:noWrap/>
            <w:vAlign w:val="center"/>
          </w:tcPr>
          <w:p w14:paraId="70DCD671">
            <w:pPr>
              <w:pStyle w:val="34"/>
            </w:pPr>
            <w:r>
              <w:t>-0.071</w:t>
            </w:r>
          </w:p>
        </w:tc>
        <w:tc>
          <w:tcPr>
            <w:tcW w:w="1673" w:type="dxa"/>
            <w:vMerge w:val="continue"/>
            <w:noWrap/>
            <w:vAlign w:val="center"/>
          </w:tcPr>
          <w:p w14:paraId="631BA2B0">
            <w:pPr>
              <w:pStyle w:val="34"/>
            </w:pPr>
          </w:p>
        </w:tc>
        <w:tc>
          <w:tcPr>
            <w:tcW w:w="1773" w:type="dxa"/>
            <w:noWrap/>
            <w:vAlign w:val="center"/>
          </w:tcPr>
          <w:p w14:paraId="363D1AAC">
            <w:pPr>
              <w:pStyle w:val="34"/>
            </w:pPr>
            <w:r>
              <w:t>-50.003</w:t>
            </w:r>
          </w:p>
        </w:tc>
        <w:tc>
          <w:tcPr>
            <w:tcW w:w="2693" w:type="dxa"/>
            <w:noWrap/>
            <w:vAlign w:val="center"/>
          </w:tcPr>
          <w:p w14:paraId="6134FF11">
            <w:pPr>
              <w:pStyle w:val="34"/>
            </w:pPr>
            <w:r>
              <w:t>-50.040</w:t>
            </w:r>
          </w:p>
        </w:tc>
        <w:tc>
          <w:tcPr>
            <w:tcW w:w="1303" w:type="dxa"/>
            <w:noWrap/>
            <w:vAlign w:val="center"/>
          </w:tcPr>
          <w:p w14:paraId="492A0D10">
            <w:pPr>
              <w:pStyle w:val="34"/>
            </w:pPr>
            <w:r>
              <w:t>-0.037</w:t>
            </w:r>
          </w:p>
        </w:tc>
      </w:tr>
      <w:tr w14:paraId="66B4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trPr>
        <w:tc>
          <w:tcPr>
            <w:tcW w:w="1702" w:type="dxa"/>
            <w:noWrap/>
            <w:vAlign w:val="center"/>
          </w:tcPr>
          <w:p w14:paraId="2A0AD53A">
            <w:pPr>
              <w:pStyle w:val="34"/>
            </w:pPr>
            <w:r>
              <w:t>平均值</w:t>
            </w:r>
          </w:p>
        </w:tc>
        <w:tc>
          <w:tcPr>
            <w:tcW w:w="1701" w:type="dxa"/>
            <w:noWrap/>
            <w:vAlign w:val="center"/>
          </w:tcPr>
          <w:p w14:paraId="7CA2ED41">
            <w:pPr>
              <w:pStyle w:val="34"/>
            </w:pPr>
            <w:r>
              <w:t>50.002</w:t>
            </w:r>
          </w:p>
        </w:tc>
        <w:tc>
          <w:tcPr>
            <w:tcW w:w="2410" w:type="dxa"/>
            <w:noWrap/>
            <w:vAlign w:val="center"/>
          </w:tcPr>
          <w:p w14:paraId="1174D8FE">
            <w:pPr>
              <w:pStyle w:val="34"/>
            </w:pPr>
            <w:r>
              <w:t>49.930</w:t>
            </w:r>
          </w:p>
        </w:tc>
        <w:tc>
          <w:tcPr>
            <w:tcW w:w="1303" w:type="dxa"/>
            <w:noWrap/>
            <w:vAlign w:val="center"/>
          </w:tcPr>
          <w:p w14:paraId="4AB53DD9">
            <w:pPr>
              <w:pStyle w:val="34"/>
              <w:rPr>
                <w:b/>
                <w:bCs/>
              </w:rPr>
            </w:pPr>
            <w:r>
              <w:rPr>
                <w:b/>
                <w:bCs/>
                <w:color w:val="00B050"/>
              </w:rPr>
              <w:t>-0.072</w:t>
            </w:r>
          </w:p>
        </w:tc>
        <w:tc>
          <w:tcPr>
            <w:tcW w:w="1673" w:type="dxa"/>
            <w:noWrap/>
            <w:vAlign w:val="center"/>
          </w:tcPr>
          <w:p w14:paraId="261282CD">
            <w:pPr>
              <w:pStyle w:val="34"/>
            </w:pPr>
            <w:r>
              <w:t>平均值</w:t>
            </w:r>
          </w:p>
        </w:tc>
        <w:tc>
          <w:tcPr>
            <w:tcW w:w="1773" w:type="dxa"/>
            <w:noWrap/>
            <w:vAlign w:val="center"/>
          </w:tcPr>
          <w:p w14:paraId="2F30CB90">
            <w:pPr>
              <w:pStyle w:val="34"/>
            </w:pPr>
            <w:r>
              <w:t>-50.003</w:t>
            </w:r>
          </w:p>
        </w:tc>
        <w:tc>
          <w:tcPr>
            <w:tcW w:w="2693" w:type="dxa"/>
            <w:noWrap/>
            <w:vAlign w:val="center"/>
          </w:tcPr>
          <w:p w14:paraId="7DFE2C06">
            <w:pPr>
              <w:pStyle w:val="34"/>
            </w:pPr>
            <w:r>
              <w:t>-50.033</w:t>
            </w:r>
          </w:p>
        </w:tc>
        <w:tc>
          <w:tcPr>
            <w:tcW w:w="1303" w:type="dxa"/>
            <w:noWrap/>
            <w:vAlign w:val="center"/>
          </w:tcPr>
          <w:p w14:paraId="1AEBE4C8">
            <w:pPr>
              <w:pStyle w:val="34"/>
              <w:rPr>
                <w:b/>
                <w:bCs/>
              </w:rPr>
            </w:pPr>
            <w:r>
              <w:rPr>
                <w:b/>
                <w:bCs/>
                <w:color w:val="00B050"/>
              </w:rPr>
              <w:t>-0.031</w:t>
            </w:r>
          </w:p>
        </w:tc>
      </w:tr>
    </w:tbl>
    <w:p w14:paraId="06416238">
      <w:pPr>
        <w:pStyle w:val="2"/>
        <w:spacing w:after="190"/>
        <w:sectPr>
          <w:pgSz w:w="16838" w:h="11906" w:orient="landscape"/>
          <w:pgMar w:top="1985" w:right="1985" w:bottom="1701" w:left="1701" w:header="851" w:footer="992" w:gutter="0"/>
          <w:cols w:space="425" w:num="1"/>
          <w:docGrid w:type="lines" w:linePitch="381" w:charSpace="0"/>
        </w:sectPr>
      </w:pPr>
    </w:p>
    <w:p w14:paraId="07DAB8EA">
      <w:pPr>
        <w:pStyle w:val="2"/>
        <w:spacing w:after="190"/>
        <w:rPr>
          <w:rFonts w:hint="eastAsia"/>
        </w:rPr>
      </w:pPr>
      <w:bookmarkStart w:id="17" w:name="_Toc233382924"/>
      <w:r>
        <w:rPr>
          <w:rFonts w:hint="eastAsia"/>
        </w:rPr>
        <w:t>试验结论</w:t>
      </w:r>
      <w:bookmarkEnd w:id="17"/>
    </w:p>
    <w:p w14:paraId="09D472B5">
      <w:pPr>
        <w:ind w:firstLine="560"/>
        <w:rPr>
          <w:rFonts w:hint="eastAsia"/>
        </w:rPr>
      </w:pPr>
      <w:r>
        <w:t>经试验，本规范规定的被校仪器适用范围和计量性能合理，</w:t>
      </w:r>
      <w:r>
        <w:rPr>
          <w:rFonts w:hint="eastAsia"/>
        </w:rPr>
        <w:t>径向速度测量范围-50 m/s~50 m/s，测量绝对误差均小于最大允许误差±0.1m/s，</w:t>
      </w:r>
      <w:r>
        <w:t>选用的计量标准设备科学经济，校准条件规定正确，校准项目和校准方法科学合理，校准结果准确可靠</w:t>
      </w:r>
      <w:r>
        <w:rPr>
          <w:rFonts w:hint="eastAsia"/>
        </w:rPr>
        <w:t>。</w:t>
      </w:r>
    </w:p>
    <w:p w14:paraId="3768CC9E">
      <w:pPr>
        <w:ind w:firstLine="560"/>
      </w:pPr>
    </w:p>
    <w:p w14:paraId="77716B05">
      <w:pPr>
        <w:ind w:firstLine="560"/>
      </w:pPr>
    </w:p>
    <w:p w14:paraId="4FA176B4">
      <w:pPr>
        <w:ind w:firstLine="560"/>
      </w:pPr>
    </w:p>
    <w:p w14:paraId="28CDF30F">
      <w:pPr>
        <w:ind w:firstLine="560"/>
      </w:pPr>
    </w:p>
    <w:p w14:paraId="0FAFBF17">
      <w:pPr>
        <w:ind w:firstLine="560"/>
      </w:pPr>
    </w:p>
    <w:p w14:paraId="6B2B7B26">
      <w:pPr>
        <w:ind w:firstLine="560"/>
      </w:pPr>
    </w:p>
    <w:p w14:paraId="3684D188">
      <w:pPr>
        <w:ind w:firstLine="560"/>
      </w:pPr>
    </w:p>
    <w:p w14:paraId="30ED05A5">
      <w:pPr>
        <w:ind w:firstLine="560"/>
      </w:pPr>
    </w:p>
    <w:p w14:paraId="2CE3248A">
      <w:pPr>
        <w:ind w:firstLine="560"/>
      </w:pPr>
    </w:p>
    <w:p w14:paraId="376A69C6">
      <w:pPr>
        <w:ind w:firstLine="560"/>
      </w:pPr>
    </w:p>
    <w:p w14:paraId="32A596A7">
      <w:pPr>
        <w:ind w:firstLine="560"/>
      </w:pPr>
    </w:p>
    <w:p w14:paraId="03F7BD82">
      <w:pPr>
        <w:ind w:firstLine="560"/>
      </w:pPr>
    </w:p>
    <w:p w14:paraId="428DF383">
      <w:pPr>
        <w:ind w:firstLine="560"/>
      </w:pPr>
    </w:p>
    <w:p w14:paraId="23F27D08">
      <w:pPr>
        <w:ind w:firstLine="560"/>
      </w:pPr>
    </w:p>
    <w:p w14:paraId="0301A861">
      <w:pPr>
        <w:ind w:firstLine="560"/>
      </w:pPr>
    </w:p>
    <w:p w14:paraId="6CE52B2B">
      <w:pPr>
        <w:ind w:firstLine="560"/>
      </w:pPr>
    </w:p>
    <w:p w14:paraId="206DC597">
      <w:pPr>
        <w:ind w:firstLine="560"/>
        <w:rPr>
          <w:rFonts w:hint="eastAsia"/>
        </w:rPr>
      </w:pPr>
    </w:p>
    <w:sectPr>
      <w:pgSz w:w="11906" w:h="16838"/>
      <w:pgMar w:top="1985" w:right="1701" w:bottom="1701" w:left="1985"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789D1">
    <w:pPr>
      <w:ind w:firstLine="560"/>
      <w:jc w:val="center"/>
    </w:pPr>
  </w:p>
  <w:p w14:paraId="3D9EE4A0">
    <w:pPr>
      <w:ind w:firstLine="5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57BE8">
    <w:pPr>
      <w:ind w:firstLine="5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336C5">
    <w:pPr>
      <w:ind w:firstLine="5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24E95">
    <w:pPr>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1879327"/>
      <w:docPartObj>
        <w:docPartGallery w:val="AutoText"/>
      </w:docPartObj>
    </w:sdtPr>
    <w:sdtEndPr>
      <w:rPr>
        <w:sz w:val="21"/>
        <w:szCs w:val="21"/>
      </w:rPr>
    </w:sdtEndPr>
    <w:sdtContent>
      <w:p w14:paraId="74613E2C">
        <w:pPr>
          <w:ind w:firstLine="560"/>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519B21C8">
    <w:pPr>
      <w:ind w:firstLine="5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5769B">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D7E61">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C2D8D">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20B6F"/>
    <w:multiLevelType w:val="multilevel"/>
    <w:tmpl w:val="00020B6F"/>
    <w:lvl w:ilvl="0" w:tentative="0">
      <w:start w:val="1"/>
      <w:numFmt w:val="decimal"/>
      <w:lvlText w:val="(%1)"/>
      <w:lvlJc w:val="left"/>
      <w:pPr>
        <w:ind w:left="1000" w:hanging="440"/>
      </w:pPr>
      <w:rPr>
        <w:rFonts w:hint="default" w:ascii="Times New Roman" w:hAnsi="Times New Roman" w:eastAsia="宋体"/>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15CE453D"/>
    <w:multiLevelType w:val="multilevel"/>
    <w:tmpl w:val="15CE453D"/>
    <w:lvl w:ilvl="0" w:tentative="0">
      <w:start w:val="1"/>
      <w:numFmt w:val="decimal"/>
      <w:suff w:val="nothing"/>
      <w:lvlText w:val="%1"/>
      <w:lvlJc w:val="left"/>
      <w:pPr>
        <w:ind w:left="0" w:firstLine="0"/>
      </w:pPr>
      <w:rPr>
        <w:rFonts w:hint="default" w:ascii="Times New Roman" w:hAnsi="Times New Roman" w:eastAsia="宋体"/>
        <w:position w:val="0"/>
        <w14:ligatures w14:val="none"/>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7F1B02EB"/>
    <w:multiLevelType w:val="multilevel"/>
    <w:tmpl w:val="7F1B02EB"/>
    <w:lvl w:ilvl="0" w:tentative="0">
      <w:start w:val="1"/>
      <w:numFmt w:val="decimal"/>
      <w:pStyle w:val="2"/>
      <w:suff w:val="space"/>
      <w:lvlText w:val="%1"/>
      <w:lvlJc w:val="left"/>
      <w:pPr>
        <w:ind w:left="0" w:firstLine="0"/>
      </w:pPr>
      <w:rPr>
        <w:rFonts w:hint="eastAsia"/>
      </w:rPr>
    </w:lvl>
    <w:lvl w:ilvl="1" w:tentative="0">
      <w:start w:val="1"/>
      <w:numFmt w:val="decimal"/>
      <w:pStyle w:val="3"/>
      <w:suff w:val="space"/>
      <w:lvlText w:val="%1.%2"/>
      <w:lvlJc w:val="left"/>
      <w:pPr>
        <w:ind w:left="0" w:firstLine="0"/>
      </w:pPr>
      <w:rPr>
        <w:rFonts w:hint="eastAsia"/>
      </w:rPr>
    </w:lvl>
    <w:lvl w:ilvl="2" w:tentative="0">
      <w:start w:val="1"/>
      <w:numFmt w:val="decimal"/>
      <w:pStyle w:val="4"/>
      <w:suff w:val="space"/>
      <w:lvlText w:val="%1.%2.%3"/>
      <w:lvlJc w:val="left"/>
      <w:pPr>
        <w:ind w:left="0" w:firstLine="0"/>
      </w:pPr>
      <w:rPr>
        <w:rFonts w:hint="eastAsia"/>
      </w:rPr>
    </w:lvl>
    <w:lvl w:ilvl="3" w:tentative="0">
      <w:start w:val="1"/>
      <w:numFmt w:val="decimal"/>
      <w:pStyle w:val="5"/>
      <w:suff w:val="space"/>
      <w:lvlText w:val="%1.%2.%3.%4"/>
      <w:lvlJc w:val="left"/>
      <w:pPr>
        <w:ind w:left="0" w:firstLine="0"/>
      </w:pPr>
      <w:rPr>
        <w:rFonts w:hint="eastAsia"/>
      </w:rPr>
    </w:lvl>
    <w:lvl w:ilvl="4" w:tentative="0">
      <w:start w:val="1"/>
      <w:numFmt w:val="decimal"/>
      <w:pStyle w:val="6"/>
      <w:suff w:val="space"/>
      <w:lvlText w:val="%1.%2.%3.%4.%5"/>
      <w:lvlJc w:val="left"/>
      <w:pPr>
        <w:ind w:left="0" w:firstLine="0"/>
      </w:pPr>
      <w:rPr>
        <w:rFonts w:hint="eastAsia"/>
      </w:rPr>
    </w:lvl>
    <w:lvl w:ilvl="5" w:tentative="0">
      <w:start w:val="1"/>
      <w:numFmt w:val="decimal"/>
      <w:pStyle w:val="7"/>
      <w:suff w:val="space"/>
      <w:lvlText w:val="%1.%2.%3.%4.%5.%6"/>
      <w:lvlJc w:val="left"/>
      <w:pPr>
        <w:ind w:left="0" w:firstLine="0"/>
      </w:pPr>
      <w:rPr>
        <w:rFonts w:hint="eastAsia"/>
      </w:rPr>
    </w:lvl>
    <w:lvl w:ilvl="6" w:tentative="0">
      <w:start w:val="1"/>
      <w:numFmt w:val="decimal"/>
      <w:pStyle w:val="8"/>
      <w:suff w:val="space"/>
      <w:lvlText w:val="%1.%2.%3.%4.%5.%6.%7"/>
      <w:lvlJc w:val="left"/>
      <w:pPr>
        <w:ind w:left="0" w:firstLine="0"/>
      </w:pPr>
      <w:rPr>
        <w:rFonts w:hint="eastAsia"/>
      </w:rPr>
    </w:lvl>
    <w:lvl w:ilvl="7" w:tentative="0">
      <w:start w:val="1"/>
      <w:numFmt w:val="decimal"/>
      <w:pStyle w:val="9"/>
      <w:suff w:val="space"/>
      <w:lvlText w:val="%1.%2.%3.%4.%5.%6.%7.%8"/>
      <w:lvlJc w:val="left"/>
      <w:pPr>
        <w:ind w:left="0" w:firstLine="0"/>
      </w:pPr>
      <w:rPr>
        <w:rFonts w:hint="eastAsia"/>
      </w:rPr>
    </w:lvl>
    <w:lvl w:ilvl="8" w:tentative="0">
      <w:start w:val="1"/>
      <w:numFmt w:val="decimal"/>
      <w:pStyle w:val="10"/>
      <w:suff w:val="space"/>
      <w:lvlText w:val="%1.%2.%3.%4.%5.%6.%7.%8.%9"/>
      <w:lvlJc w:val="left"/>
      <w:pPr>
        <w:ind w:left="0" w:firstLine="0"/>
      </w:pPr>
      <w:rPr>
        <w:rFonts w:hint="eastAsia"/>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ZDNkMjNiMTFlZmRlMzVmMGNlZDAzMmE5YWZlYWEifQ=="/>
  </w:docVars>
  <w:rsids>
    <w:rsidRoot w:val="007E53F0"/>
    <w:rsid w:val="00000226"/>
    <w:rsid w:val="00002BF1"/>
    <w:rsid w:val="0000617E"/>
    <w:rsid w:val="00006379"/>
    <w:rsid w:val="00006993"/>
    <w:rsid w:val="00010525"/>
    <w:rsid w:val="00010B20"/>
    <w:rsid w:val="00010E15"/>
    <w:rsid w:val="00014477"/>
    <w:rsid w:val="00014B28"/>
    <w:rsid w:val="00016CD4"/>
    <w:rsid w:val="00017619"/>
    <w:rsid w:val="00017790"/>
    <w:rsid w:val="00017F73"/>
    <w:rsid w:val="00021863"/>
    <w:rsid w:val="00021F26"/>
    <w:rsid w:val="0002213F"/>
    <w:rsid w:val="00022FF0"/>
    <w:rsid w:val="000256FB"/>
    <w:rsid w:val="000262C3"/>
    <w:rsid w:val="000262DC"/>
    <w:rsid w:val="00030AC1"/>
    <w:rsid w:val="000325A1"/>
    <w:rsid w:val="000361D7"/>
    <w:rsid w:val="000362E8"/>
    <w:rsid w:val="00036D52"/>
    <w:rsid w:val="000422C4"/>
    <w:rsid w:val="000422E8"/>
    <w:rsid w:val="00042871"/>
    <w:rsid w:val="00042B04"/>
    <w:rsid w:val="000436A4"/>
    <w:rsid w:val="00044E61"/>
    <w:rsid w:val="00047EA0"/>
    <w:rsid w:val="000509FA"/>
    <w:rsid w:val="0005115C"/>
    <w:rsid w:val="00052A4A"/>
    <w:rsid w:val="00054681"/>
    <w:rsid w:val="00062F7A"/>
    <w:rsid w:val="000651BE"/>
    <w:rsid w:val="000658D3"/>
    <w:rsid w:val="00067831"/>
    <w:rsid w:val="00070637"/>
    <w:rsid w:val="00071376"/>
    <w:rsid w:val="00072CAB"/>
    <w:rsid w:val="00074058"/>
    <w:rsid w:val="00074BB1"/>
    <w:rsid w:val="00077F20"/>
    <w:rsid w:val="00082259"/>
    <w:rsid w:val="00082AB4"/>
    <w:rsid w:val="0008570F"/>
    <w:rsid w:val="00085AE7"/>
    <w:rsid w:val="00086FF7"/>
    <w:rsid w:val="00092460"/>
    <w:rsid w:val="0009289D"/>
    <w:rsid w:val="000940DB"/>
    <w:rsid w:val="000951E4"/>
    <w:rsid w:val="000963E9"/>
    <w:rsid w:val="0009738E"/>
    <w:rsid w:val="000A2866"/>
    <w:rsid w:val="000A471E"/>
    <w:rsid w:val="000A521A"/>
    <w:rsid w:val="000A7092"/>
    <w:rsid w:val="000B0F5B"/>
    <w:rsid w:val="000B1167"/>
    <w:rsid w:val="000B15C7"/>
    <w:rsid w:val="000B2AFE"/>
    <w:rsid w:val="000B2CB9"/>
    <w:rsid w:val="000B3FCE"/>
    <w:rsid w:val="000B3FF1"/>
    <w:rsid w:val="000B4991"/>
    <w:rsid w:val="000B5998"/>
    <w:rsid w:val="000B5D8B"/>
    <w:rsid w:val="000B64DD"/>
    <w:rsid w:val="000C172A"/>
    <w:rsid w:val="000C5E18"/>
    <w:rsid w:val="000D0DBB"/>
    <w:rsid w:val="000D2699"/>
    <w:rsid w:val="000D2D39"/>
    <w:rsid w:val="000E0896"/>
    <w:rsid w:val="000E0EF6"/>
    <w:rsid w:val="000E17A6"/>
    <w:rsid w:val="000E1A89"/>
    <w:rsid w:val="000E1F18"/>
    <w:rsid w:val="000E20A1"/>
    <w:rsid w:val="000E2BFF"/>
    <w:rsid w:val="000E36EC"/>
    <w:rsid w:val="000E4435"/>
    <w:rsid w:val="000E5D3B"/>
    <w:rsid w:val="000E600F"/>
    <w:rsid w:val="000E6110"/>
    <w:rsid w:val="000F01A5"/>
    <w:rsid w:val="000F0201"/>
    <w:rsid w:val="000F0824"/>
    <w:rsid w:val="000F0ABA"/>
    <w:rsid w:val="000F1FFE"/>
    <w:rsid w:val="000F3D8C"/>
    <w:rsid w:val="000F48C4"/>
    <w:rsid w:val="000F49A5"/>
    <w:rsid w:val="000F4A4C"/>
    <w:rsid w:val="000F6556"/>
    <w:rsid w:val="001011C6"/>
    <w:rsid w:val="00101A72"/>
    <w:rsid w:val="0010249D"/>
    <w:rsid w:val="00103846"/>
    <w:rsid w:val="00103CD7"/>
    <w:rsid w:val="00104582"/>
    <w:rsid w:val="00105BE5"/>
    <w:rsid w:val="0010775B"/>
    <w:rsid w:val="0011030B"/>
    <w:rsid w:val="00111E8B"/>
    <w:rsid w:val="00111F09"/>
    <w:rsid w:val="00116630"/>
    <w:rsid w:val="00117C48"/>
    <w:rsid w:val="00121144"/>
    <w:rsid w:val="001214A1"/>
    <w:rsid w:val="0012190A"/>
    <w:rsid w:val="0012317B"/>
    <w:rsid w:val="00123E17"/>
    <w:rsid w:val="00127403"/>
    <w:rsid w:val="00130342"/>
    <w:rsid w:val="00130515"/>
    <w:rsid w:val="001306BF"/>
    <w:rsid w:val="001336B6"/>
    <w:rsid w:val="001351DB"/>
    <w:rsid w:val="001369FB"/>
    <w:rsid w:val="00137604"/>
    <w:rsid w:val="00141739"/>
    <w:rsid w:val="00142067"/>
    <w:rsid w:val="00143E14"/>
    <w:rsid w:val="00145128"/>
    <w:rsid w:val="00145ABE"/>
    <w:rsid w:val="00145AEB"/>
    <w:rsid w:val="001470AB"/>
    <w:rsid w:val="001535CF"/>
    <w:rsid w:val="001540AF"/>
    <w:rsid w:val="00154BA4"/>
    <w:rsid w:val="001555D6"/>
    <w:rsid w:val="001558BE"/>
    <w:rsid w:val="00155A49"/>
    <w:rsid w:val="00155E94"/>
    <w:rsid w:val="0015612A"/>
    <w:rsid w:val="0015785A"/>
    <w:rsid w:val="00157B23"/>
    <w:rsid w:val="00161B5D"/>
    <w:rsid w:val="00161B6B"/>
    <w:rsid w:val="00163B2F"/>
    <w:rsid w:val="001641F8"/>
    <w:rsid w:val="0017019F"/>
    <w:rsid w:val="0017040E"/>
    <w:rsid w:val="00171E58"/>
    <w:rsid w:val="00172A23"/>
    <w:rsid w:val="00175454"/>
    <w:rsid w:val="0017591A"/>
    <w:rsid w:val="0018026B"/>
    <w:rsid w:val="001824A3"/>
    <w:rsid w:val="0018348B"/>
    <w:rsid w:val="001849CB"/>
    <w:rsid w:val="00184DF6"/>
    <w:rsid w:val="0018664F"/>
    <w:rsid w:val="0018691C"/>
    <w:rsid w:val="0019056D"/>
    <w:rsid w:val="00190575"/>
    <w:rsid w:val="00191DAF"/>
    <w:rsid w:val="001960E9"/>
    <w:rsid w:val="0019634C"/>
    <w:rsid w:val="00196A91"/>
    <w:rsid w:val="001A3D1D"/>
    <w:rsid w:val="001A439C"/>
    <w:rsid w:val="001A520B"/>
    <w:rsid w:val="001A5431"/>
    <w:rsid w:val="001A568A"/>
    <w:rsid w:val="001A7402"/>
    <w:rsid w:val="001B137D"/>
    <w:rsid w:val="001B29CB"/>
    <w:rsid w:val="001B34D3"/>
    <w:rsid w:val="001B3D6D"/>
    <w:rsid w:val="001B7048"/>
    <w:rsid w:val="001B7B29"/>
    <w:rsid w:val="001C076B"/>
    <w:rsid w:val="001C2597"/>
    <w:rsid w:val="001C3D6D"/>
    <w:rsid w:val="001C3F4F"/>
    <w:rsid w:val="001C4FDD"/>
    <w:rsid w:val="001C5AE4"/>
    <w:rsid w:val="001C65E5"/>
    <w:rsid w:val="001D011A"/>
    <w:rsid w:val="001D17CB"/>
    <w:rsid w:val="001D4C03"/>
    <w:rsid w:val="001D6A01"/>
    <w:rsid w:val="001D6FE3"/>
    <w:rsid w:val="001D7552"/>
    <w:rsid w:val="001E172E"/>
    <w:rsid w:val="001E2503"/>
    <w:rsid w:val="001E254A"/>
    <w:rsid w:val="001E566D"/>
    <w:rsid w:val="001E5BF7"/>
    <w:rsid w:val="001E7FE1"/>
    <w:rsid w:val="001F1E50"/>
    <w:rsid w:val="001F55A5"/>
    <w:rsid w:val="001F696D"/>
    <w:rsid w:val="00202876"/>
    <w:rsid w:val="00202A14"/>
    <w:rsid w:val="00205024"/>
    <w:rsid w:val="0020585B"/>
    <w:rsid w:val="00211660"/>
    <w:rsid w:val="002116FD"/>
    <w:rsid w:val="00211B41"/>
    <w:rsid w:val="00212C01"/>
    <w:rsid w:val="00213A3B"/>
    <w:rsid w:val="00213C1D"/>
    <w:rsid w:val="00220B5F"/>
    <w:rsid w:val="00220D5E"/>
    <w:rsid w:val="00220FCA"/>
    <w:rsid w:val="0022208A"/>
    <w:rsid w:val="00222AB9"/>
    <w:rsid w:val="0022326F"/>
    <w:rsid w:val="00224F7E"/>
    <w:rsid w:val="00227496"/>
    <w:rsid w:val="00232866"/>
    <w:rsid w:val="00232E56"/>
    <w:rsid w:val="00233B00"/>
    <w:rsid w:val="00234B06"/>
    <w:rsid w:val="0023549C"/>
    <w:rsid w:val="002404C0"/>
    <w:rsid w:val="002423E4"/>
    <w:rsid w:val="00243199"/>
    <w:rsid w:val="00243261"/>
    <w:rsid w:val="00244215"/>
    <w:rsid w:val="00245F5D"/>
    <w:rsid w:val="00246CB8"/>
    <w:rsid w:val="00246E2C"/>
    <w:rsid w:val="00250685"/>
    <w:rsid w:val="00250A88"/>
    <w:rsid w:val="00250AF6"/>
    <w:rsid w:val="002518FA"/>
    <w:rsid w:val="002574C1"/>
    <w:rsid w:val="00257D7A"/>
    <w:rsid w:val="0026023D"/>
    <w:rsid w:val="00260E8E"/>
    <w:rsid w:val="00262C12"/>
    <w:rsid w:val="0027052A"/>
    <w:rsid w:val="002726B2"/>
    <w:rsid w:val="00274895"/>
    <w:rsid w:val="00282C53"/>
    <w:rsid w:val="00283B1D"/>
    <w:rsid w:val="00287332"/>
    <w:rsid w:val="00290F67"/>
    <w:rsid w:val="00294B35"/>
    <w:rsid w:val="00294BFC"/>
    <w:rsid w:val="00295653"/>
    <w:rsid w:val="00295A39"/>
    <w:rsid w:val="0029613C"/>
    <w:rsid w:val="002A25B8"/>
    <w:rsid w:val="002A6CA5"/>
    <w:rsid w:val="002A765E"/>
    <w:rsid w:val="002B06A7"/>
    <w:rsid w:val="002B1B19"/>
    <w:rsid w:val="002B3D43"/>
    <w:rsid w:val="002B561E"/>
    <w:rsid w:val="002B5C49"/>
    <w:rsid w:val="002B6EAA"/>
    <w:rsid w:val="002C1075"/>
    <w:rsid w:val="002C212E"/>
    <w:rsid w:val="002C2CEF"/>
    <w:rsid w:val="002C30C1"/>
    <w:rsid w:val="002C344D"/>
    <w:rsid w:val="002C4383"/>
    <w:rsid w:val="002C54BC"/>
    <w:rsid w:val="002C73AF"/>
    <w:rsid w:val="002D208B"/>
    <w:rsid w:val="002D3E27"/>
    <w:rsid w:val="002D5FE1"/>
    <w:rsid w:val="002D6824"/>
    <w:rsid w:val="002D68EB"/>
    <w:rsid w:val="002D705A"/>
    <w:rsid w:val="002D7707"/>
    <w:rsid w:val="002E014C"/>
    <w:rsid w:val="002E04F2"/>
    <w:rsid w:val="002E07A0"/>
    <w:rsid w:val="002E1604"/>
    <w:rsid w:val="002E27A7"/>
    <w:rsid w:val="002E64B6"/>
    <w:rsid w:val="002E723D"/>
    <w:rsid w:val="002F186C"/>
    <w:rsid w:val="002F2039"/>
    <w:rsid w:val="002F3750"/>
    <w:rsid w:val="002F42FE"/>
    <w:rsid w:val="002F478F"/>
    <w:rsid w:val="002F631B"/>
    <w:rsid w:val="002F6786"/>
    <w:rsid w:val="00300065"/>
    <w:rsid w:val="003035F7"/>
    <w:rsid w:val="00307638"/>
    <w:rsid w:val="00310BBC"/>
    <w:rsid w:val="00310E4D"/>
    <w:rsid w:val="00313F6E"/>
    <w:rsid w:val="003141E5"/>
    <w:rsid w:val="00314E80"/>
    <w:rsid w:val="00315DCC"/>
    <w:rsid w:val="0032113B"/>
    <w:rsid w:val="00321775"/>
    <w:rsid w:val="00322069"/>
    <w:rsid w:val="0032222C"/>
    <w:rsid w:val="00324F7A"/>
    <w:rsid w:val="00326BDA"/>
    <w:rsid w:val="00330D80"/>
    <w:rsid w:val="00330FA4"/>
    <w:rsid w:val="00332969"/>
    <w:rsid w:val="00334F23"/>
    <w:rsid w:val="0033724E"/>
    <w:rsid w:val="00340E35"/>
    <w:rsid w:val="00341A50"/>
    <w:rsid w:val="00341A77"/>
    <w:rsid w:val="0034296F"/>
    <w:rsid w:val="00346763"/>
    <w:rsid w:val="00346808"/>
    <w:rsid w:val="00350572"/>
    <w:rsid w:val="00351CB7"/>
    <w:rsid w:val="00354C11"/>
    <w:rsid w:val="00354EEB"/>
    <w:rsid w:val="00355A0C"/>
    <w:rsid w:val="00355CA1"/>
    <w:rsid w:val="003560A2"/>
    <w:rsid w:val="003563B0"/>
    <w:rsid w:val="00360687"/>
    <w:rsid w:val="003608FA"/>
    <w:rsid w:val="00360DB3"/>
    <w:rsid w:val="0036549D"/>
    <w:rsid w:val="0036551E"/>
    <w:rsid w:val="00365D73"/>
    <w:rsid w:val="00366862"/>
    <w:rsid w:val="0037044E"/>
    <w:rsid w:val="00371341"/>
    <w:rsid w:val="00371A0E"/>
    <w:rsid w:val="003755DB"/>
    <w:rsid w:val="003760C3"/>
    <w:rsid w:val="003803BD"/>
    <w:rsid w:val="003826D3"/>
    <w:rsid w:val="0038322D"/>
    <w:rsid w:val="00384927"/>
    <w:rsid w:val="00384C43"/>
    <w:rsid w:val="00387F8A"/>
    <w:rsid w:val="003900B7"/>
    <w:rsid w:val="00390905"/>
    <w:rsid w:val="003909D5"/>
    <w:rsid w:val="00392D7F"/>
    <w:rsid w:val="00393C47"/>
    <w:rsid w:val="0039481D"/>
    <w:rsid w:val="00394F43"/>
    <w:rsid w:val="00396E9C"/>
    <w:rsid w:val="003A1F13"/>
    <w:rsid w:val="003A37E5"/>
    <w:rsid w:val="003A3C77"/>
    <w:rsid w:val="003A530C"/>
    <w:rsid w:val="003A583C"/>
    <w:rsid w:val="003A7EA5"/>
    <w:rsid w:val="003B0565"/>
    <w:rsid w:val="003B1D08"/>
    <w:rsid w:val="003B4E4C"/>
    <w:rsid w:val="003B754D"/>
    <w:rsid w:val="003C01F6"/>
    <w:rsid w:val="003C0B6A"/>
    <w:rsid w:val="003C1753"/>
    <w:rsid w:val="003C1B9D"/>
    <w:rsid w:val="003C3D73"/>
    <w:rsid w:val="003C3F5E"/>
    <w:rsid w:val="003C448F"/>
    <w:rsid w:val="003C4590"/>
    <w:rsid w:val="003C46DA"/>
    <w:rsid w:val="003C6570"/>
    <w:rsid w:val="003C66E1"/>
    <w:rsid w:val="003C779D"/>
    <w:rsid w:val="003D0743"/>
    <w:rsid w:val="003D24C9"/>
    <w:rsid w:val="003D3DB1"/>
    <w:rsid w:val="003D4734"/>
    <w:rsid w:val="003D71FD"/>
    <w:rsid w:val="003E0555"/>
    <w:rsid w:val="003E1C7C"/>
    <w:rsid w:val="003E3AB4"/>
    <w:rsid w:val="003F536E"/>
    <w:rsid w:val="003F67A4"/>
    <w:rsid w:val="003F689C"/>
    <w:rsid w:val="00401832"/>
    <w:rsid w:val="00403E1E"/>
    <w:rsid w:val="00404DF1"/>
    <w:rsid w:val="00405A7D"/>
    <w:rsid w:val="00405BC9"/>
    <w:rsid w:val="00411A62"/>
    <w:rsid w:val="00411AE5"/>
    <w:rsid w:val="00411EA4"/>
    <w:rsid w:val="00411F1E"/>
    <w:rsid w:val="00411FCE"/>
    <w:rsid w:val="00413DCF"/>
    <w:rsid w:val="00413EE3"/>
    <w:rsid w:val="004146B5"/>
    <w:rsid w:val="00415130"/>
    <w:rsid w:val="004171BA"/>
    <w:rsid w:val="004223CB"/>
    <w:rsid w:val="0042392E"/>
    <w:rsid w:val="00423D7E"/>
    <w:rsid w:val="004243CE"/>
    <w:rsid w:val="004248BA"/>
    <w:rsid w:val="00424B58"/>
    <w:rsid w:val="00425B4B"/>
    <w:rsid w:val="00425BB8"/>
    <w:rsid w:val="00426FCC"/>
    <w:rsid w:val="004278CE"/>
    <w:rsid w:val="00430E1A"/>
    <w:rsid w:val="004337D1"/>
    <w:rsid w:val="00433B12"/>
    <w:rsid w:val="0043641E"/>
    <w:rsid w:val="00440C57"/>
    <w:rsid w:val="0044123F"/>
    <w:rsid w:val="00442C42"/>
    <w:rsid w:val="0044664D"/>
    <w:rsid w:val="004505F5"/>
    <w:rsid w:val="00450EDE"/>
    <w:rsid w:val="00451903"/>
    <w:rsid w:val="0045256C"/>
    <w:rsid w:val="004525ED"/>
    <w:rsid w:val="004527DF"/>
    <w:rsid w:val="004565B9"/>
    <w:rsid w:val="004574A9"/>
    <w:rsid w:val="004629E9"/>
    <w:rsid w:val="0046333D"/>
    <w:rsid w:val="004638A2"/>
    <w:rsid w:val="0046481B"/>
    <w:rsid w:val="00467428"/>
    <w:rsid w:val="00471A01"/>
    <w:rsid w:val="0047399E"/>
    <w:rsid w:val="00474C66"/>
    <w:rsid w:val="00474EF7"/>
    <w:rsid w:val="00477EC4"/>
    <w:rsid w:val="0048186A"/>
    <w:rsid w:val="004831B0"/>
    <w:rsid w:val="00483982"/>
    <w:rsid w:val="0048407E"/>
    <w:rsid w:val="004840CC"/>
    <w:rsid w:val="00484407"/>
    <w:rsid w:val="00492F6E"/>
    <w:rsid w:val="004954CB"/>
    <w:rsid w:val="00495E96"/>
    <w:rsid w:val="0049782F"/>
    <w:rsid w:val="004A0804"/>
    <w:rsid w:val="004A26DA"/>
    <w:rsid w:val="004A2D43"/>
    <w:rsid w:val="004A33DE"/>
    <w:rsid w:val="004A4A80"/>
    <w:rsid w:val="004A4FCD"/>
    <w:rsid w:val="004A5712"/>
    <w:rsid w:val="004A762D"/>
    <w:rsid w:val="004B2ECE"/>
    <w:rsid w:val="004B55E1"/>
    <w:rsid w:val="004B71D6"/>
    <w:rsid w:val="004B7602"/>
    <w:rsid w:val="004C11F0"/>
    <w:rsid w:val="004C3176"/>
    <w:rsid w:val="004C516B"/>
    <w:rsid w:val="004D0E8D"/>
    <w:rsid w:val="004D6AA6"/>
    <w:rsid w:val="004D7206"/>
    <w:rsid w:val="004D7A63"/>
    <w:rsid w:val="004E1D89"/>
    <w:rsid w:val="004E24CA"/>
    <w:rsid w:val="004E46BE"/>
    <w:rsid w:val="004E746A"/>
    <w:rsid w:val="004F2F4B"/>
    <w:rsid w:val="004F3F48"/>
    <w:rsid w:val="004F56A0"/>
    <w:rsid w:val="004F5BA5"/>
    <w:rsid w:val="004F63C2"/>
    <w:rsid w:val="004F79DB"/>
    <w:rsid w:val="00500659"/>
    <w:rsid w:val="00504492"/>
    <w:rsid w:val="00505E2F"/>
    <w:rsid w:val="00506031"/>
    <w:rsid w:val="00506ACD"/>
    <w:rsid w:val="00510385"/>
    <w:rsid w:val="005106EE"/>
    <w:rsid w:val="00511052"/>
    <w:rsid w:val="005154D5"/>
    <w:rsid w:val="00516E33"/>
    <w:rsid w:val="00517C37"/>
    <w:rsid w:val="005205BA"/>
    <w:rsid w:val="00522085"/>
    <w:rsid w:val="005221D6"/>
    <w:rsid w:val="005233E4"/>
    <w:rsid w:val="00523CF9"/>
    <w:rsid w:val="00525F7C"/>
    <w:rsid w:val="00527DB0"/>
    <w:rsid w:val="005316F9"/>
    <w:rsid w:val="005318BC"/>
    <w:rsid w:val="0053198C"/>
    <w:rsid w:val="00533CB9"/>
    <w:rsid w:val="00534E60"/>
    <w:rsid w:val="005351F6"/>
    <w:rsid w:val="0053631D"/>
    <w:rsid w:val="005378F4"/>
    <w:rsid w:val="0054023E"/>
    <w:rsid w:val="005434A8"/>
    <w:rsid w:val="005438F0"/>
    <w:rsid w:val="005514D0"/>
    <w:rsid w:val="00551E12"/>
    <w:rsid w:val="00554C64"/>
    <w:rsid w:val="00555070"/>
    <w:rsid w:val="00557F27"/>
    <w:rsid w:val="00560AFD"/>
    <w:rsid w:val="00561093"/>
    <w:rsid w:val="00562F30"/>
    <w:rsid w:val="00567375"/>
    <w:rsid w:val="00567408"/>
    <w:rsid w:val="00567FDC"/>
    <w:rsid w:val="00572F49"/>
    <w:rsid w:val="00573DB3"/>
    <w:rsid w:val="00577BEA"/>
    <w:rsid w:val="00581377"/>
    <w:rsid w:val="005818C5"/>
    <w:rsid w:val="00581BB2"/>
    <w:rsid w:val="00583D88"/>
    <w:rsid w:val="00583EDD"/>
    <w:rsid w:val="0058634A"/>
    <w:rsid w:val="00587EDE"/>
    <w:rsid w:val="00590A31"/>
    <w:rsid w:val="005928F6"/>
    <w:rsid w:val="00596374"/>
    <w:rsid w:val="00597FC4"/>
    <w:rsid w:val="005A02B1"/>
    <w:rsid w:val="005A3270"/>
    <w:rsid w:val="005A5DE0"/>
    <w:rsid w:val="005A6F3E"/>
    <w:rsid w:val="005B0CDD"/>
    <w:rsid w:val="005B113A"/>
    <w:rsid w:val="005B13F9"/>
    <w:rsid w:val="005B477B"/>
    <w:rsid w:val="005B535B"/>
    <w:rsid w:val="005B60F3"/>
    <w:rsid w:val="005C108C"/>
    <w:rsid w:val="005C1165"/>
    <w:rsid w:val="005C5D50"/>
    <w:rsid w:val="005C684E"/>
    <w:rsid w:val="005C71BB"/>
    <w:rsid w:val="005C7FDE"/>
    <w:rsid w:val="005D0693"/>
    <w:rsid w:val="005D08D7"/>
    <w:rsid w:val="005D15EE"/>
    <w:rsid w:val="005D1618"/>
    <w:rsid w:val="005D28E3"/>
    <w:rsid w:val="005D3087"/>
    <w:rsid w:val="005D478E"/>
    <w:rsid w:val="005D5260"/>
    <w:rsid w:val="005D58CA"/>
    <w:rsid w:val="005D5AE1"/>
    <w:rsid w:val="005E00E8"/>
    <w:rsid w:val="005E3293"/>
    <w:rsid w:val="005E57C0"/>
    <w:rsid w:val="005E6E66"/>
    <w:rsid w:val="005E6F95"/>
    <w:rsid w:val="005E76C6"/>
    <w:rsid w:val="005F1DCA"/>
    <w:rsid w:val="005F62CA"/>
    <w:rsid w:val="005F67E3"/>
    <w:rsid w:val="005F6851"/>
    <w:rsid w:val="005F7922"/>
    <w:rsid w:val="00601155"/>
    <w:rsid w:val="006016AB"/>
    <w:rsid w:val="00602F41"/>
    <w:rsid w:val="006047F8"/>
    <w:rsid w:val="00604C63"/>
    <w:rsid w:val="006076B7"/>
    <w:rsid w:val="00611249"/>
    <w:rsid w:val="0061216D"/>
    <w:rsid w:val="00613482"/>
    <w:rsid w:val="00613DAC"/>
    <w:rsid w:val="006205F0"/>
    <w:rsid w:val="00622589"/>
    <w:rsid w:val="00622A4A"/>
    <w:rsid w:val="00624933"/>
    <w:rsid w:val="00624F0E"/>
    <w:rsid w:val="006254AF"/>
    <w:rsid w:val="006259FD"/>
    <w:rsid w:val="00630CFA"/>
    <w:rsid w:val="006355B8"/>
    <w:rsid w:val="006371C3"/>
    <w:rsid w:val="006378A0"/>
    <w:rsid w:val="00637E13"/>
    <w:rsid w:val="00641107"/>
    <w:rsid w:val="00647382"/>
    <w:rsid w:val="006473F0"/>
    <w:rsid w:val="00647895"/>
    <w:rsid w:val="006503C7"/>
    <w:rsid w:val="0065077A"/>
    <w:rsid w:val="006523E6"/>
    <w:rsid w:val="00652854"/>
    <w:rsid w:val="00654261"/>
    <w:rsid w:val="00654CD3"/>
    <w:rsid w:val="006555E8"/>
    <w:rsid w:val="00656BFD"/>
    <w:rsid w:val="00660C3C"/>
    <w:rsid w:val="00660FAC"/>
    <w:rsid w:val="006624D1"/>
    <w:rsid w:val="00663E11"/>
    <w:rsid w:val="00664822"/>
    <w:rsid w:val="006675D2"/>
    <w:rsid w:val="00670703"/>
    <w:rsid w:val="00672AAE"/>
    <w:rsid w:val="0067394C"/>
    <w:rsid w:val="00677A6F"/>
    <w:rsid w:val="00680AEB"/>
    <w:rsid w:val="0068240C"/>
    <w:rsid w:val="006831C2"/>
    <w:rsid w:val="00686450"/>
    <w:rsid w:val="00687E54"/>
    <w:rsid w:val="00690E15"/>
    <w:rsid w:val="006922FE"/>
    <w:rsid w:val="006924D5"/>
    <w:rsid w:val="006933E5"/>
    <w:rsid w:val="00693BB8"/>
    <w:rsid w:val="00693ED9"/>
    <w:rsid w:val="00694074"/>
    <w:rsid w:val="00696232"/>
    <w:rsid w:val="006A01B4"/>
    <w:rsid w:val="006A1632"/>
    <w:rsid w:val="006A3F26"/>
    <w:rsid w:val="006A46CF"/>
    <w:rsid w:val="006A48FF"/>
    <w:rsid w:val="006A58E2"/>
    <w:rsid w:val="006A60E6"/>
    <w:rsid w:val="006A6E7F"/>
    <w:rsid w:val="006A7117"/>
    <w:rsid w:val="006A7250"/>
    <w:rsid w:val="006B0590"/>
    <w:rsid w:val="006B3E4C"/>
    <w:rsid w:val="006B438B"/>
    <w:rsid w:val="006B61F8"/>
    <w:rsid w:val="006B7FB1"/>
    <w:rsid w:val="006C1512"/>
    <w:rsid w:val="006C1AE1"/>
    <w:rsid w:val="006C2BD8"/>
    <w:rsid w:val="006C36A9"/>
    <w:rsid w:val="006C41CF"/>
    <w:rsid w:val="006C497A"/>
    <w:rsid w:val="006C575D"/>
    <w:rsid w:val="006C5A1D"/>
    <w:rsid w:val="006D296B"/>
    <w:rsid w:val="006D4115"/>
    <w:rsid w:val="006D419B"/>
    <w:rsid w:val="006D4806"/>
    <w:rsid w:val="006E16F0"/>
    <w:rsid w:val="006E279F"/>
    <w:rsid w:val="006E2DDF"/>
    <w:rsid w:val="006E37A1"/>
    <w:rsid w:val="006E43D4"/>
    <w:rsid w:val="006E4BEF"/>
    <w:rsid w:val="006E61F6"/>
    <w:rsid w:val="006E7948"/>
    <w:rsid w:val="006F0005"/>
    <w:rsid w:val="006F0364"/>
    <w:rsid w:val="006F0FF8"/>
    <w:rsid w:val="006F1A73"/>
    <w:rsid w:val="00702F61"/>
    <w:rsid w:val="00703B1F"/>
    <w:rsid w:val="00704557"/>
    <w:rsid w:val="0070458B"/>
    <w:rsid w:val="007048F8"/>
    <w:rsid w:val="00706AE0"/>
    <w:rsid w:val="00706F87"/>
    <w:rsid w:val="00707124"/>
    <w:rsid w:val="007103D3"/>
    <w:rsid w:val="00710F21"/>
    <w:rsid w:val="007120A3"/>
    <w:rsid w:val="007124CF"/>
    <w:rsid w:val="00715172"/>
    <w:rsid w:val="00717C97"/>
    <w:rsid w:val="00723C0F"/>
    <w:rsid w:val="00724101"/>
    <w:rsid w:val="00724C9B"/>
    <w:rsid w:val="00726225"/>
    <w:rsid w:val="00727029"/>
    <w:rsid w:val="007279E2"/>
    <w:rsid w:val="00731467"/>
    <w:rsid w:val="00731FFE"/>
    <w:rsid w:val="00733628"/>
    <w:rsid w:val="0073448C"/>
    <w:rsid w:val="0073545A"/>
    <w:rsid w:val="00736DFC"/>
    <w:rsid w:val="00737FBF"/>
    <w:rsid w:val="0074066A"/>
    <w:rsid w:val="00740E6F"/>
    <w:rsid w:val="00741312"/>
    <w:rsid w:val="007426ED"/>
    <w:rsid w:val="00743379"/>
    <w:rsid w:val="00743AB1"/>
    <w:rsid w:val="00744003"/>
    <w:rsid w:val="00744838"/>
    <w:rsid w:val="0074690E"/>
    <w:rsid w:val="0074782E"/>
    <w:rsid w:val="00747B96"/>
    <w:rsid w:val="00750CA3"/>
    <w:rsid w:val="00752356"/>
    <w:rsid w:val="00754594"/>
    <w:rsid w:val="007558C3"/>
    <w:rsid w:val="00757FF3"/>
    <w:rsid w:val="0076202E"/>
    <w:rsid w:val="00764088"/>
    <w:rsid w:val="00764F8F"/>
    <w:rsid w:val="00767E4D"/>
    <w:rsid w:val="00770393"/>
    <w:rsid w:val="007735FF"/>
    <w:rsid w:val="0077550C"/>
    <w:rsid w:val="00776EE1"/>
    <w:rsid w:val="00777441"/>
    <w:rsid w:val="0078054E"/>
    <w:rsid w:val="007829E7"/>
    <w:rsid w:val="00784B64"/>
    <w:rsid w:val="00786278"/>
    <w:rsid w:val="00786566"/>
    <w:rsid w:val="0078746C"/>
    <w:rsid w:val="007901D7"/>
    <w:rsid w:val="007902F4"/>
    <w:rsid w:val="007955D0"/>
    <w:rsid w:val="0079621E"/>
    <w:rsid w:val="0079651D"/>
    <w:rsid w:val="00796A6D"/>
    <w:rsid w:val="00796D76"/>
    <w:rsid w:val="00797E13"/>
    <w:rsid w:val="007A1ED0"/>
    <w:rsid w:val="007A2470"/>
    <w:rsid w:val="007B0247"/>
    <w:rsid w:val="007B179B"/>
    <w:rsid w:val="007B4D2E"/>
    <w:rsid w:val="007C0DF7"/>
    <w:rsid w:val="007C252D"/>
    <w:rsid w:val="007C2B9D"/>
    <w:rsid w:val="007C32EE"/>
    <w:rsid w:val="007C3D0C"/>
    <w:rsid w:val="007C4DC3"/>
    <w:rsid w:val="007C6B81"/>
    <w:rsid w:val="007C6B92"/>
    <w:rsid w:val="007D282D"/>
    <w:rsid w:val="007D561C"/>
    <w:rsid w:val="007D5705"/>
    <w:rsid w:val="007D724A"/>
    <w:rsid w:val="007E070C"/>
    <w:rsid w:val="007E07DE"/>
    <w:rsid w:val="007E0A82"/>
    <w:rsid w:val="007E1A5E"/>
    <w:rsid w:val="007E21C5"/>
    <w:rsid w:val="007E2862"/>
    <w:rsid w:val="007E3BC4"/>
    <w:rsid w:val="007E4C05"/>
    <w:rsid w:val="007E53F0"/>
    <w:rsid w:val="007E574D"/>
    <w:rsid w:val="007E5A0D"/>
    <w:rsid w:val="007E63B8"/>
    <w:rsid w:val="007E69FE"/>
    <w:rsid w:val="007E7EB0"/>
    <w:rsid w:val="007F0420"/>
    <w:rsid w:val="007F20C5"/>
    <w:rsid w:val="007F3606"/>
    <w:rsid w:val="007F4AC8"/>
    <w:rsid w:val="007F65EF"/>
    <w:rsid w:val="0080030D"/>
    <w:rsid w:val="00801338"/>
    <w:rsid w:val="00802A67"/>
    <w:rsid w:val="00802B76"/>
    <w:rsid w:val="00803D8D"/>
    <w:rsid w:val="00806396"/>
    <w:rsid w:val="00814138"/>
    <w:rsid w:val="008146FA"/>
    <w:rsid w:val="00814825"/>
    <w:rsid w:val="008150E3"/>
    <w:rsid w:val="0081634E"/>
    <w:rsid w:val="00816D2B"/>
    <w:rsid w:val="00817F84"/>
    <w:rsid w:val="00820FFD"/>
    <w:rsid w:val="008221FC"/>
    <w:rsid w:val="0082294C"/>
    <w:rsid w:val="00822A0E"/>
    <w:rsid w:val="00822F28"/>
    <w:rsid w:val="00823703"/>
    <w:rsid w:val="00825E23"/>
    <w:rsid w:val="0083003C"/>
    <w:rsid w:val="00830356"/>
    <w:rsid w:val="008311BA"/>
    <w:rsid w:val="008318C9"/>
    <w:rsid w:val="00832DA4"/>
    <w:rsid w:val="008353DB"/>
    <w:rsid w:val="00842574"/>
    <w:rsid w:val="00844F24"/>
    <w:rsid w:val="00846C75"/>
    <w:rsid w:val="00847437"/>
    <w:rsid w:val="00847D13"/>
    <w:rsid w:val="00850854"/>
    <w:rsid w:val="00850FBC"/>
    <w:rsid w:val="008510E3"/>
    <w:rsid w:val="00851DA9"/>
    <w:rsid w:val="00852725"/>
    <w:rsid w:val="008529C6"/>
    <w:rsid w:val="00852EEB"/>
    <w:rsid w:val="008547F7"/>
    <w:rsid w:val="00854DE7"/>
    <w:rsid w:val="00854E84"/>
    <w:rsid w:val="00856878"/>
    <w:rsid w:val="00856933"/>
    <w:rsid w:val="00861570"/>
    <w:rsid w:val="008615A1"/>
    <w:rsid w:val="00863DB3"/>
    <w:rsid w:val="00865AA1"/>
    <w:rsid w:val="0086619E"/>
    <w:rsid w:val="00866A30"/>
    <w:rsid w:val="0086709F"/>
    <w:rsid w:val="008708AF"/>
    <w:rsid w:val="0087208A"/>
    <w:rsid w:val="00875347"/>
    <w:rsid w:val="00875377"/>
    <w:rsid w:val="008776A2"/>
    <w:rsid w:val="008800A7"/>
    <w:rsid w:val="00881261"/>
    <w:rsid w:val="0088166E"/>
    <w:rsid w:val="00881988"/>
    <w:rsid w:val="00883825"/>
    <w:rsid w:val="008853CA"/>
    <w:rsid w:val="00885445"/>
    <w:rsid w:val="00886B05"/>
    <w:rsid w:val="00887D40"/>
    <w:rsid w:val="00890456"/>
    <w:rsid w:val="00890FAD"/>
    <w:rsid w:val="00892026"/>
    <w:rsid w:val="008920BE"/>
    <w:rsid w:val="008933A8"/>
    <w:rsid w:val="00893827"/>
    <w:rsid w:val="008949F8"/>
    <w:rsid w:val="00895D82"/>
    <w:rsid w:val="00896E05"/>
    <w:rsid w:val="008A4C3F"/>
    <w:rsid w:val="008A57E3"/>
    <w:rsid w:val="008A5E36"/>
    <w:rsid w:val="008B06EB"/>
    <w:rsid w:val="008B2F7F"/>
    <w:rsid w:val="008B3A4C"/>
    <w:rsid w:val="008B426C"/>
    <w:rsid w:val="008B5124"/>
    <w:rsid w:val="008B55A9"/>
    <w:rsid w:val="008B564F"/>
    <w:rsid w:val="008B5C9D"/>
    <w:rsid w:val="008B74F6"/>
    <w:rsid w:val="008C0478"/>
    <w:rsid w:val="008C07C5"/>
    <w:rsid w:val="008C264B"/>
    <w:rsid w:val="008C32D7"/>
    <w:rsid w:val="008C3931"/>
    <w:rsid w:val="008D328C"/>
    <w:rsid w:val="008D46D1"/>
    <w:rsid w:val="008D7197"/>
    <w:rsid w:val="008E088C"/>
    <w:rsid w:val="008E0EF8"/>
    <w:rsid w:val="008E40EC"/>
    <w:rsid w:val="008E45CE"/>
    <w:rsid w:val="008E5F26"/>
    <w:rsid w:val="008E6686"/>
    <w:rsid w:val="008E6E29"/>
    <w:rsid w:val="008E7393"/>
    <w:rsid w:val="008F09D3"/>
    <w:rsid w:val="008F0B09"/>
    <w:rsid w:val="008F0C58"/>
    <w:rsid w:val="008F376A"/>
    <w:rsid w:val="008F37BF"/>
    <w:rsid w:val="008F3FA7"/>
    <w:rsid w:val="00902B7E"/>
    <w:rsid w:val="00903663"/>
    <w:rsid w:val="00904A14"/>
    <w:rsid w:val="00910425"/>
    <w:rsid w:val="00910909"/>
    <w:rsid w:val="00912595"/>
    <w:rsid w:val="00914079"/>
    <w:rsid w:val="00914B6A"/>
    <w:rsid w:val="00915B90"/>
    <w:rsid w:val="00917DF0"/>
    <w:rsid w:val="00921FED"/>
    <w:rsid w:val="00922851"/>
    <w:rsid w:val="0092359B"/>
    <w:rsid w:val="009240E5"/>
    <w:rsid w:val="00924452"/>
    <w:rsid w:val="00925E2A"/>
    <w:rsid w:val="00926160"/>
    <w:rsid w:val="00930A7A"/>
    <w:rsid w:val="00930BE4"/>
    <w:rsid w:val="00931055"/>
    <w:rsid w:val="009313F2"/>
    <w:rsid w:val="009331D2"/>
    <w:rsid w:val="00934365"/>
    <w:rsid w:val="00935FDD"/>
    <w:rsid w:val="00936564"/>
    <w:rsid w:val="00943B6E"/>
    <w:rsid w:val="00945520"/>
    <w:rsid w:val="009460CA"/>
    <w:rsid w:val="009521F1"/>
    <w:rsid w:val="00953109"/>
    <w:rsid w:val="00953597"/>
    <w:rsid w:val="00953BEE"/>
    <w:rsid w:val="00956955"/>
    <w:rsid w:val="00956D07"/>
    <w:rsid w:val="00956E5D"/>
    <w:rsid w:val="00957936"/>
    <w:rsid w:val="00960A3C"/>
    <w:rsid w:val="009614E2"/>
    <w:rsid w:val="00961A37"/>
    <w:rsid w:val="00962EAD"/>
    <w:rsid w:val="00963622"/>
    <w:rsid w:val="00965E55"/>
    <w:rsid w:val="00966511"/>
    <w:rsid w:val="00970EEE"/>
    <w:rsid w:val="00971666"/>
    <w:rsid w:val="009743E2"/>
    <w:rsid w:val="009754DF"/>
    <w:rsid w:val="00980B4F"/>
    <w:rsid w:val="0098474B"/>
    <w:rsid w:val="009857F3"/>
    <w:rsid w:val="00985ECB"/>
    <w:rsid w:val="00987AAB"/>
    <w:rsid w:val="009906B7"/>
    <w:rsid w:val="00991729"/>
    <w:rsid w:val="00991F6C"/>
    <w:rsid w:val="0099202F"/>
    <w:rsid w:val="009924F5"/>
    <w:rsid w:val="009933B1"/>
    <w:rsid w:val="00993DDC"/>
    <w:rsid w:val="009953F2"/>
    <w:rsid w:val="00997AB3"/>
    <w:rsid w:val="009A3942"/>
    <w:rsid w:val="009A3BBC"/>
    <w:rsid w:val="009A4720"/>
    <w:rsid w:val="009A49D2"/>
    <w:rsid w:val="009A7449"/>
    <w:rsid w:val="009B31DD"/>
    <w:rsid w:val="009B3806"/>
    <w:rsid w:val="009C0247"/>
    <w:rsid w:val="009C153C"/>
    <w:rsid w:val="009C1CE7"/>
    <w:rsid w:val="009C2C30"/>
    <w:rsid w:val="009C34BB"/>
    <w:rsid w:val="009C3C44"/>
    <w:rsid w:val="009C4BB6"/>
    <w:rsid w:val="009C7E0D"/>
    <w:rsid w:val="009D2050"/>
    <w:rsid w:val="009D2C73"/>
    <w:rsid w:val="009D58E2"/>
    <w:rsid w:val="009D73AA"/>
    <w:rsid w:val="009E1B31"/>
    <w:rsid w:val="009E4285"/>
    <w:rsid w:val="009E42F2"/>
    <w:rsid w:val="009E5C8A"/>
    <w:rsid w:val="009E5D16"/>
    <w:rsid w:val="009E7EDA"/>
    <w:rsid w:val="009F04F0"/>
    <w:rsid w:val="009F1503"/>
    <w:rsid w:val="009F474F"/>
    <w:rsid w:val="009F6A66"/>
    <w:rsid w:val="00A00F17"/>
    <w:rsid w:val="00A01818"/>
    <w:rsid w:val="00A03329"/>
    <w:rsid w:val="00A03607"/>
    <w:rsid w:val="00A0441E"/>
    <w:rsid w:val="00A04773"/>
    <w:rsid w:val="00A048DE"/>
    <w:rsid w:val="00A04B07"/>
    <w:rsid w:val="00A06F3A"/>
    <w:rsid w:val="00A06F8A"/>
    <w:rsid w:val="00A10023"/>
    <w:rsid w:val="00A108BA"/>
    <w:rsid w:val="00A116A0"/>
    <w:rsid w:val="00A1185A"/>
    <w:rsid w:val="00A11B7A"/>
    <w:rsid w:val="00A12DDB"/>
    <w:rsid w:val="00A133C8"/>
    <w:rsid w:val="00A153B2"/>
    <w:rsid w:val="00A21856"/>
    <w:rsid w:val="00A2532C"/>
    <w:rsid w:val="00A25527"/>
    <w:rsid w:val="00A261A6"/>
    <w:rsid w:val="00A26E66"/>
    <w:rsid w:val="00A27922"/>
    <w:rsid w:val="00A27DAF"/>
    <w:rsid w:val="00A301FD"/>
    <w:rsid w:val="00A30A81"/>
    <w:rsid w:val="00A30E93"/>
    <w:rsid w:val="00A31AC9"/>
    <w:rsid w:val="00A31D4B"/>
    <w:rsid w:val="00A34EAD"/>
    <w:rsid w:val="00A35C34"/>
    <w:rsid w:val="00A36D68"/>
    <w:rsid w:val="00A409CB"/>
    <w:rsid w:val="00A40ADB"/>
    <w:rsid w:val="00A468C9"/>
    <w:rsid w:val="00A47BCF"/>
    <w:rsid w:val="00A50948"/>
    <w:rsid w:val="00A519E5"/>
    <w:rsid w:val="00A5255A"/>
    <w:rsid w:val="00A54B06"/>
    <w:rsid w:val="00A54C9C"/>
    <w:rsid w:val="00A5579D"/>
    <w:rsid w:val="00A57450"/>
    <w:rsid w:val="00A611C5"/>
    <w:rsid w:val="00A61523"/>
    <w:rsid w:val="00A65770"/>
    <w:rsid w:val="00A7069B"/>
    <w:rsid w:val="00A707F9"/>
    <w:rsid w:val="00A7122D"/>
    <w:rsid w:val="00A71486"/>
    <w:rsid w:val="00A722B9"/>
    <w:rsid w:val="00A72618"/>
    <w:rsid w:val="00A7525C"/>
    <w:rsid w:val="00A76809"/>
    <w:rsid w:val="00A7718F"/>
    <w:rsid w:val="00A7753C"/>
    <w:rsid w:val="00A804CF"/>
    <w:rsid w:val="00A81EBD"/>
    <w:rsid w:val="00A8245F"/>
    <w:rsid w:val="00A829E7"/>
    <w:rsid w:val="00A86127"/>
    <w:rsid w:val="00A86EDA"/>
    <w:rsid w:val="00A87424"/>
    <w:rsid w:val="00A87BB0"/>
    <w:rsid w:val="00A93B0A"/>
    <w:rsid w:val="00A94A2B"/>
    <w:rsid w:val="00A95F96"/>
    <w:rsid w:val="00A96A57"/>
    <w:rsid w:val="00AA0BC3"/>
    <w:rsid w:val="00AA0C05"/>
    <w:rsid w:val="00AA0C82"/>
    <w:rsid w:val="00AA12D5"/>
    <w:rsid w:val="00AA29CF"/>
    <w:rsid w:val="00AA3C46"/>
    <w:rsid w:val="00AA4F5A"/>
    <w:rsid w:val="00AA5EA4"/>
    <w:rsid w:val="00AA623C"/>
    <w:rsid w:val="00AA6794"/>
    <w:rsid w:val="00AA6DAE"/>
    <w:rsid w:val="00AA71F8"/>
    <w:rsid w:val="00AA73A5"/>
    <w:rsid w:val="00AA785F"/>
    <w:rsid w:val="00AA7E1C"/>
    <w:rsid w:val="00AB0CA0"/>
    <w:rsid w:val="00AB3122"/>
    <w:rsid w:val="00AB3CE7"/>
    <w:rsid w:val="00AB3CF2"/>
    <w:rsid w:val="00AB3D48"/>
    <w:rsid w:val="00AB5DA3"/>
    <w:rsid w:val="00AB783D"/>
    <w:rsid w:val="00AC0040"/>
    <w:rsid w:val="00AC0E21"/>
    <w:rsid w:val="00AC3632"/>
    <w:rsid w:val="00AC4A0E"/>
    <w:rsid w:val="00AC4C04"/>
    <w:rsid w:val="00AC50AA"/>
    <w:rsid w:val="00AC5ADF"/>
    <w:rsid w:val="00AC6310"/>
    <w:rsid w:val="00AC7BE2"/>
    <w:rsid w:val="00AC7EEB"/>
    <w:rsid w:val="00AD04D8"/>
    <w:rsid w:val="00AD1689"/>
    <w:rsid w:val="00AD1D79"/>
    <w:rsid w:val="00AD478A"/>
    <w:rsid w:val="00AD52A9"/>
    <w:rsid w:val="00AD6AFD"/>
    <w:rsid w:val="00AD7100"/>
    <w:rsid w:val="00AE160B"/>
    <w:rsid w:val="00AE3198"/>
    <w:rsid w:val="00AE7FC5"/>
    <w:rsid w:val="00AF0CAC"/>
    <w:rsid w:val="00AF1FB8"/>
    <w:rsid w:val="00AF3078"/>
    <w:rsid w:val="00AF3187"/>
    <w:rsid w:val="00AF47C2"/>
    <w:rsid w:val="00AF5BDA"/>
    <w:rsid w:val="00B0131F"/>
    <w:rsid w:val="00B01C83"/>
    <w:rsid w:val="00B02F85"/>
    <w:rsid w:val="00B03149"/>
    <w:rsid w:val="00B032AA"/>
    <w:rsid w:val="00B035E5"/>
    <w:rsid w:val="00B0388A"/>
    <w:rsid w:val="00B03CF4"/>
    <w:rsid w:val="00B0414D"/>
    <w:rsid w:val="00B04B61"/>
    <w:rsid w:val="00B062FC"/>
    <w:rsid w:val="00B06A7A"/>
    <w:rsid w:val="00B07BA4"/>
    <w:rsid w:val="00B148B4"/>
    <w:rsid w:val="00B17E01"/>
    <w:rsid w:val="00B2157E"/>
    <w:rsid w:val="00B21BA4"/>
    <w:rsid w:val="00B21C75"/>
    <w:rsid w:val="00B2235E"/>
    <w:rsid w:val="00B22C57"/>
    <w:rsid w:val="00B23257"/>
    <w:rsid w:val="00B236E7"/>
    <w:rsid w:val="00B24953"/>
    <w:rsid w:val="00B249C4"/>
    <w:rsid w:val="00B2713D"/>
    <w:rsid w:val="00B3126F"/>
    <w:rsid w:val="00B31F5D"/>
    <w:rsid w:val="00B355FF"/>
    <w:rsid w:val="00B3617E"/>
    <w:rsid w:val="00B3633A"/>
    <w:rsid w:val="00B4147F"/>
    <w:rsid w:val="00B42B6E"/>
    <w:rsid w:val="00B4315C"/>
    <w:rsid w:val="00B4407C"/>
    <w:rsid w:val="00B44804"/>
    <w:rsid w:val="00B462E5"/>
    <w:rsid w:val="00B47BAE"/>
    <w:rsid w:val="00B5050E"/>
    <w:rsid w:val="00B511EF"/>
    <w:rsid w:val="00B520B4"/>
    <w:rsid w:val="00B52A0E"/>
    <w:rsid w:val="00B52BEC"/>
    <w:rsid w:val="00B56620"/>
    <w:rsid w:val="00B57C2B"/>
    <w:rsid w:val="00B653B0"/>
    <w:rsid w:val="00B65C7F"/>
    <w:rsid w:val="00B7117B"/>
    <w:rsid w:val="00B71DB8"/>
    <w:rsid w:val="00B758B1"/>
    <w:rsid w:val="00B76AB6"/>
    <w:rsid w:val="00B76E1C"/>
    <w:rsid w:val="00B772B4"/>
    <w:rsid w:val="00B80136"/>
    <w:rsid w:val="00B80192"/>
    <w:rsid w:val="00B80ABD"/>
    <w:rsid w:val="00B849F1"/>
    <w:rsid w:val="00B91F86"/>
    <w:rsid w:val="00B936A9"/>
    <w:rsid w:val="00B9438F"/>
    <w:rsid w:val="00B94AC5"/>
    <w:rsid w:val="00B95E0B"/>
    <w:rsid w:val="00BA0C8B"/>
    <w:rsid w:val="00BA3E1D"/>
    <w:rsid w:val="00BA590B"/>
    <w:rsid w:val="00BA6B3E"/>
    <w:rsid w:val="00BA7492"/>
    <w:rsid w:val="00BA7DB9"/>
    <w:rsid w:val="00BA7E68"/>
    <w:rsid w:val="00BB1552"/>
    <w:rsid w:val="00BB4C74"/>
    <w:rsid w:val="00BB5812"/>
    <w:rsid w:val="00BB7368"/>
    <w:rsid w:val="00BB7A46"/>
    <w:rsid w:val="00BB7A6F"/>
    <w:rsid w:val="00BC0B2A"/>
    <w:rsid w:val="00BC27D1"/>
    <w:rsid w:val="00BC29B8"/>
    <w:rsid w:val="00BC5895"/>
    <w:rsid w:val="00BC697A"/>
    <w:rsid w:val="00BC7A48"/>
    <w:rsid w:val="00BD042C"/>
    <w:rsid w:val="00BD04C9"/>
    <w:rsid w:val="00BD09EE"/>
    <w:rsid w:val="00BD1299"/>
    <w:rsid w:val="00BD175B"/>
    <w:rsid w:val="00BD191A"/>
    <w:rsid w:val="00BD2120"/>
    <w:rsid w:val="00BD2F81"/>
    <w:rsid w:val="00BD55DB"/>
    <w:rsid w:val="00BD6E77"/>
    <w:rsid w:val="00BE3276"/>
    <w:rsid w:val="00BE37D1"/>
    <w:rsid w:val="00BE5052"/>
    <w:rsid w:val="00BE5132"/>
    <w:rsid w:val="00BE71CB"/>
    <w:rsid w:val="00BF01A1"/>
    <w:rsid w:val="00BF1B68"/>
    <w:rsid w:val="00BF1F1F"/>
    <w:rsid w:val="00BF33A9"/>
    <w:rsid w:val="00BF48FA"/>
    <w:rsid w:val="00BF5A88"/>
    <w:rsid w:val="00BF5EA9"/>
    <w:rsid w:val="00BF69C6"/>
    <w:rsid w:val="00BF79B1"/>
    <w:rsid w:val="00C0190F"/>
    <w:rsid w:val="00C02523"/>
    <w:rsid w:val="00C03D31"/>
    <w:rsid w:val="00C04D92"/>
    <w:rsid w:val="00C05BF3"/>
    <w:rsid w:val="00C07204"/>
    <w:rsid w:val="00C07A6C"/>
    <w:rsid w:val="00C07D00"/>
    <w:rsid w:val="00C11C42"/>
    <w:rsid w:val="00C12C0A"/>
    <w:rsid w:val="00C13BED"/>
    <w:rsid w:val="00C14FFD"/>
    <w:rsid w:val="00C17DE3"/>
    <w:rsid w:val="00C209B1"/>
    <w:rsid w:val="00C210D2"/>
    <w:rsid w:val="00C219BA"/>
    <w:rsid w:val="00C2644A"/>
    <w:rsid w:val="00C2664F"/>
    <w:rsid w:val="00C2704F"/>
    <w:rsid w:val="00C2787B"/>
    <w:rsid w:val="00C306C6"/>
    <w:rsid w:val="00C31E01"/>
    <w:rsid w:val="00C3338E"/>
    <w:rsid w:val="00C370E6"/>
    <w:rsid w:val="00C40022"/>
    <w:rsid w:val="00C41A8E"/>
    <w:rsid w:val="00C41EB3"/>
    <w:rsid w:val="00C4231F"/>
    <w:rsid w:val="00C4274C"/>
    <w:rsid w:val="00C4510E"/>
    <w:rsid w:val="00C455B5"/>
    <w:rsid w:val="00C455CB"/>
    <w:rsid w:val="00C46509"/>
    <w:rsid w:val="00C46576"/>
    <w:rsid w:val="00C505C2"/>
    <w:rsid w:val="00C512D7"/>
    <w:rsid w:val="00C5328A"/>
    <w:rsid w:val="00C54225"/>
    <w:rsid w:val="00C5453E"/>
    <w:rsid w:val="00C57B01"/>
    <w:rsid w:val="00C64FA2"/>
    <w:rsid w:val="00C6589D"/>
    <w:rsid w:val="00C6657B"/>
    <w:rsid w:val="00C722C1"/>
    <w:rsid w:val="00C74268"/>
    <w:rsid w:val="00C768AE"/>
    <w:rsid w:val="00C8019E"/>
    <w:rsid w:val="00C81394"/>
    <w:rsid w:val="00C8141A"/>
    <w:rsid w:val="00C819C1"/>
    <w:rsid w:val="00C82177"/>
    <w:rsid w:val="00C8244F"/>
    <w:rsid w:val="00C87310"/>
    <w:rsid w:val="00C9052F"/>
    <w:rsid w:val="00C93650"/>
    <w:rsid w:val="00C93780"/>
    <w:rsid w:val="00C95CDD"/>
    <w:rsid w:val="00C97DE0"/>
    <w:rsid w:val="00CA0A32"/>
    <w:rsid w:val="00CA3000"/>
    <w:rsid w:val="00CA3A3B"/>
    <w:rsid w:val="00CA3F2F"/>
    <w:rsid w:val="00CA5EE9"/>
    <w:rsid w:val="00CB2FBD"/>
    <w:rsid w:val="00CB44D4"/>
    <w:rsid w:val="00CB7775"/>
    <w:rsid w:val="00CC0E35"/>
    <w:rsid w:val="00CC260F"/>
    <w:rsid w:val="00CC55DD"/>
    <w:rsid w:val="00CC60A4"/>
    <w:rsid w:val="00CD0A2F"/>
    <w:rsid w:val="00CD5EEE"/>
    <w:rsid w:val="00CD69C4"/>
    <w:rsid w:val="00CE027E"/>
    <w:rsid w:val="00CE2C42"/>
    <w:rsid w:val="00CE3073"/>
    <w:rsid w:val="00CE417E"/>
    <w:rsid w:val="00CE4479"/>
    <w:rsid w:val="00CE45E0"/>
    <w:rsid w:val="00CE6681"/>
    <w:rsid w:val="00CE71B7"/>
    <w:rsid w:val="00CE731F"/>
    <w:rsid w:val="00CE76C1"/>
    <w:rsid w:val="00CF06C3"/>
    <w:rsid w:val="00CF1735"/>
    <w:rsid w:val="00CF529D"/>
    <w:rsid w:val="00CF5836"/>
    <w:rsid w:val="00CF5E59"/>
    <w:rsid w:val="00CF67E3"/>
    <w:rsid w:val="00CF7F81"/>
    <w:rsid w:val="00D0066A"/>
    <w:rsid w:val="00D01826"/>
    <w:rsid w:val="00D07811"/>
    <w:rsid w:val="00D07EDE"/>
    <w:rsid w:val="00D12814"/>
    <w:rsid w:val="00D13CBA"/>
    <w:rsid w:val="00D14B20"/>
    <w:rsid w:val="00D152AA"/>
    <w:rsid w:val="00D15487"/>
    <w:rsid w:val="00D15846"/>
    <w:rsid w:val="00D16180"/>
    <w:rsid w:val="00D161C4"/>
    <w:rsid w:val="00D177D6"/>
    <w:rsid w:val="00D214F1"/>
    <w:rsid w:val="00D22457"/>
    <w:rsid w:val="00D22830"/>
    <w:rsid w:val="00D2495B"/>
    <w:rsid w:val="00D2566E"/>
    <w:rsid w:val="00D30B01"/>
    <w:rsid w:val="00D30FC2"/>
    <w:rsid w:val="00D35572"/>
    <w:rsid w:val="00D35717"/>
    <w:rsid w:val="00D37E8F"/>
    <w:rsid w:val="00D41BBC"/>
    <w:rsid w:val="00D44E69"/>
    <w:rsid w:val="00D50D23"/>
    <w:rsid w:val="00D518C0"/>
    <w:rsid w:val="00D55089"/>
    <w:rsid w:val="00D567AE"/>
    <w:rsid w:val="00D624F5"/>
    <w:rsid w:val="00D63FAC"/>
    <w:rsid w:val="00D66BBB"/>
    <w:rsid w:val="00D66DE3"/>
    <w:rsid w:val="00D72881"/>
    <w:rsid w:val="00D73F52"/>
    <w:rsid w:val="00D746C3"/>
    <w:rsid w:val="00D753A9"/>
    <w:rsid w:val="00D77763"/>
    <w:rsid w:val="00D8019C"/>
    <w:rsid w:val="00D8048D"/>
    <w:rsid w:val="00D8309D"/>
    <w:rsid w:val="00D8570B"/>
    <w:rsid w:val="00D86544"/>
    <w:rsid w:val="00D91355"/>
    <w:rsid w:val="00D91CFE"/>
    <w:rsid w:val="00D92ABC"/>
    <w:rsid w:val="00D95D45"/>
    <w:rsid w:val="00DA2181"/>
    <w:rsid w:val="00DA37DE"/>
    <w:rsid w:val="00DA4F23"/>
    <w:rsid w:val="00DA52E9"/>
    <w:rsid w:val="00DA59A6"/>
    <w:rsid w:val="00DA606E"/>
    <w:rsid w:val="00DA77F5"/>
    <w:rsid w:val="00DB283F"/>
    <w:rsid w:val="00DB2FC9"/>
    <w:rsid w:val="00DB5577"/>
    <w:rsid w:val="00DB5EA8"/>
    <w:rsid w:val="00DB743F"/>
    <w:rsid w:val="00DC020B"/>
    <w:rsid w:val="00DC10AF"/>
    <w:rsid w:val="00DC1DFE"/>
    <w:rsid w:val="00DC2BDE"/>
    <w:rsid w:val="00DC3997"/>
    <w:rsid w:val="00DC3C63"/>
    <w:rsid w:val="00DC794F"/>
    <w:rsid w:val="00DD564D"/>
    <w:rsid w:val="00DD6A28"/>
    <w:rsid w:val="00DE3357"/>
    <w:rsid w:val="00DE3DD5"/>
    <w:rsid w:val="00DE58F3"/>
    <w:rsid w:val="00DE5FC2"/>
    <w:rsid w:val="00DF1528"/>
    <w:rsid w:val="00DF1D02"/>
    <w:rsid w:val="00DF33DC"/>
    <w:rsid w:val="00DF641E"/>
    <w:rsid w:val="00DF79E2"/>
    <w:rsid w:val="00E001FB"/>
    <w:rsid w:val="00E10835"/>
    <w:rsid w:val="00E15E41"/>
    <w:rsid w:val="00E1720F"/>
    <w:rsid w:val="00E17542"/>
    <w:rsid w:val="00E20492"/>
    <w:rsid w:val="00E204DE"/>
    <w:rsid w:val="00E2367E"/>
    <w:rsid w:val="00E25334"/>
    <w:rsid w:val="00E30AFD"/>
    <w:rsid w:val="00E31DB4"/>
    <w:rsid w:val="00E3536B"/>
    <w:rsid w:val="00E35A14"/>
    <w:rsid w:val="00E36121"/>
    <w:rsid w:val="00E41B4A"/>
    <w:rsid w:val="00E41BF0"/>
    <w:rsid w:val="00E4415B"/>
    <w:rsid w:val="00E4544B"/>
    <w:rsid w:val="00E46122"/>
    <w:rsid w:val="00E478BD"/>
    <w:rsid w:val="00E500D2"/>
    <w:rsid w:val="00E50755"/>
    <w:rsid w:val="00E5083E"/>
    <w:rsid w:val="00E50859"/>
    <w:rsid w:val="00E52BF5"/>
    <w:rsid w:val="00E546E7"/>
    <w:rsid w:val="00E569DF"/>
    <w:rsid w:val="00E5708D"/>
    <w:rsid w:val="00E622CE"/>
    <w:rsid w:val="00E6264C"/>
    <w:rsid w:val="00E63F3B"/>
    <w:rsid w:val="00E66F2A"/>
    <w:rsid w:val="00E71E9A"/>
    <w:rsid w:val="00E72A69"/>
    <w:rsid w:val="00E75305"/>
    <w:rsid w:val="00E75406"/>
    <w:rsid w:val="00E765F1"/>
    <w:rsid w:val="00E7669F"/>
    <w:rsid w:val="00E77AC3"/>
    <w:rsid w:val="00E81E0D"/>
    <w:rsid w:val="00E825C5"/>
    <w:rsid w:val="00E83216"/>
    <w:rsid w:val="00E83304"/>
    <w:rsid w:val="00E86E97"/>
    <w:rsid w:val="00E875C8"/>
    <w:rsid w:val="00E90389"/>
    <w:rsid w:val="00E9073B"/>
    <w:rsid w:val="00E9130E"/>
    <w:rsid w:val="00E929A7"/>
    <w:rsid w:val="00E9358E"/>
    <w:rsid w:val="00E9394D"/>
    <w:rsid w:val="00E95705"/>
    <w:rsid w:val="00E97137"/>
    <w:rsid w:val="00E97318"/>
    <w:rsid w:val="00EA0438"/>
    <w:rsid w:val="00EA27D7"/>
    <w:rsid w:val="00EA3C18"/>
    <w:rsid w:val="00EA43BB"/>
    <w:rsid w:val="00EA4E55"/>
    <w:rsid w:val="00EA5865"/>
    <w:rsid w:val="00EA62FE"/>
    <w:rsid w:val="00EA65EB"/>
    <w:rsid w:val="00EB1717"/>
    <w:rsid w:val="00EB3602"/>
    <w:rsid w:val="00EB5366"/>
    <w:rsid w:val="00EB6884"/>
    <w:rsid w:val="00EB715E"/>
    <w:rsid w:val="00EC06E3"/>
    <w:rsid w:val="00EC1CD3"/>
    <w:rsid w:val="00EC1F60"/>
    <w:rsid w:val="00EC24E4"/>
    <w:rsid w:val="00EC4E38"/>
    <w:rsid w:val="00EC5472"/>
    <w:rsid w:val="00ED0422"/>
    <w:rsid w:val="00ED26C2"/>
    <w:rsid w:val="00ED304F"/>
    <w:rsid w:val="00ED3314"/>
    <w:rsid w:val="00ED549C"/>
    <w:rsid w:val="00ED6C24"/>
    <w:rsid w:val="00ED7048"/>
    <w:rsid w:val="00EE24F0"/>
    <w:rsid w:val="00EE2E24"/>
    <w:rsid w:val="00EE43DA"/>
    <w:rsid w:val="00EE5B6C"/>
    <w:rsid w:val="00EE6FBA"/>
    <w:rsid w:val="00EE78CA"/>
    <w:rsid w:val="00EF05D4"/>
    <w:rsid w:val="00EF2429"/>
    <w:rsid w:val="00F00A5D"/>
    <w:rsid w:val="00F016AA"/>
    <w:rsid w:val="00F01CD6"/>
    <w:rsid w:val="00F04AC1"/>
    <w:rsid w:val="00F05F2E"/>
    <w:rsid w:val="00F073E8"/>
    <w:rsid w:val="00F07445"/>
    <w:rsid w:val="00F07C51"/>
    <w:rsid w:val="00F1072C"/>
    <w:rsid w:val="00F14695"/>
    <w:rsid w:val="00F14A05"/>
    <w:rsid w:val="00F178AB"/>
    <w:rsid w:val="00F225A0"/>
    <w:rsid w:val="00F23DD0"/>
    <w:rsid w:val="00F24576"/>
    <w:rsid w:val="00F26484"/>
    <w:rsid w:val="00F267C0"/>
    <w:rsid w:val="00F3146D"/>
    <w:rsid w:val="00F34953"/>
    <w:rsid w:val="00F35DD6"/>
    <w:rsid w:val="00F35F8A"/>
    <w:rsid w:val="00F37B9A"/>
    <w:rsid w:val="00F4068C"/>
    <w:rsid w:val="00F40C4E"/>
    <w:rsid w:val="00F440A5"/>
    <w:rsid w:val="00F45066"/>
    <w:rsid w:val="00F468AC"/>
    <w:rsid w:val="00F50778"/>
    <w:rsid w:val="00F5115F"/>
    <w:rsid w:val="00F52CFD"/>
    <w:rsid w:val="00F53F1D"/>
    <w:rsid w:val="00F543AE"/>
    <w:rsid w:val="00F54B7D"/>
    <w:rsid w:val="00F5540B"/>
    <w:rsid w:val="00F55C6E"/>
    <w:rsid w:val="00F55EC3"/>
    <w:rsid w:val="00F57543"/>
    <w:rsid w:val="00F61320"/>
    <w:rsid w:val="00F61F11"/>
    <w:rsid w:val="00F62A4D"/>
    <w:rsid w:val="00F64FCE"/>
    <w:rsid w:val="00F65EF5"/>
    <w:rsid w:val="00F66289"/>
    <w:rsid w:val="00F66565"/>
    <w:rsid w:val="00F66739"/>
    <w:rsid w:val="00F67BB0"/>
    <w:rsid w:val="00F70C0A"/>
    <w:rsid w:val="00F722F4"/>
    <w:rsid w:val="00F72F80"/>
    <w:rsid w:val="00F741C3"/>
    <w:rsid w:val="00F74E2F"/>
    <w:rsid w:val="00F75D05"/>
    <w:rsid w:val="00F7689F"/>
    <w:rsid w:val="00F77DAD"/>
    <w:rsid w:val="00F82D10"/>
    <w:rsid w:val="00F86DC9"/>
    <w:rsid w:val="00F9066F"/>
    <w:rsid w:val="00F91E17"/>
    <w:rsid w:val="00F96830"/>
    <w:rsid w:val="00F979DA"/>
    <w:rsid w:val="00FA1077"/>
    <w:rsid w:val="00FA10BE"/>
    <w:rsid w:val="00FA12BB"/>
    <w:rsid w:val="00FA33FA"/>
    <w:rsid w:val="00FA38E9"/>
    <w:rsid w:val="00FA44B4"/>
    <w:rsid w:val="00FA4516"/>
    <w:rsid w:val="00FA4E9A"/>
    <w:rsid w:val="00FA58CE"/>
    <w:rsid w:val="00FA7237"/>
    <w:rsid w:val="00FA78CC"/>
    <w:rsid w:val="00FB0FF0"/>
    <w:rsid w:val="00FB3968"/>
    <w:rsid w:val="00FB3D71"/>
    <w:rsid w:val="00FB407F"/>
    <w:rsid w:val="00FB4186"/>
    <w:rsid w:val="00FB7709"/>
    <w:rsid w:val="00FB793A"/>
    <w:rsid w:val="00FC242A"/>
    <w:rsid w:val="00FC2E8B"/>
    <w:rsid w:val="00FC4FC9"/>
    <w:rsid w:val="00FD0271"/>
    <w:rsid w:val="00FD2B66"/>
    <w:rsid w:val="00FD3A04"/>
    <w:rsid w:val="00FD6BAB"/>
    <w:rsid w:val="00FD7AEE"/>
    <w:rsid w:val="00FE1DD4"/>
    <w:rsid w:val="00FE261D"/>
    <w:rsid w:val="00FE4D82"/>
    <w:rsid w:val="00FE65B0"/>
    <w:rsid w:val="00FE65CC"/>
    <w:rsid w:val="00FE671A"/>
    <w:rsid w:val="00FE7381"/>
    <w:rsid w:val="00FE78B0"/>
    <w:rsid w:val="00FF0B1A"/>
    <w:rsid w:val="00FF4F7D"/>
    <w:rsid w:val="00FF5696"/>
    <w:rsid w:val="07240258"/>
    <w:rsid w:val="59F80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semiHidden="0" w:name="toc 3"/>
    <w:lsdException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uiPriority="1" w:name="Default Paragraph Font"/>
    <w:lsdException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8"/>
      <w:szCs w:val="22"/>
      <w:lang w:val="en-US" w:eastAsia="zh-CN" w:bidi="ar-SA"/>
    </w:rPr>
  </w:style>
  <w:style w:type="paragraph" w:styleId="2">
    <w:name w:val="heading 1"/>
    <w:basedOn w:val="1"/>
    <w:next w:val="1"/>
    <w:link w:val="36"/>
    <w:qFormat/>
    <w:uiPriority w:val="9"/>
    <w:pPr>
      <w:numPr>
        <w:ilvl w:val="0"/>
        <w:numId w:val="1"/>
      </w:numPr>
      <w:spacing w:after="50" w:afterLines="50" w:line="240" w:lineRule="auto"/>
      <w:ind w:firstLineChars="0"/>
      <w:outlineLvl w:val="0"/>
    </w:pPr>
    <w:rPr>
      <w:rFonts w:eastAsia="黑体"/>
      <w:b/>
      <w:bCs/>
      <w:kern w:val="44"/>
      <w:sz w:val="44"/>
      <w:szCs w:val="44"/>
    </w:rPr>
  </w:style>
  <w:style w:type="paragraph" w:styleId="3">
    <w:name w:val="heading 2"/>
    <w:basedOn w:val="1"/>
    <w:next w:val="1"/>
    <w:link w:val="29"/>
    <w:unhideWhenUsed/>
    <w:qFormat/>
    <w:uiPriority w:val="9"/>
    <w:pPr>
      <w:numPr>
        <w:ilvl w:val="1"/>
        <w:numId w:val="1"/>
      </w:numPr>
      <w:spacing w:before="381" w:beforeLines="100" w:line="240" w:lineRule="auto"/>
      <w:ind w:firstLineChars="0"/>
      <w:outlineLvl w:val="1"/>
    </w:pPr>
    <w:rPr>
      <w:rFonts w:eastAsia="黑体" w:cstheme="majorBidi"/>
      <w:b/>
      <w:bCs/>
      <w:kern w:val="44"/>
      <w:sz w:val="36"/>
      <w:szCs w:val="32"/>
    </w:rPr>
  </w:style>
  <w:style w:type="paragraph" w:styleId="4">
    <w:name w:val="heading 3"/>
    <w:basedOn w:val="3"/>
    <w:next w:val="1"/>
    <w:link w:val="37"/>
    <w:unhideWhenUsed/>
    <w:qFormat/>
    <w:uiPriority w:val="9"/>
    <w:pPr>
      <w:numPr>
        <w:ilvl w:val="2"/>
      </w:numPr>
      <w:outlineLvl w:val="2"/>
    </w:pPr>
    <w:rPr>
      <w:bCs w:val="0"/>
    </w:rPr>
  </w:style>
  <w:style w:type="paragraph" w:styleId="5">
    <w:name w:val="heading 4"/>
    <w:basedOn w:val="4"/>
    <w:next w:val="1"/>
    <w:link w:val="41"/>
    <w:unhideWhenUsed/>
    <w:qFormat/>
    <w:uiPriority w:val="9"/>
    <w:pPr>
      <w:numPr>
        <w:ilvl w:val="3"/>
      </w:numPr>
      <w:spacing w:before="50" w:beforeLines="50"/>
      <w:outlineLvl w:val="3"/>
    </w:pPr>
    <w:rPr>
      <w:bCs/>
      <w:sz w:val="32"/>
      <w:szCs w:val="28"/>
    </w:rPr>
  </w:style>
  <w:style w:type="paragraph" w:styleId="6">
    <w:name w:val="heading 5"/>
    <w:basedOn w:val="5"/>
    <w:next w:val="1"/>
    <w:link w:val="23"/>
    <w:unhideWhenUsed/>
    <w:qFormat/>
    <w:uiPriority w:val="9"/>
    <w:pPr>
      <w:numPr>
        <w:ilvl w:val="4"/>
      </w:numPr>
      <w:outlineLvl w:val="4"/>
    </w:pPr>
    <w:rPr>
      <w:b w:val="0"/>
      <w:bCs w:val="0"/>
    </w:rPr>
  </w:style>
  <w:style w:type="paragraph" w:styleId="7">
    <w:name w:val="heading 6"/>
    <w:basedOn w:val="6"/>
    <w:next w:val="1"/>
    <w:link w:val="25"/>
    <w:unhideWhenUsed/>
    <w:qFormat/>
    <w:uiPriority w:val="9"/>
    <w:pPr>
      <w:numPr>
        <w:ilvl w:val="5"/>
      </w:numPr>
      <w:outlineLvl w:val="5"/>
    </w:pPr>
    <w:rPr>
      <w:bCs/>
      <w:sz w:val="30"/>
      <w:szCs w:val="24"/>
    </w:rPr>
  </w:style>
  <w:style w:type="paragraph" w:styleId="8">
    <w:name w:val="heading 7"/>
    <w:basedOn w:val="7"/>
    <w:next w:val="1"/>
    <w:link w:val="27"/>
    <w:unhideWhenUsed/>
    <w:qFormat/>
    <w:uiPriority w:val="9"/>
    <w:pPr>
      <w:numPr>
        <w:ilvl w:val="6"/>
      </w:numPr>
      <w:outlineLvl w:val="6"/>
    </w:pPr>
    <w:rPr>
      <w:bCs w:val="0"/>
    </w:rPr>
  </w:style>
  <w:style w:type="paragraph" w:styleId="9">
    <w:name w:val="heading 8"/>
    <w:basedOn w:val="8"/>
    <w:next w:val="1"/>
    <w:link w:val="30"/>
    <w:unhideWhenUsed/>
    <w:qFormat/>
    <w:uiPriority w:val="9"/>
    <w:pPr>
      <w:numPr>
        <w:ilvl w:val="7"/>
      </w:numPr>
      <w:spacing w:before="0" w:beforeLines="0"/>
      <w:outlineLvl w:val="7"/>
    </w:pPr>
    <w:rPr>
      <w:sz w:val="28"/>
    </w:rPr>
  </w:style>
  <w:style w:type="paragraph" w:styleId="10">
    <w:name w:val="heading 9"/>
    <w:basedOn w:val="9"/>
    <w:next w:val="1"/>
    <w:link w:val="31"/>
    <w:unhideWhenUsed/>
    <w:qFormat/>
    <w:uiPriority w:val="9"/>
    <w:pPr>
      <w:numPr>
        <w:ilvl w:val="8"/>
      </w:numPr>
      <w:outlineLvl w:val="8"/>
    </w:pPr>
    <w:rPr>
      <w:szCs w:val="21"/>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before="50" w:beforeLines="50" w:after="50" w:afterLines="50" w:line="240" w:lineRule="auto"/>
      <w:ind w:firstLine="0" w:firstLineChars="0"/>
      <w:jc w:val="center"/>
    </w:pPr>
    <w:rPr>
      <w:rFonts w:eastAsia="黑体" w:cstheme="majorBidi"/>
      <w:sz w:val="24"/>
      <w:szCs w:val="20"/>
    </w:rPr>
  </w:style>
  <w:style w:type="paragraph" w:styleId="12">
    <w:name w:val="toc 3"/>
    <w:basedOn w:val="1"/>
    <w:next w:val="1"/>
    <w:autoRedefine/>
    <w:unhideWhenUsed/>
    <w:uiPriority w:val="39"/>
    <w:pPr>
      <w:tabs>
        <w:tab w:val="right" w:leader="dot" w:pos="8210"/>
      </w:tabs>
      <w:spacing w:line="240" w:lineRule="auto"/>
      <w:ind w:left="560" w:leftChars="200" w:firstLine="0" w:firstLineChars="0"/>
    </w:pPr>
    <w:rPr>
      <w:sz w:val="21"/>
    </w:rPr>
  </w:style>
  <w:style w:type="paragraph" w:styleId="13">
    <w:name w:val="footer"/>
    <w:basedOn w:val="1"/>
    <w:link w:val="32"/>
    <w:unhideWhenUsed/>
    <w:uiPriority w:val="99"/>
    <w:pPr>
      <w:tabs>
        <w:tab w:val="center" w:pos="4153"/>
        <w:tab w:val="right" w:pos="8306"/>
      </w:tabs>
      <w:snapToGrid w:val="0"/>
      <w:spacing w:line="240" w:lineRule="auto"/>
      <w:jc w:val="left"/>
    </w:pPr>
    <w:rPr>
      <w:sz w:val="18"/>
      <w:szCs w:val="18"/>
    </w:rPr>
  </w:style>
  <w:style w:type="paragraph" w:styleId="14">
    <w:name w:val="header"/>
    <w:basedOn w:val="1"/>
    <w:link w:val="33"/>
    <w:unhideWhenUsed/>
    <w:uiPriority w:val="99"/>
    <w:pPr>
      <w:tabs>
        <w:tab w:val="center" w:pos="4153"/>
        <w:tab w:val="right" w:pos="8306"/>
      </w:tabs>
      <w:snapToGrid w:val="0"/>
      <w:spacing w:line="240" w:lineRule="auto"/>
      <w:jc w:val="center"/>
    </w:pPr>
    <w:rPr>
      <w:sz w:val="18"/>
      <w:szCs w:val="18"/>
    </w:rPr>
  </w:style>
  <w:style w:type="paragraph" w:styleId="15">
    <w:name w:val="toc 1"/>
    <w:basedOn w:val="1"/>
    <w:next w:val="1"/>
    <w:autoRedefine/>
    <w:unhideWhenUsed/>
    <w:uiPriority w:val="39"/>
    <w:pPr>
      <w:spacing w:line="240" w:lineRule="auto"/>
      <w:ind w:firstLine="0" w:firstLineChars="0"/>
    </w:pPr>
    <w:rPr>
      <w:sz w:val="21"/>
    </w:rPr>
  </w:style>
  <w:style w:type="paragraph" w:styleId="16">
    <w:name w:val="table of figures"/>
    <w:basedOn w:val="1"/>
    <w:next w:val="1"/>
    <w:unhideWhenUsed/>
    <w:qFormat/>
    <w:uiPriority w:val="99"/>
    <w:pPr>
      <w:spacing w:line="240" w:lineRule="auto"/>
      <w:ind w:firstLine="0" w:firstLineChars="0"/>
    </w:pPr>
  </w:style>
  <w:style w:type="paragraph" w:styleId="17">
    <w:name w:val="toc 2"/>
    <w:basedOn w:val="1"/>
    <w:next w:val="1"/>
    <w:autoRedefine/>
    <w:unhideWhenUsed/>
    <w:qFormat/>
    <w:uiPriority w:val="39"/>
    <w:pPr>
      <w:spacing w:line="240" w:lineRule="auto"/>
      <w:ind w:left="100" w:leftChars="100" w:firstLine="0" w:firstLineChars="0"/>
    </w:pPr>
    <w:rPr>
      <w:sz w:val="21"/>
    </w:rPr>
  </w:style>
  <w:style w:type="paragraph" w:styleId="18">
    <w:name w:val="Normal (Web)"/>
    <w:basedOn w:val="1"/>
    <w:semiHidden/>
    <w:unhideWhenUsed/>
    <w:uiPriority w:val="99"/>
    <w:pPr>
      <w:widowControl/>
      <w:spacing w:before="100" w:beforeAutospacing="1" w:after="100" w:afterAutospacing="1" w:line="240" w:lineRule="auto"/>
      <w:ind w:firstLine="0" w:firstLineChars="0"/>
      <w:jc w:val="left"/>
    </w:pPr>
    <w:rPr>
      <w:rFonts w:ascii="宋体" w:hAnsi="宋体" w:cs="宋体"/>
      <w:kern w:val="0"/>
      <w:sz w:val="24"/>
      <w:szCs w:val="24"/>
    </w:rPr>
  </w:style>
  <w:style w:type="table" w:styleId="20">
    <w:name w:val="Table Grid"/>
    <w:basedOn w:val="19"/>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uiPriority w:val="99"/>
    <w:rPr>
      <w:color w:val="0563C1" w:themeColor="hyperlink"/>
      <w:u w:val="single"/>
      <w14:textFill>
        <w14:solidFill>
          <w14:schemeClr w14:val="hlink"/>
        </w14:solidFill>
      </w14:textFill>
    </w:rPr>
  </w:style>
  <w:style w:type="character" w:customStyle="1" w:styleId="23">
    <w:name w:val="标题 5 字符"/>
    <w:basedOn w:val="21"/>
    <w:link w:val="6"/>
    <w:uiPriority w:val="9"/>
    <w:rPr>
      <w:rFonts w:ascii="Times New Roman" w:hAnsi="Times New Roman" w:eastAsia="黑体" w:cstheme="majorBidi"/>
      <w:kern w:val="44"/>
      <w:sz w:val="32"/>
      <w:szCs w:val="28"/>
    </w:rPr>
  </w:style>
  <w:style w:type="paragraph" w:styleId="24">
    <w:name w:val="List Paragraph"/>
    <w:basedOn w:val="1"/>
    <w:uiPriority w:val="99"/>
    <w:pPr>
      <w:ind w:firstLine="420"/>
    </w:pPr>
  </w:style>
  <w:style w:type="character" w:customStyle="1" w:styleId="25">
    <w:name w:val="标题 6 字符"/>
    <w:basedOn w:val="21"/>
    <w:link w:val="7"/>
    <w:qFormat/>
    <w:uiPriority w:val="9"/>
    <w:rPr>
      <w:rFonts w:ascii="Times New Roman" w:hAnsi="Times New Roman" w:eastAsia="黑体" w:cstheme="majorBidi"/>
      <w:bCs/>
      <w:kern w:val="44"/>
      <w:sz w:val="30"/>
      <w:szCs w:val="24"/>
    </w:rPr>
  </w:style>
  <w:style w:type="paragraph" w:customStyle="1" w:styleId="26">
    <w:name w:val="其他标题"/>
    <w:basedOn w:val="1"/>
    <w:link w:val="28"/>
    <w:qFormat/>
    <w:uiPriority w:val="0"/>
    <w:pPr>
      <w:spacing w:line="240" w:lineRule="auto"/>
      <w:ind w:firstLine="0" w:firstLineChars="0"/>
      <w:jc w:val="center"/>
    </w:pPr>
    <w:rPr>
      <w:rFonts w:eastAsia="黑体"/>
      <w:b/>
      <w:sz w:val="36"/>
    </w:rPr>
  </w:style>
  <w:style w:type="character" w:customStyle="1" w:styleId="27">
    <w:name w:val="标题 7 字符"/>
    <w:basedOn w:val="21"/>
    <w:link w:val="8"/>
    <w:uiPriority w:val="9"/>
    <w:rPr>
      <w:rFonts w:ascii="Times New Roman" w:hAnsi="Times New Roman" w:eastAsia="黑体" w:cstheme="majorBidi"/>
      <w:kern w:val="44"/>
      <w:sz w:val="30"/>
      <w:szCs w:val="24"/>
    </w:rPr>
  </w:style>
  <w:style w:type="character" w:customStyle="1" w:styleId="28">
    <w:name w:val="其他标题 字符"/>
    <w:basedOn w:val="21"/>
    <w:link w:val="26"/>
    <w:qFormat/>
    <w:uiPriority w:val="0"/>
    <w:rPr>
      <w:rFonts w:ascii="Times New Roman" w:hAnsi="Times New Roman" w:eastAsia="黑体"/>
      <w:b/>
      <w:kern w:val="2"/>
      <w:sz w:val="36"/>
      <w:szCs w:val="22"/>
    </w:rPr>
  </w:style>
  <w:style w:type="character" w:customStyle="1" w:styleId="29">
    <w:name w:val="标题 2 字符"/>
    <w:basedOn w:val="21"/>
    <w:link w:val="3"/>
    <w:uiPriority w:val="9"/>
    <w:rPr>
      <w:rFonts w:ascii="Times New Roman" w:hAnsi="Times New Roman" w:eastAsia="黑体" w:cstheme="majorBidi"/>
      <w:b/>
      <w:bCs/>
      <w:kern w:val="44"/>
      <w:sz w:val="36"/>
      <w:szCs w:val="32"/>
    </w:rPr>
  </w:style>
  <w:style w:type="character" w:customStyle="1" w:styleId="30">
    <w:name w:val="标题 8 字符"/>
    <w:basedOn w:val="21"/>
    <w:link w:val="9"/>
    <w:qFormat/>
    <w:uiPriority w:val="9"/>
    <w:rPr>
      <w:rFonts w:ascii="Times New Roman" w:hAnsi="Times New Roman" w:eastAsia="黑体" w:cstheme="majorBidi"/>
      <w:kern w:val="44"/>
      <w:sz w:val="28"/>
      <w:szCs w:val="24"/>
    </w:rPr>
  </w:style>
  <w:style w:type="character" w:customStyle="1" w:styleId="31">
    <w:name w:val="标题 9 字符"/>
    <w:basedOn w:val="21"/>
    <w:link w:val="10"/>
    <w:uiPriority w:val="9"/>
    <w:rPr>
      <w:rFonts w:ascii="Times New Roman" w:hAnsi="Times New Roman" w:eastAsia="黑体" w:cstheme="majorBidi"/>
      <w:kern w:val="44"/>
      <w:sz w:val="28"/>
      <w:szCs w:val="21"/>
    </w:rPr>
  </w:style>
  <w:style w:type="character" w:customStyle="1" w:styleId="32">
    <w:name w:val="页脚 字符"/>
    <w:basedOn w:val="21"/>
    <w:link w:val="13"/>
    <w:uiPriority w:val="99"/>
    <w:rPr>
      <w:rFonts w:ascii="Times New Roman" w:hAnsi="Times New Roman" w:eastAsia="宋体"/>
      <w:kern w:val="2"/>
      <w:sz w:val="18"/>
      <w:szCs w:val="18"/>
    </w:rPr>
  </w:style>
  <w:style w:type="character" w:customStyle="1" w:styleId="33">
    <w:name w:val="页眉 字符"/>
    <w:basedOn w:val="21"/>
    <w:link w:val="14"/>
    <w:qFormat/>
    <w:uiPriority w:val="99"/>
    <w:rPr>
      <w:rFonts w:ascii="Times New Roman" w:hAnsi="Times New Roman" w:eastAsia="宋体"/>
      <w:kern w:val="2"/>
      <w:sz w:val="18"/>
      <w:szCs w:val="18"/>
    </w:rPr>
  </w:style>
  <w:style w:type="paragraph" w:customStyle="1" w:styleId="34">
    <w:name w:val="图表文字"/>
    <w:basedOn w:val="1"/>
    <w:link w:val="35"/>
    <w:qFormat/>
    <w:uiPriority w:val="0"/>
    <w:pPr>
      <w:ind w:firstLine="0" w:firstLineChars="0"/>
      <w:jc w:val="center"/>
    </w:pPr>
    <w:rPr>
      <w:sz w:val="24"/>
    </w:rPr>
  </w:style>
  <w:style w:type="character" w:customStyle="1" w:styleId="35">
    <w:name w:val="图表文字 字符"/>
    <w:basedOn w:val="21"/>
    <w:link w:val="34"/>
    <w:uiPriority w:val="0"/>
    <w:rPr>
      <w:rFonts w:ascii="Times New Roman" w:hAnsi="Times New Roman" w:eastAsia="宋体"/>
      <w:kern w:val="2"/>
      <w:sz w:val="24"/>
      <w:szCs w:val="22"/>
    </w:rPr>
  </w:style>
  <w:style w:type="character" w:customStyle="1" w:styleId="36">
    <w:name w:val="标题 1 字符"/>
    <w:basedOn w:val="21"/>
    <w:link w:val="2"/>
    <w:qFormat/>
    <w:uiPriority w:val="9"/>
    <w:rPr>
      <w:rFonts w:ascii="Times New Roman" w:hAnsi="Times New Roman" w:eastAsia="黑体"/>
      <w:b/>
      <w:bCs/>
      <w:kern w:val="44"/>
      <w:sz w:val="44"/>
      <w:szCs w:val="44"/>
    </w:rPr>
  </w:style>
  <w:style w:type="character" w:customStyle="1" w:styleId="37">
    <w:name w:val="标题 3 字符"/>
    <w:basedOn w:val="21"/>
    <w:link w:val="4"/>
    <w:qFormat/>
    <w:uiPriority w:val="9"/>
    <w:rPr>
      <w:rFonts w:ascii="Times New Roman" w:hAnsi="Times New Roman" w:eastAsia="黑体" w:cstheme="majorBidi"/>
      <w:b/>
      <w:kern w:val="44"/>
      <w:sz w:val="36"/>
      <w:szCs w:val="32"/>
    </w:rPr>
  </w:style>
  <w:style w:type="paragraph" w:customStyle="1" w:styleId="38">
    <w:name w:val="Revision"/>
    <w:hidden/>
    <w:semiHidden/>
    <w:uiPriority w:val="99"/>
    <w:rPr>
      <w:rFonts w:asciiTheme="minorHAnsi" w:hAnsiTheme="minorHAnsi" w:eastAsiaTheme="minorEastAsia" w:cstheme="minorBidi"/>
      <w:kern w:val="2"/>
      <w:sz w:val="21"/>
      <w:szCs w:val="22"/>
      <w:lang w:val="en-US" w:eastAsia="zh-CN" w:bidi="ar-SA"/>
    </w:rPr>
  </w:style>
  <w:style w:type="paragraph" w:customStyle="1" w:styleId="39">
    <w:name w:val="图"/>
    <w:basedOn w:val="1"/>
    <w:next w:val="11"/>
    <w:link w:val="40"/>
    <w:qFormat/>
    <w:uiPriority w:val="0"/>
    <w:pPr>
      <w:ind w:firstLine="0" w:firstLineChars="0"/>
      <w:jc w:val="center"/>
    </w:pPr>
  </w:style>
  <w:style w:type="character" w:customStyle="1" w:styleId="40">
    <w:name w:val="图 字符"/>
    <w:basedOn w:val="21"/>
    <w:link w:val="39"/>
    <w:uiPriority w:val="0"/>
    <w:rPr>
      <w:rFonts w:ascii="Times New Roman" w:hAnsi="Times New Roman" w:eastAsia="宋体"/>
      <w:kern w:val="2"/>
      <w:sz w:val="28"/>
      <w:szCs w:val="22"/>
    </w:rPr>
  </w:style>
  <w:style w:type="character" w:customStyle="1" w:styleId="41">
    <w:name w:val="标题 4 字符"/>
    <w:basedOn w:val="21"/>
    <w:link w:val="5"/>
    <w:uiPriority w:val="9"/>
    <w:rPr>
      <w:rFonts w:ascii="Times New Roman" w:hAnsi="Times New Roman" w:eastAsia="黑体" w:cstheme="majorBidi"/>
      <w:b/>
      <w:bCs/>
      <w:kern w:val="44"/>
      <w:sz w:val="32"/>
      <w:szCs w:val="28"/>
    </w:rPr>
  </w:style>
  <w:style w:type="paragraph" w:customStyle="1" w:styleId="42">
    <w:name w:val="表头"/>
    <w:basedOn w:val="34"/>
    <w:link w:val="43"/>
    <w:qFormat/>
    <w:uiPriority w:val="0"/>
    <w:rPr>
      <w:b/>
    </w:rPr>
  </w:style>
  <w:style w:type="character" w:customStyle="1" w:styleId="43">
    <w:name w:val="表头 字符"/>
    <w:basedOn w:val="35"/>
    <w:link w:val="42"/>
    <w:uiPriority w:val="0"/>
    <w:rPr>
      <w:rFonts w:ascii="Times New Roman" w:hAnsi="Times New Roman" w:eastAsia="宋体"/>
      <w:b/>
      <w:kern w:val="2"/>
      <w:sz w:val="24"/>
      <w:szCs w:val="22"/>
    </w:rPr>
  </w:style>
  <w:style w:type="character" w:customStyle="1" w:styleId="44">
    <w:name w:val="math-inline"/>
    <w:basedOn w:val="21"/>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77657-5081-49D8-AB00-A5DAF82A7DE6}">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1873</Words>
  <Characters>2848</Characters>
  <Lines>28</Lines>
  <Paragraphs>7</Paragraphs>
  <TotalTime>1</TotalTime>
  <ScaleCrop>false</ScaleCrop>
  <LinksUpToDate>false</LinksUpToDate>
  <CharactersWithSpaces>2905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2026-06-26T08:15:00Z</dcterms:created>
  <dc:creator>张 育闻</dc:creator>
  <cp:lastModifiedBy>WPS_266446521</cp:lastModifiedBy>
  <dcterms:modified xsi:type="dcterms:W3CDTF">2026-06-30T14:24:50Z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(#C1-#E1)</vt:lpwstr>
  </property>
  <property fmtid="{D5CDD505-2E9C-101B-9397-08002B2CF9AE}" pid="4" name="KSOProductBuildVer">
    <vt:lpwstr>2052-12.1.0.26895</vt:lpwstr>
  </property>
  <property fmtid="{D5CDD505-2E9C-101B-9397-08002B2CF9AE}" pid="5" name="ICV">
    <vt:lpwstr>4F3F6B88CE9F41ADB117702819F31628_12</vt:lpwstr>
  </property>
  <property fmtid="{D5CDD505-2E9C-101B-9397-08002B2CF9AE}" pid="6" name="MTEquationSection">
    <vt:lpwstr>1</vt:lpwstr>
  </property>
  <property fmtid="{D5CDD505-2E9C-101B-9397-08002B2CF9AE}" pid="7" name="KSOTemplateDocerSaveRecord">
    <vt:lpwstr>eyJoZGlkIjoiOTcyNzJhZjA1OTMyMDcwMjMyOGRhMTdmOTBiZGU0MjAiLCJ1c2VySWQiOiIyNjY0NDY1MjEifQ==</vt:lpwstr>
  </property>
</Properties>
</file>