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02E86">
      <w:pPr>
        <w:ind w:firstLine="560"/>
        <w:rPr>
          <w:color w:val="auto"/>
        </w:rPr>
      </w:pPr>
    </w:p>
    <w:p w14:paraId="367F008F">
      <w:pPr>
        <w:ind w:firstLine="560"/>
        <w:rPr>
          <w:color w:val="auto"/>
        </w:rPr>
      </w:pPr>
    </w:p>
    <w:p w14:paraId="1B4731E4">
      <w:pPr>
        <w:ind w:firstLine="560"/>
        <w:rPr>
          <w:color w:val="auto"/>
        </w:rPr>
      </w:pPr>
    </w:p>
    <w:p w14:paraId="130F7C95">
      <w:pPr>
        <w:pStyle w:val="25"/>
        <w:rPr>
          <w:color w:val="auto"/>
          <w:sz w:val="52"/>
          <w:szCs w:val="36"/>
        </w:rPr>
      </w:pPr>
      <w:r>
        <w:rPr>
          <w:rFonts w:hint="eastAsia"/>
          <w:color w:val="auto"/>
          <w:sz w:val="52"/>
          <w:szCs w:val="36"/>
          <w:lang w:val="en-US" w:eastAsia="zh-CN"/>
        </w:rPr>
        <w:t>多普勒</w:t>
      </w:r>
      <w:r>
        <w:rPr>
          <w:color w:val="auto"/>
          <w:sz w:val="52"/>
          <w:szCs w:val="36"/>
        </w:rPr>
        <w:t>测风</w:t>
      </w:r>
      <w:r>
        <w:rPr>
          <w:rFonts w:hint="eastAsia"/>
          <w:color w:val="auto"/>
          <w:sz w:val="52"/>
          <w:szCs w:val="36"/>
          <w:lang w:val="en-US" w:eastAsia="zh-CN"/>
        </w:rPr>
        <w:t>激光</w:t>
      </w:r>
      <w:r>
        <w:rPr>
          <w:color w:val="auto"/>
          <w:sz w:val="52"/>
          <w:szCs w:val="36"/>
        </w:rPr>
        <w:t>雷达</w:t>
      </w:r>
      <w:r>
        <w:rPr>
          <w:rFonts w:hint="eastAsia"/>
          <w:color w:val="auto"/>
          <w:sz w:val="52"/>
          <w:szCs w:val="36"/>
          <w:lang w:val="en-US" w:eastAsia="zh-CN"/>
        </w:rPr>
        <w:t>校准规范</w:t>
      </w:r>
      <w:r>
        <w:rPr>
          <w:color w:val="auto"/>
          <w:sz w:val="52"/>
          <w:szCs w:val="36"/>
        </w:rPr>
        <w:t>不确定度评定</w:t>
      </w:r>
      <w:r>
        <w:rPr>
          <w:rFonts w:hint="eastAsia"/>
          <w:color w:val="auto"/>
          <w:sz w:val="52"/>
          <w:szCs w:val="36"/>
        </w:rPr>
        <w:t>报告</w:t>
      </w:r>
    </w:p>
    <w:p w14:paraId="30DA0157">
      <w:pPr>
        <w:pStyle w:val="25"/>
        <w:rPr>
          <w:color w:val="auto"/>
          <w:sz w:val="52"/>
          <w:szCs w:val="36"/>
        </w:rPr>
      </w:pPr>
    </w:p>
    <w:p w14:paraId="28251F71">
      <w:pPr>
        <w:pStyle w:val="25"/>
        <w:rPr>
          <w:color w:val="auto"/>
          <w:sz w:val="52"/>
          <w:szCs w:val="36"/>
        </w:rPr>
      </w:pPr>
    </w:p>
    <w:p w14:paraId="6ED89A13">
      <w:pPr>
        <w:pStyle w:val="25"/>
        <w:rPr>
          <w:color w:val="auto"/>
          <w:sz w:val="52"/>
          <w:szCs w:val="36"/>
        </w:rPr>
      </w:pPr>
    </w:p>
    <w:p w14:paraId="24A0FFD0">
      <w:pPr>
        <w:pStyle w:val="25"/>
        <w:rPr>
          <w:color w:val="auto"/>
          <w:sz w:val="52"/>
          <w:szCs w:val="36"/>
        </w:rPr>
      </w:pPr>
    </w:p>
    <w:p w14:paraId="5C160A79">
      <w:pPr>
        <w:pStyle w:val="25"/>
        <w:rPr>
          <w:color w:val="auto"/>
          <w:sz w:val="52"/>
          <w:szCs w:val="36"/>
        </w:rPr>
      </w:pPr>
    </w:p>
    <w:p w14:paraId="39CB881D">
      <w:pPr>
        <w:pStyle w:val="25"/>
        <w:rPr>
          <w:color w:val="auto"/>
          <w:sz w:val="52"/>
          <w:szCs w:val="36"/>
        </w:rPr>
      </w:pPr>
    </w:p>
    <w:p w14:paraId="58B950A4">
      <w:pPr>
        <w:pStyle w:val="25"/>
        <w:rPr>
          <w:color w:val="auto"/>
          <w:sz w:val="52"/>
          <w:szCs w:val="36"/>
        </w:rPr>
      </w:pPr>
    </w:p>
    <w:p w14:paraId="5BF2634B">
      <w:pPr>
        <w:pStyle w:val="25"/>
        <w:rPr>
          <w:color w:val="auto"/>
          <w:sz w:val="52"/>
          <w:szCs w:val="36"/>
        </w:rPr>
      </w:pPr>
    </w:p>
    <w:p w14:paraId="196E283D">
      <w:pPr>
        <w:pStyle w:val="25"/>
        <w:rPr>
          <w:color w:val="auto"/>
          <w:sz w:val="52"/>
          <w:szCs w:val="36"/>
        </w:rPr>
      </w:pPr>
    </w:p>
    <w:p w14:paraId="12A3470F">
      <w:pPr>
        <w:pStyle w:val="25"/>
        <w:rPr>
          <w:color w:val="auto"/>
          <w:sz w:val="52"/>
          <w:szCs w:val="36"/>
        </w:rPr>
      </w:pPr>
    </w:p>
    <w:p w14:paraId="20AF0949">
      <w:pPr>
        <w:pStyle w:val="25"/>
        <w:rPr>
          <w:color w:val="auto"/>
          <w:sz w:val="52"/>
          <w:szCs w:val="36"/>
        </w:rPr>
      </w:pPr>
    </w:p>
    <w:p w14:paraId="6EFD3202">
      <w:pPr>
        <w:pStyle w:val="25"/>
        <w:rPr>
          <w:rFonts w:hint="default" w:eastAsia="黑体"/>
          <w:color w:val="auto"/>
          <w:sz w:val="28"/>
          <w:szCs w:val="20"/>
          <w:lang w:val="en-US" w:eastAsia="zh-CN"/>
        </w:rPr>
      </w:pPr>
      <w:r>
        <w:rPr>
          <w:rFonts w:hint="eastAsia"/>
          <w:color w:val="auto"/>
          <w:sz w:val="28"/>
          <w:szCs w:val="20"/>
          <w:lang w:val="en-US" w:eastAsia="zh-CN"/>
        </w:rPr>
        <w:t>规范编写组</w:t>
      </w:r>
    </w:p>
    <w:p w14:paraId="3E0DAF67">
      <w:pPr>
        <w:pStyle w:val="25"/>
        <w:rPr>
          <w:color w:val="auto"/>
          <w:sz w:val="32"/>
          <w:szCs w:val="21"/>
        </w:rPr>
      </w:pPr>
      <w:r>
        <w:rPr>
          <w:rFonts w:hint="eastAsia"/>
          <w:color w:val="auto"/>
          <w:sz w:val="28"/>
          <w:szCs w:val="20"/>
        </w:rPr>
        <w:t>2026.7.20</w:t>
      </w:r>
    </w:p>
    <w:p w14:paraId="5B93F9D7">
      <w:pPr>
        <w:ind w:firstLine="560"/>
        <w:rPr>
          <w:color w:val="auto"/>
        </w:rPr>
      </w:pPr>
    </w:p>
    <w:p w14:paraId="3B8BEEF0">
      <w:pPr>
        <w:ind w:firstLine="560"/>
        <w:rPr>
          <w:color w:val="auto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985" w:right="1701" w:bottom="1701" w:left="1985" w:header="851" w:footer="992" w:gutter="0"/>
          <w:cols w:space="425" w:num="1"/>
          <w:docGrid w:type="lines" w:linePitch="312" w:charSpace="0"/>
        </w:sectPr>
      </w:pPr>
    </w:p>
    <w:p w14:paraId="3AC35159">
      <w:pPr>
        <w:pStyle w:val="25"/>
        <w:spacing w:before="312" w:beforeLines="100" w:after="312" w:afterLines="100"/>
        <w:rPr>
          <w:color w:val="auto"/>
        </w:rPr>
      </w:pPr>
      <w:bookmarkStart w:id="0" w:name="_Toc159243290"/>
      <w:bookmarkStart w:id="1" w:name="_Toc159242910"/>
      <w:bookmarkStart w:id="2" w:name="_Toc159243394"/>
      <w:bookmarkStart w:id="3" w:name="_Toc159242696"/>
      <w:r>
        <w:rPr>
          <w:rFonts w:hint="eastAsia"/>
          <w:color w:val="auto"/>
        </w:rPr>
        <w:t>目录</w:t>
      </w:r>
      <w:bookmarkEnd w:id="0"/>
      <w:bookmarkEnd w:id="1"/>
      <w:bookmarkEnd w:id="2"/>
      <w:bookmarkEnd w:id="3"/>
      <w:bookmarkStart w:id="4" w:name="_Toc159242911"/>
      <w:bookmarkEnd w:id="4"/>
      <w:bookmarkStart w:id="5" w:name="_Toc159242697"/>
      <w:bookmarkEnd w:id="5"/>
      <w:bookmarkStart w:id="6" w:name="_Toc159243395"/>
      <w:bookmarkEnd w:id="6"/>
      <w:bookmarkStart w:id="7" w:name="_Toc159243291"/>
      <w:bookmarkEnd w:id="7"/>
    </w:p>
    <w:p w14:paraId="1F3FF431">
      <w:pPr>
        <w:pStyle w:val="15"/>
        <w:tabs>
          <w:tab w:val="right" w:leader="dot" w:pos="8210"/>
        </w:tabs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TOC \o "1-2" \h \z \u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"_Toc235453892"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1 评定依据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_Toc235453892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7387CA19">
      <w:pPr>
        <w:pStyle w:val="15"/>
        <w:tabs>
          <w:tab w:val="right" w:leader="dot" w:pos="8210"/>
        </w:tabs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"_Toc235453893"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2 标准设备和被校对象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_Toc235453893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3B611A2B">
      <w:pPr>
        <w:pStyle w:val="17"/>
        <w:tabs>
          <w:tab w:val="right" w:leader="dot" w:pos="8210"/>
        </w:tabs>
        <w:ind w:left="280"/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"_Toc235453894"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2.1 标准设备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_Toc235453894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1735AB7B">
      <w:pPr>
        <w:pStyle w:val="17"/>
        <w:tabs>
          <w:tab w:val="right" w:leader="dot" w:pos="8210"/>
        </w:tabs>
        <w:ind w:left="280"/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"_Toc235453895"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2.2 被校对象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_Toc235453895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01004895">
      <w:pPr>
        <w:pStyle w:val="15"/>
        <w:tabs>
          <w:tab w:val="right" w:leader="dot" w:pos="8210"/>
        </w:tabs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"_Toc235453896"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3 主要测量方法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_Toc235453896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02ED26C4">
      <w:pPr>
        <w:pStyle w:val="15"/>
        <w:tabs>
          <w:tab w:val="right" w:leader="dot" w:pos="8210"/>
        </w:tabs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"_Toc235453897"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4 测量模型与不确定度来源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_Toc235453897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5EF4EE3E">
      <w:pPr>
        <w:pStyle w:val="17"/>
        <w:tabs>
          <w:tab w:val="right" w:leader="dot" w:pos="8210"/>
        </w:tabs>
        <w:ind w:left="280"/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"_Toc235453898"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4.1 标准径向风速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_Toc235453898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756498F9">
      <w:pPr>
        <w:pStyle w:val="17"/>
        <w:tabs>
          <w:tab w:val="right" w:leader="dot" w:pos="8210"/>
        </w:tabs>
        <w:ind w:left="280"/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"_Toc235453899"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4.2 不确定度评定测量模型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_Toc235453899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2F4D6EE3">
      <w:pPr>
        <w:pStyle w:val="17"/>
        <w:tabs>
          <w:tab w:val="right" w:leader="dot" w:pos="8210"/>
        </w:tabs>
        <w:ind w:left="280"/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"_Toc235453900"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4.3 不确定度来源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_Toc235453900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48A3B9A1">
      <w:pPr>
        <w:pStyle w:val="17"/>
        <w:tabs>
          <w:tab w:val="right" w:leader="dot" w:pos="8210"/>
        </w:tabs>
        <w:ind w:left="280"/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"_Toc235453901"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4.4 不确定度评定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_Toc235453901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5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4C15340C">
      <w:pPr>
        <w:pStyle w:val="17"/>
        <w:tabs>
          <w:tab w:val="right" w:leader="dot" w:pos="8210"/>
        </w:tabs>
        <w:ind w:left="280"/>
        <w:rPr>
          <w:rFonts w:hint="eastAsia" w:ascii="宋体" w:hAnsi="宋体" w:eastAsia="宋体" w:cs="宋体"/>
          <w:color w:val="auto"/>
          <w:sz w:val="28"/>
          <w:szCs w:val="28"/>
          <w14:ligatures w14:val="standardContextual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HYPERLINK \l "_Toc235453902"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Style w:val="21"/>
          <w:rFonts w:hint="eastAsia" w:ascii="宋体" w:hAnsi="宋体" w:eastAsia="宋体" w:cs="宋体"/>
          <w:color w:val="auto"/>
          <w:sz w:val="28"/>
          <w:szCs w:val="28"/>
        </w:rPr>
        <w:t>4.5 扩展不确定度计算</w:t>
      </w:r>
      <w:r>
        <w:rPr>
          <w:rFonts w:hint="eastAsia" w:ascii="宋体" w:hAnsi="宋体" w:eastAsia="宋体" w:cs="宋体"/>
          <w:color w:val="auto"/>
          <w:sz w:val="28"/>
          <w:szCs w:val="28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color w:val="auto"/>
          <w:sz w:val="28"/>
          <w:szCs w:val="28"/>
        </w:rPr>
        <w:instrText xml:space="preserve"> PAGEREF _Toc235453902 \h </w:instrTex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color w:val="auto"/>
          <w:sz w:val="28"/>
          <w:szCs w:val="28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4BED4421">
      <w:pPr>
        <w:ind w:firstLine="420"/>
        <w:rPr>
          <w:color w:va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fldChar w:fldCharType="end"/>
      </w:r>
    </w:p>
    <w:p w14:paraId="157EEBE1">
      <w:pPr>
        <w:ind w:firstLine="560"/>
        <w:rPr>
          <w:color w:val="auto"/>
        </w:rPr>
        <w:sectPr>
          <w:footerReference r:id="rId11" w:type="default"/>
          <w:type w:val="continuous"/>
          <w:pgSz w:w="11906" w:h="16838"/>
          <w:pgMar w:top="1985" w:right="1701" w:bottom="1701" w:left="1985" w:header="851" w:footer="992" w:gutter="0"/>
          <w:pgNumType w:start="1"/>
          <w:cols w:space="425" w:num="1"/>
          <w:docGrid w:type="lines" w:linePitch="312" w:charSpace="0"/>
        </w:sectPr>
      </w:pPr>
    </w:p>
    <w:p w14:paraId="0403169B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8" w:name="_Toc235453892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评定依据</w:t>
      </w:r>
      <w:bookmarkEnd w:id="8"/>
    </w:p>
    <w:p w14:paraId="66C27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本规范的测量不确定度评定依据是JJF1059.1-2012 《测量不确定度评定与表示》。</w:t>
      </w:r>
    </w:p>
    <w:p w14:paraId="5241B70C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9" w:name="_Toc235453893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标准设备和被校对象</w:t>
      </w:r>
      <w:bookmarkEnd w:id="9"/>
    </w:p>
    <w:p w14:paraId="20DC3AB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hint="eastAsia" w:ascii="宋体" w:hAnsi="宋体" w:eastAsia="宋体" w:cs="宋体"/>
          <w:b/>
          <w:bCs/>
          <w:color w:val="auto"/>
          <w:kern w:val="44"/>
          <w:sz w:val="28"/>
          <w:szCs w:val="28"/>
          <w:lang w:val="en-US" w:eastAsia="zh-CN" w:bidi="ar-SA"/>
        </w:rPr>
      </w:pPr>
      <w:bookmarkStart w:id="10" w:name="_Toc235453894"/>
      <w:r>
        <w:rPr>
          <w:rFonts w:hint="eastAsia" w:ascii="宋体" w:hAnsi="宋体" w:eastAsia="宋体" w:cs="宋体"/>
          <w:color w:val="auto"/>
          <w:sz w:val="28"/>
          <w:szCs w:val="28"/>
        </w:rPr>
        <w:t>标准</w:t>
      </w:r>
      <w:r>
        <w:rPr>
          <w:rFonts w:hint="eastAsia" w:ascii="宋体" w:hAnsi="宋体" w:eastAsia="宋体" w:cs="宋体"/>
          <w:b/>
          <w:bCs/>
          <w:color w:val="auto"/>
          <w:kern w:val="44"/>
          <w:sz w:val="28"/>
          <w:szCs w:val="28"/>
          <w:lang w:val="en-US" w:eastAsia="zh-CN" w:bidi="ar-SA"/>
        </w:rPr>
        <w:t>设备</w:t>
      </w:r>
      <w:bookmarkEnd w:id="10"/>
    </w:p>
    <w:p w14:paraId="1CE782A5">
      <w:pPr>
        <w:ind w:firstLine="560"/>
        <w:rPr>
          <w:color w:val="auto"/>
        </w:rPr>
      </w:pPr>
      <w:r>
        <w:rPr>
          <w:color w:val="auto"/>
        </w:rPr>
        <w:t>标准器及配套设备</w:t>
      </w:r>
      <w:r>
        <w:rPr>
          <w:rFonts w:hint="eastAsia"/>
          <w:color w:val="auto"/>
        </w:rPr>
        <w:t>的</w:t>
      </w:r>
      <w:r>
        <w:rPr>
          <w:color w:val="auto"/>
        </w:rPr>
        <w:t>主要技术指标见</w:t>
      </w:r>
      <w:r>
        <w:rPr>
          <w:rFonts w:hint="eastAsia"/>
          <w:color w:val="auto"/>
        </w:rPr>
        <w:t>下</w:t>
      </w:r>
      <w:r>
        <w:rPr>
          <w:color w:val="auto"/>
        </w:rPr>
        <w:t>表</w:t>
      </w:r>
      <w:r>
        <w:rPr>
          <w:rFonts w:hint="eastAsia"/>
          <w:color w:val="auto"/>
        </w:rPr>
        <w:t>。</w:t>
      </w:r>
    </w:p>
    <w:p w14:paraId="5925071B">
      <w:pPr>
        <w:pStyle w:val="11"/>
        <w:keepNext/>
        <w:spacing w:before="156" w:after="156"/>
        <w:ind w:firstLine="400"/>
        <w:rPr>
          <w:color w:val="auto"/>
        </w:rPr>
      </w:pPr>
      <w:r>
        <w:rPr>
          <w:rFonts w:hint="eastAsia"/>
          <w:color w:val="auto"/>
        </w:rPr>
        <w:t xml:space="preserve">表 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SEQ 表 \* ARABIC</w:instrText>
      </w:r>
      <w:r>
        <w:rPr>
          <w:color w:val="auto"/>
        </w:rPr>
        <w:instrText xml:space="preserve"> </w:instrText>
      </w:r>
      <w:r>
        <w:rPr>
          <w:color w:val="auto"/>
        </w:rPr>
        <w:fldChar w:fldCharType="separate"/>
      </w:r>
      <w:r>
        <w:rPr>
          <w:color w:val="auto"/>
        </w:rPr>
        <w:t>1</w:t>
      </w:r>
      <w:r>
        <w:rPr>
          <w:color w:val="auto"/>
        </w:rPr>
        <w:fldChar w:fldCharType="end"/>
      </w:r>
      <w:r>
        <w:rPr>
          <w:color w:val="auto"/>
        </w:rPr>
        <w:t>标准器及配套设备主要技术指标</w:t>
      </w:r>
    </w:p>
    <w:tbl>
      <w:tblPr>
        <w:tblStyle w:val="18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119"/>
        <w:gridCol w:w="3118"/>
        <w:gridCol w:w="1985"/>
      </w:tblGrid>
      <w:tr w14:paraId="2EAAF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95F383E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3119" w:type="dxa"/>
            <w:vAlign w:val="center"/>
          </w:tcPr>
          <w:p w14:paraId="14FD73C0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仪器名称</w:t>
            </w:r>
          </w:p>
        </w:tc>
        <w:tc>
          <w:tcPr>
            <w:tcW w:w="3118" w:type="dxa"/>
            <w:vAlign w:val="center"/>
          </w:tcPr>
          <w:p w14:paraId="5A4E3C54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主要技术要求</w:t>
            </w:r>
          </w:p>
        </w:tc>
        <w:tc>
          <w:tcPr>
            <w:tcW w:w="1985" w:type="dxa"/>
          </w:tcPr>
          <w:p w14:paraId="066D4979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用途</w:t>
            </w:r>
          </w:p>
        </w:tc>
      </w:tr>
      <w:tr w14:paraId="5C153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382F823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3119" w:type="dxa"/>
            <w:vAlign w:val="center"/>
          </w:tcPr>
          <w:p w14:paraId="11A254DD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  <w:lang w:eastAsia="zh-Hans"/>
              </w:rPr>
              <w:t>激光多普勒测</w:t>
            </w:r>
            <w:r>
              <w:rPr>
                <w:rFonts w:hint="eastAsia"/>
                <w:color w:val="auto"/>
              </w:rPr>
              <w:t>速</w:t>
            </w:r>
            <w:r>
              <w:rPr>
                <w:rFonts w:hint="eastAsia"/>
                <w:color w:val="auto"/>
                <w:lang w:eastAsia="zh-Hans"/>
              </w:rPr>
              <w:t>仪（LDV）</w:t>
            </w:r>
          </w:p>
        </w:tc>
        <w:tc>
          <w:tcPr>
            <w:tcW w:w="3118" w:type="dxa"/>
            <w:vAlign w:val="center"/>
          </w:tcPr>
          <w:p w14:paraId="1B9E6B9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最大允许误差</w:t>
            </w:r>
            <w:r>
              <w:rPr>
                <w:color w:val="auto"/>
              </w:rPr>
              <w:t>：</w:t>
            </w:r>
            <w:r>
              <w:rPr>
                <w:rFonts w:hint="eastAsia"/>
                <w:color w:val="auto"/>
              </w:rPr>
              <w:t>±</w:t>
            </w:r>
            <w:r>
              <w:rPr>
                <w:color w:val="auto"/>
              </w:rPr>
              <w:t>0</w:t>
            </w:r>
            <w:r>
              <w:rPr>
                <w:rFonts w:hint="eastAsia"/>
                <w:color w:val="auto"/>
                <w:lang w:eastAsia="zh-Hans"/>
              </w:rPr>
              <w:t>.</w:t>
            </w:r>
            <w:r>
              <w:rPr>
                <w:rFonts w:hint="eastAsia"/>
                <w:color w:val="auto"/>
              </w:rPr>
              <w:t>01</w:t>
            </w:r>
            <w:r>
              <w:rPr>
                <w:rFonts w:hint="eastAsia"/>
                <w:color w:val="auto"/>
                <w:lang w:eastAsia="zh-Hans"/>
              </w:rPr>
              <w:t>m</w:t>
            </w:r>
            <w:r>
              <w:rPr>
                <w:color w:val="auto"/>
                <w:lang w:eastAsia="zh-Hans"/>
              </w:rPr>
              <w:t>/s</w:t>
            </w:r>
          </w:p>
        </w:tc>
        <w:tc>
          <w:tcPr>
            <w:tcW w:w="1985" w:type="dxa"/>
          </w:tcPr>
          <w:p w14:paraId="279165E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计量标准器</w:t>
            </w:r>
          </w:p>
        </w:tc>
      </w:tr>
      <w:tr w14:paraId="38D22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26BD6B6A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3119" w:type="dxa"/>
            <w:vAlign w:val="center"/>
          </w:tcPr>
          <w:p w14:paraId="4BCE9846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伺服电机角度控制系统</w:t>
            </w:r>
          </w:p>
        </w:tc>
        <w:tc>
          <w:tcPr>
            <w:tcW w:w="3118" w:type="dxa"/>
            <w:vAlign w:val="center"/>
          </w:tcPr>
          <w:p w14:paraId="4FB49C4E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最大允许误差</w:t>
            </w:r>
            <w:r>
              <w:rPr>
                <w:color w:val="auto"/>
              </w:rPr>
              <w:t>：</w:t>
            </w:r>
            <w:r>
              <w:rPr>
                <w:rFonts w:hint="eastAsia"/>
                <w:color w:val="auto"/>
              </w:rPr>
              <w:t>±</w:t>
            </w:r>
            <w:r>
              <w:rPr>
                <w:color w:val="auto"/>
              </w:rPr>
              <w:t>0</w:t>
            </w:r>
            <w:r>
              <w:rPr>
                <w:rFonts w:hint="eastAsia"/>
                <w:color w:val="auto"/>
                <w:lang w:eastAsia="zh-Hans"/>
              </w:rPr>
              <w:t>.</w:t>
            </w:r>
            <w:r>
              <w:rPr>
                <w:rFonts w:hint="eastAsia"/>
                <w:color w:val="auto"/>
              </w:rPr>
              <w:t>01°</w:t>
            </w:r>
          </w:p>
        </w:tc>
        <w:tc>
          <w:tcPr>
            <w:tcW w:w="1985" w:type="dxa"/>
          </w:tcPr>
          <w:p w14:paraId="5EDD453C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计量标准器</w:t>
            </w:r>
          </w:p>
        </w:tc>
      </w:tr>
      <w:tr w14:paraId="0CDB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045F733C">
            <w:pPr>
              <w:pStyle w:val="33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3119" w:type="dxa"/>
            <w:vAlign w:val="center"/>
          </w:tcPr>
          <w:p w14:paraId="5CD46B3C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  <w:lang w:eastAsia="zh-Hans"/>
              </w:rPr>
              <w:t>高精度光学</w:t>
            </w:r>
            <w:r>
              <w:rPr>
                <w:rFonts w:hint="eastAsia"/>
                <w:color w:val="auto"/>
              </w:rPr>
              <w:t>转盘</w:t>
            </w:r>
            <w:r>
              <w:rPr>
                <w:rFonts w:hint="eastAsia"/>
                <w:color w:val="auto"/>
                <w:lang w:eastAsia="zh-Hans"/>
              </w:rPr>
              <w:t>系统</w:t>
            </w:r>
          </w:p>
        </w:tc>
        <w:tc>
          <w:tcPr>
            <w:tcW w:w="3118" w:type="dxa"/>
            <w:vAlign w:val="center"/>
          </w:tcPr>
          <w:p w14:paraId="5C22BD9A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最大允许误差</w:t>
            </w:r>
            <w:r>
              <w:rPr>
                <w:color w:val="auto"/>
              </w:rPr>
              <w:t>：</w:t>
            </w:r>
            <w:r>
              <w:rPr>
                <w:rFonts w:hint="eastAsia"/>
                <w:color w:val="auto"/>
              </w:rPr>
              <w:t>±</w:t>
            </w:r>
            <w:r>
              <w:rPr>
                <w:color w:val="auto"/>
              </w:rPr>
              <w:t>0</w:t>
            </w:r>
            <w:r>
              <w:rPr>
                <w:rFonts w:hint="eastAsia"/>
                <w:color w:val="auto"/>
                <w:lang w:eastAsia="zh-Hans"/>
              </w:rPr>
              <w:t>.</w:t>
            </w:r>
            <w:r>
              <w:rPr>
                <w:color w:val="auto"/>
                <w:lang w:eastAsia="zh-Hans"/>
              </w:rPr>
              <w:t>03</w:t>
            </w:r>
            <w:r>
              <w:rPr>
                <w:rFonts w:hint="eastAsia"/>
                <w:color w:val="auto"/>
                <w:lang w:eastAsia="zh-Hans"/>
              </w:rPr>
              <w:t>m</w:t>
            </w:r>
            <w:r>
              <w:rPr>
                <w:color w:val="auto"/>
                <w:lang w:eastAsia="zh-Hans"/>
              </w:rPr>
              <w:t>/s</w:t>
            </w:r>
          </w:p>
        </w:tc>
        <w:tc>
          <w:tcPr>
            <w:tcW w:w="1985" w:type="dxa"/>
          </w:tcPr>
          <w:p w14:paraId="3BD0B0DC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主要配套设备</w:t>
            </w:r>
          </w:p>
        </w:tc>
      </w:tr>
      <w:tr w14:paraId="0A9F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209C47A5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3119" w:type="dxa"/>
            <w:vAlign w:val="center"/>
          </w:tcPr>
          <w:p w14:paraId="26753C17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光路反射系统</w:t>
            </w:r>
          </w:p>
        </w:tc>
        <w:tc>
          <w:tcPr>
            <w:tcW w:w="3118" w:type="dxa"/>
            <w:vAlign w:val="center"/>
          </w:tcPr>
          <w:p w14:paraId="7A8F0C34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/</w:t>
            </w:r>
          </w:p>
        </w:tc>
        <w:tc>
          <w:tcPr>
            <w:tcW w:w="1985" w:type="dxa"/>
          </w:tcPr>
          <w:p w14:paraId="5CD41C87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主要配套设备</w:t>
            </w:r>
          </w:p>
        </w:tc>
      </w:tr>
    </w:tbl>
    <w:p w14:paraId="5D45E68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11" w:name="_Toc235453895"/>
      <w:r>
        <w:rPr>
          <w:rFonts w:hint="eastAsia" w:ascii="宋体" w:hAnsi="宋体" w:eastAsia="宋体" w:cs="宋体"/>
          <w:color w:val="auto"/>
          <w:sz w:val="28"/>
          <w:szCs w:val="28"/>
        </w:rPr>
        <w:t>被校对象</w:t>
      </w:r>
      <w:bookmarkEnd w:id="11"/>
    </w:p>
    <w:p w14:paraId="1BD52381">
      <w:pPr>
        <w:ind w:firstLine="560"/>
        <w:rPr>
          <w:color w:val="auto"/>
        </w:rPr>
      </w:pPr>
      <w:r>
        <w:rPr>
          <w:rFonts w:hint="eastAsia"/>
          <w:color w:val="auto"/>
        </w:rPr>
        <w:t>器具名称：激光测风雷达；</w:t>
      </w:r>
    </w:p>
    <w:p w14:paraId="56C959CA">
      <w:pPr>
        <w:ind w:firstLine="560"/>
        <w:rPr>
          <w:color w:val="auto"/>
        </w:rPr>
      </w:pPr>
      <w:r>
        <w:rPr>
          <w:rFonts w:hint="eastAsia"/>
          <w:color w:val="auto"/>
        </w:rPr>
        <w:t>测量范围：-50 m/s~50 m/s；</w:t>
      </w:r>
    </w:p>
    <w:p w14:paraId="3892022B">
      <w:pPr>
        <w:ind w:firstLine="560"/>
        <w:rPr>
          <w:color w:val="auto"/>
        </w:rPr>
      </w:pPr>
      <w:r>
        <w:rPr>
          <w:rFonts w:hint="eastAsia"/>
          <w:color w:val="auto"/>
        </w:rPr>
        <w:t>最大允许误差：±0.1 m/s；</w:t>
      </w:r>
    </w:p>
    <w:p w14:paraId="6DD3561A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12" w:name="_Toc235453896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主要测量方法</w:t>
      </w:r>
      <w:bookmarkEnd w:id="12"/>
    </w:p>
    <w:p w14:paraId="4CC8402C">
      <w:pPr>
        <w:ind w:firstLine="560"/>
        <w:rPr>
          <w:color w:val="auto"/>
        </w:rPr>
      </w:pPr>
      <w:r>
        <w:rPr>
          <w:rFonts w:hint="eastAsia"/>
          <w:color w:val="auto"/>
        </w:rPr>
        <w:t>由激光测风雷达标校系统产生稳定的径向速度，将激光测风雷达测量光斑对准激光测风雷达标校系统的测量区域。用激光测风雷达测量的径向风速加上修正值作为标准径向风速值。激光测风雷达示值减去标准径向风速值为径向风速示值误差。校准径向风速点选择0 m/s、1 m/s、10 m/s、20 m/s、30 m/s、50 m/s、-1 m/s、-10 m/s、-20 m/s、-30 m/s、-50 m/s。</w:t>
      </w:r>
    </w:p>
    <w:p w14:paraId="4906F1A5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13" w:name="_Toc235453897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测量模型与不确定度来源</w:t>
      </w:r>
      <w:bookmarkEnd w:id="13"/>
    </w:p>
    <w:p w14:paraId="1FA7513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14" w:name="_Toc235453898"/>
      <w:r>
        <w:rPr>
          <w:rFonts w:hint="eastAsia" w:ascii="宋体" w:hAnsi="宋体" w:eastAsia="宋体" w:cs="宋体"/>
          <w:color w:val="auto"/>
          <w:sz w:val="28"/>
          <w:szCs w:val="28"/>
        </w:rPr>
        <w:t>标准径向风速</w:t>
      </w:r>
      <w:bookmarkEnd w:id="14"/>
    </w:p>
    <w:p w14:paraId="2ADFABD3">
      <w:pPr>
        <w:ind w:firstLine="560"/>
        <w:rPr>
          <w:color w:val="auto"/>
        </w:rPr>
      </w:pPr>
      <w:r>
        <w:rPr>
          <w:rFonts w:hint="eastAsia"/>
          <w:color w:val="auto"/>
        </w:rPr>
        <w:t>标准径向风速的计算公式如下：</w:t>
      </w:r>
    </w:p>
    <w:p w14:paraId="5E4A365C">
      <w:pPr>
        <w:pStyle w:val="43"/>
        <w:rPr>
          <w:color w:val="auto"/>
        </w:rPr>
      </w:pPr>
      <w:r>
        <w:rPr>
          <w:color w:val="auto"/>
        </w:rPr>
        <w:tab/>
      </w:r>
      <w:bookmarkStart w:id="15" w:name="OLE_LINK1"/>
      <w:r>
        <w:rPr>
          <w:color w:val="auto"/>
          <w:position w:val="-16"/>
        </w:rPr>
        <w:object>
          <v:shape id="_x0000_i1025" o:spt="75" type="#_x0000_t75" style="height:22.5pt;width:283.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bookmarkEnd w:id="15"/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1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1B20104D">
      <w:pPr>
        <w:ind w:firstLine="560"/>
        <w:rPr>
          <w:color w:val="auto"/>
        </w:rPr>
      </w:pPr>
      <w:r>
        <w:rPr>
          <w:rFonts w:hint="eastAsia"/>
          <w:color w:val="auto"/>
        </w:rPr>
        <w:t>式中：</w:t>
      </w:r>
    </w:p>
    <w:p w14:paraId="2337B9E2">
      <w:pPr>
        <w:ind w:firstLine="560"/>
        <w:rPr>
          <w:iCs/>
          <w:color w:val="auto"/>
        </w:rPr>
      </w:pPr>
      <w:bookmarkStart w:id="16" w:name="OLE_LINK2"/>
      <w:r>
        <w:rPr>
          <w:rFonts w:hint="eastAsia"/>
          <w:i/>
          <w:iCs/>
          <w:color w:val="auto"/>
        </w:rPr>
        <w:t>v</w:t>
      </w:r>
      <w:r>
        <w:rPr>
          <w:rFonts w:hint="eastAsia"/>
          <w:color w:val="auto"/>
          <w:vertAlign w:val="subscript"/>
        </w:rPr>
        <w:t>r</w:t>
      </w:r>
      <w:bookmarkEnd w:id="16"/>
      <w:r>
        <w:rPr>
          <w:rFonts w:hint="eastAsia"/>
          <w:iCs/>
          <w:color w:val="auto"/>
        </w:rPr>
        <w:t xml:space="preserve"> —— 标准径向风速，m/s；</w:t>
      </w:r>
    </w:p>
    <w:p w14:paraId="3E7C78B8">
      <w:pPr>
        <w:ind w:firstLine="560"/>
        <w:rPr>
          <w:color w:val="auto"/>
        </w:rPr>
      </w:pPr>
      <w:bookmarkStart w:id="17" w:name="OLE_LINK4"/>
      <w:bookmarkStart w:id="18" w:name="OLE_LINK3"/>
      <w:r>
        <w:rPr>
          <w:rFonts w:hint="eastAsia"/>
          <w:i/>
          <w:iCs/>
          <w:color w:val="auto"/>
        </w:rPr>
        <w:t>v</w:t>
      </w:r>
      <w:r>
        <w:rPr>
          <w:rFonts w:hint="eastAsia"/>
          <w:color w:val="auto"/>
          <w:vertAlign w:val="subscript"/>
        </w:rPr>
        <w:t>t</w:t>
      </w:r>
      <w:r>
        <w:rPr>
          <w:rFonts w:hint="eastAsia"/>
          <w:color w:val="auto"/>
        </w:rPr>
        <w:t xml:space="preserve"> </w:t>
      </w:r>
      <w:bookmarkEnd w:id="17"/>
      <w:r>
        <w:rPr>
          <w:rFonts w:hint="eastAsia"/>
          <w:color w:val="auto"/>
        </w:rPr>
        <w:t>—— 转盘直径处的线速度（LDV测量），m/s</w:t>
      </w:r>
      <w:bookmarkEnd w:id="18"/>
      <w:r>
        <w:rPr>
          <w:rFonts w:hint="eastAsia"/>
          <w:color w:val="auto"/>
        </w:rPr>
        <w:t>；</w:t>
      </w:r>
    </w:p>
    <w:p w14:paraId="6374CA7D">
      <w:pPr>
        <w:ind w:firstLine="560"/>
        <w:rPr>
          <w:color w:val="auto"/>
        </w:rPr>
      </w:pPr>
      <w:r>
        <w:rPr>
          <w:rFonts w:cs="Times New Roman"/>
          <w:i/>
          <w:iCs/>
          <w:color w:val="auto"/>
        </w:rPr>
        <w:t>θ</w:t>
      </w:r>
      <w:r>
        <w:rPr>
          <w:rFonts w:hint="eastAsia"/>
          <w:color w:val="auto"/>
        </w:rPr>
        <w:t xml:space="preserve"> —— 转盘线速度与激光测风雷达径向速度的夹角，°；</w:t>
      </w:r>
    </w:p>
    <w:p w14:paraId="735C4A59">
      <w:pPr>
        <w:ind w:firstLine="560"/>
        <w:rPr>
          <w:rFonts w:cs="Times New Roman"/>
          <w:color w:val="auto"/>
        </w:rPr>
      </w:pPr>
      <w:r>
        <w:rPr>
          <w:rFonts w:cs="Times New Roman"/>
          <w:i/>
          <w:iCs/>
          <w:color w:val="auto"/>
        </w:rPr>
        <w:t>δ</w:t>
      </w:r>
      <w:r>
        <w:rPr>
          <w:rFonts w:cs="Times New Roman"/>
          <w:color w:val="auto"/>
          <w:vertAlign w:val="subscript"/>
        </w:rPr>
        <w:t>enc</w:t>
      </w:r>
      <w:r>
        <w:rPr>
          <w:rFonts w:cs="Times New Roman"/>
          <w:color w:val="auto"/>
        </w:rPr>
        <w:t xml:space="preserve"> —— 角度编码器定位误差，°；</w:t>
      </w:r>
    </w:p>
    <w:p w14:paraId="7E48998C">
      <w:pPr>
        <w:ind w:firstLine="560"/>
        <w:rPr>
          <w:color w:val="auto"/>
        </w:rPr>
      </w:pPr>
      <w:r>
        <w:rPr>
          <w:rFonts w:cs="Times New Roman"/>
          <w:i/>
          <w:iCs/>
          <w:color w:val="auto"/>
        </w:rPr>
        <w:t>δ</w:t>
      </w:r>
      <w:r>
        <w:rPr>
          <w:rFonts w:cs="Times New Roman"/>
          <w:color w:val="auto"/>
          <w:vertAlign w:val="subscript"/>
        </w:rPr>
        <w:t>0</w:t>
      </w:r>
      <w:r>
        <w:rPr>
          <w:rFonts w:hint="eastAsia"/>
          <w:color w:val="auto"/>
          <w:vertAlign w:val="subscript"/>
        </w:rPr>
        <w:t xml:space="preserve"> </w:t>
      </w:r>
      <w:r>
        <w:rPr>
          <w:rFonts w:hint="eastAsia"/>
          <w:color w:val="auto"/>
        </w:rPr>
        <w:t>—— 调零残余误差，°；</w:t>
      </w:r>
    </w:p>
    <w:p w14:paraId="6968E08B">
      <w:pPr>
        <w:ind w:firstLine="560"/>
        <w:rPr>
          <w:color w:val="auto"/>
        </w:rPr>
      </w:pPr>
      <w:r>
        <w:rPr>
          <w:rFonts w:cs="Times New Roman"/>
          <w:i/>
          <w:iCs/>
          <w:color w:val="auto"/>
        </w:rPr>
        <w:t>α</w:t>
      </w:r>
      <w:r>
        <w:rPr>
          <w:rFonts w:hint="eastAsia"/>
          <w:i/>
          <w:iCs/>
          <w:color w:val="auto"/>
        </w:rPr>
        <w:t xml:space="preserve"> </w:t>
      </w:r>
      <w:r>
        <w:rPr>
          <w:rFonts w:hint="eastAsia"/>
          <w:color w:val="auto"/>
        </w:rPr>
        <w:t>—— LDV水平速度角偏差，°；</w:t>
      </w:r>
    </w:p>
    <w:p w14:paraId="520E0F83">
      <w:pPr>
        <w:ind w:firstLine="560"/>
        <w:rPr>
          <w:color w:val="auto"/>
        </w:rPr>
      </w:pPr>
      <w:r>
        <w:rPr>
          <w:rFonts w:cs="Times New Roman"/>
          <w:i/>
          <w:iCs/>
          <w:color w:val="auto"/>
        </w:rPr>
        <w:t>β</w:t>
      </w:r>
      <w:r>
        <w:rPr>
          <w:rFonts w:hint="eastAsia" w:cs="Times New Roman"/>
          <w:color w:val="auto"/>
          <w:vertAlign w:val="subscript"/>
        </w:rPr>
        <w:t>lidar</w:t>
      </w:r>
      <w:r>
        <w:rPr>
          <w:rFonts w:hint="eastAsia"/>
          <w:color w:val="auto"/>
        </w:rPr>
        <w:t xml:space="preserve"> —— 被校激光测风雷达俯仰角，°；</w:t>
      </w:r>
    </w:p>
    <w:p w14:paraId="3DE067F0">
      <w:pPr>
        <w:ind w:firstLine="560"/>
        <w:rPr>
          <w:color w:val="auto"/>
        </w:rPr>
      </w:pPr>
      <w:r>
        <w:rPr>
          <w:rFonts w:cs="Times New Roman"/>
          <w:i/>
          <w:iCs/>
          <w:color w:val="auto"/>
        </w:rPr>
        <w:t>β</w:t>
      </w:r>
      <w:r>
        <w:rPr>
          <w:rFonts w:hint="eastAsia" w:cs="Times New Roman"/>
          <w:color w:val="auto"/>
          <w:vertAlign w:val="subscript"/>
        </w:rPr>
        <w:t>LDV</w:t>
      </w:r>
      <w:r>
        <w:rPr>
          <w:rFonts w:hint="eastAsia"/>
          <w:color w:val="auto"/>
        </w:rPr>
        <w:t xml:space="preserve"> —— LDV光束俯仰角，°；</w:t>
      </w:r>
    </w:p>
    <w:p w14:paraId="7464018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19" w:name="_Toc235453899"/>
      <w:r>
        <w:rPr>
          <w:rFonts w:hint="eastAsia" w:ascii="宋体" w:hAnsi="宋体" w:eastAsia="宋体" w:cs="宋体"/>
          <w:color w:val="auto"/>
          <w:sz w:val="28"/>
          <w:szCs w:val="28"/>
        </w:rPr>
        <w:t>不确定度评定测量模型</w:t>
      </w:r>
      <w:bookmarkEnd w:id="19"/>
    </w:p>
    <w:p w14:paraId="40E1C117">
      <w:pPr>
        <w:ind w:firstLine="560"/>
        <w:rPr>
          <w:color w:val="auto"/>
        </w:rPr>
      </w:pPr>
      <w:r>
        <w:rPr>
          <w:rFonts w:hint="eastAsia"/>
          <w:color w:val="auto"/>
        </w:rPr>
        <w:t>在校准结果中，测量结果为示值误差，计算公式如下：</w:t>
      </w:r>
    </w:p>
    <w:p w14:paraId="60623EA0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12"/>
        </w:rPr>
        <w:object>
          <v:shape id="_x0000_i1026" o:spt="75" type="#_x0000_t75" style="height:21pt;width:71.2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2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052F2599">
      <w:pPr>
        <w:ind w:firstLine="560"/>
        <w:rPr>
          <w:color w:val="auto"/>
        </w:rPr>
      </w:pPr>
      <w:r>
        <w:rPr>
          <w:rFonts w:hint="eastAsia"/>
          <w:color w:val="auto"/>
        </w:rPr>
        <w:t>式中：</w:t>
      </w:r>
    </w:p>
    <w:p w14:paraId="67AD34CE">
      <w:pPr>
        <w:ind w:firstLine="560"/>
        <w:rPr>
          <w:iCs/>
          <w:color w:val="auto"/>
        </w:rPr>
      </w:pPr>
      <w:r>
        <w:rPr>
          <w:rFonts w:hint="eastAsia"/>
          <w:color w:val="auto"/>
        </w:rPr>
        <w:t>Δ</w:t>
      </w:r>
      <w:r>
        <w:rPr>
          <w:rFonts w:hint="eastAsia"/>
          <w:i/>
          <w:iCs/>
          <w:color w:val="auto"/>
        </w:rPr>
        <w:t>v</w:t>
      </w:r>
      <w:r>
        <w:rPr>
          <w:rFonts w:hint="eastAsia"/>
          <w:color w:val="auto"/>
          <w:vertAlign w:val="subscript"/>
        </w:rPr>
        <w:t>r</w:t>
      </w:r>
      <w:r>
        <w:rPr>
          <w:rFonts w:hint="eastAsia"/>
          <w:iCs/>
          <w:color w:val="auto"/>
        </w:rPr>
        <w:t xml:space="preserve"> —— 径向风速示值误差，m/s；</w:t>
      </w:r>
    </w:p>
    <w:p w14:paraId="5D730959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v</w:t>
      </w:r>
      <w:r>
        <w:rPr>
          <w:color w:val="auto"/>
          <w:eastAsianLayout w:id="34" w:combine="1"/>
        </w:rPr>
        <w:t>’</w:t>
      </w:r>
      <w:r>
        <w:rPr>
          <w:rFonts w:hint="eastAsia"/>
          <w:color w:val="auto"/>
          <w:eastAsianLayout w:id="35" w:combine="1"/>
        </w:rPr>
        <w:t xml:space="preserve"> r</w:t>
      </w:r>
      <w:r>
        <w:rPr>
          <w:rFonts w:hint="eastAsia"/>
          <w:color w:val="auto"/>
        </w:rPr>
        <w:t xml:space="preserve"> —— 被校激光测风雷达测量的径向速度，m/s</w:t>
      </w:r>
    </w:p>
    <w:p w14:paraId="064B6E93">
      <w:pPr>
        <w:ind w:firstLine="560"/>
        <w:rPr>
          <w:color w:val="auto"/>
        </w:rPr>
      </w:pPr>
      <w:r>
        <w:rPr>
          <w:rFonts w:hint="eastAsia"/>
          <w:color w:val="auto"/>
        </w:rPr>
        <w:t>将标准径向风速计算公式带入，测量模型为：</w:t>
      </w:r>
    </w:p>
    <w:p w14:paraId="6628D371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16"/>
        </w:rPr>
        <w:object>
          <v:shape id="_x0000_i1027" o:spt="75" type="#_x0000_t75" style="height:22.5pt;width:317.2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3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457D59C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20" w:name="_Toc235453900"/>
      <w:r>
        <w:rPr>
          <w:rFonts w:hint="eastAsia" w:ascii="宋体" w:hAnsi="宋体" w:eastAsia="宋体" w:cs="宋体"/>
          <w:color w:val="auto"/>
          <w:sz w:val="28"/>
          <w:szCs w:val="28"/>
        </w:rPr>
        <w:t>不确定度来源</w:t>
      </w:r>
      <w:bookmarkEnd w:id="20"/>
    </w:p>
    <w:p w14:paraId="0E695CFA">
      <w:pPr>
        <w:pStyle w:val="23"/>
        <w:numPr>
          <w:ilvl w:val="0"/>
          <w:numId w:val="3"/>
        </w:numPr>
        <w:ind w:firstLineChars="0"/>
        <w:rPr>
          <w:color w:val="auto"/>
        </w:rPr>
      </w:pPr>
      <w:r>
        <w:rPr>
          <w:rFonts w:hint="eastAsia"/>
          <w:color w:val="auto"/>
        </w:rPr>
        <w:t>被校激光测风雷达示值</w:t>
      </w:r>
      <w:r>
        <w:rPr>
          <w:rFonts w:hint="eastAsia"/>
          <w:i/>
          <w:iCs/>
          <w:color w:val="auto"/>
        </w:rPr>
        <w:t>v</w:t>
      </w:r>
      <w:r>
        <w:rPr>
          <w:color w:val="auto"/>
          <w:eastAsianLayout w:id="40" w:combine="1"/>
        </w:rPr>
        <w:t>’</w:t>
      </w:r>
      <w:r>
        <w:rPr>
          <w:rFonts w:hint="eastAsia"/>
          <w:color w:val="auto"/>
          <w:eastAsianLayout w:id="41" w:combine="1"/>
        </w:rPr>
        <w:t xml:space="preserve"> t</w:t>
      </w:r>
      <w:r>
        <w:rPr>
          <w:rFonts w:hint="eastAsia"/>
          <w:color w:val="auto"/>
        </w:rPr>
        <w:t>的测量重复性引入的标准不确定度</w:t>
      </w:r>
      <w:r>
        <w:rPr>
          <w:rFonts w:hint="eastAsia"/>
          <w:i/>
          <w:iCs/>
          <w:color w:val="auto"/>
        </w:rPr>
        <w:t>u</w:t>
      </w:r>
      <w:r>
        <w:rPr>
          <w:rFonts w:hint="eastAsia"/>
          <w:iCs/>
          <w:color w:val="auto"/>
          <w:vertAlign w:val="subscript"/>
        </w:rPr>
        <w:t>rep</w:t>
      </w:r>
      <w:r>
        <w:rPr>
          <w:rFonts w:hint="eastAsia"/>
          <w:color w:val="auto"/>
        </w:rPr>
        <w:t>；</w:t>
      </w:r>
    </w:p>
    <w:p w14:paraId="167DCFFB">
      <w:pPr>
        <w:pStyle w:val="23"/>
        <w:numPr>
          <w:ilvl w:val="0"/>
          <w:numId w:val="3"/>
        </w:numPr>
        <w:ind w:firstLineChars="0"/>
        <w:rPr>
          <w:color w:val="auto"/>
        </w:rPr>
      </w:pPr>
      <w:r>
        <w:rPr>
          <w:rFonts w:hint="eastAsia"/>
          <w:color w:val="auto"/>
        </w:rPr>
        <w:t>被校激光测风雷达分辨力引入的标准不确定度</w:t>
      </w:r>
      <w:r>
        <w:rPr>
          <w:rFonts w:hint="eastAsia"/>
          <w:i/>
          <w:iCs/>
          <w:color w:val="auto"/>
        </w:rPr>
        <w:t>u</w:t>
      </w:r>
      <w:r>
        <w:rPr>
          <w:rFonts w:hint="eastAsia"/>
          <w:iCs/>
          <w:color w:val="auto"/>
          <w:vertAlign w:val="subscript"/>
        </w:rPr>
        <w:t>res</w:t>
      </w:r>
      <w:r>
        <w:rPr>
          <w:rFonts w:hint="eastAsia"/>
          <w:color w:val="auto"/>
        </w:rPr>
        <w:t>；</w:t>
      </w:r>
    </w:p>
    <w:p w14:paraId="1F0E375A">
      <w:pPr>
        <w:pStyle w:val="23"/>
        <w:numPr>
          <w:ilvl w:val="0"/>
          <w:numId w:val="3"/>
        </w:numPr>
        <w:ind w:firstLineChars="0"/>
        <w:rPr>
          <w:color w:val="auto"/>
        </w:rPr>
      </w:pPr>
      <w:r>
        <w:rPr>
          <w:rFonts w:hint="eastAsia"/>
          <w:color w:val="auto"/>
        </w:rPr>
        <w:t>LDV系统校准的不确定度</w:t>
      </w:r>
      <w:r>
        <w:rPr>
          <w:rFonts w:hint="eastAsia"/>
          <w:i/>
          <w:iCs/>
          <w:color w:val="auto"/>
        </w:rPr>
        <w:t>u</w:t>
      </w:r>
      <w:r>
        <w:rPr>
          <w:rFonts w:hint="eastAsia"/>
          <w:iCs/>
          <w:color w:val="auto"/>
          <w:vertAlign w:val="subscript"/>
        </w:rPr>
        <w:t>cal</w:t>
      </w:r>
      <w:r>
        <w:rPr>
          <w:rFonts w:hint="eastAsia"/>
          <w:color w:val="auto"/>
        </w:rPr>
        <w:t>；</w:t>
      </w:r>
    </w:p>
    <w:p w14:paraId="2BAB942F">
      <w:pPr>
        <w:pStyle w:val="23"/>
        <w:numPr>
          <w:ilvl w:val="0"/>
          <w:numId w:val="3"/>
        </w:numPr>
        <w:ind w:firstLineChars="0"/>
        <w:rPr>
          <w:color w:val="auto"/>
        </w:rPr>
      </w:pPr>
      <w:r>
        <w:rPr>
          <w:rFonts w:hint="eastAsia"/>
          <w:color w:val="auto"/>
        </w:rPr>
        <w:t>LDV水平速度矢量测量</w:t>
      </w:r>
      <w:r>
        <w:rPr>
          <w:color w:val="auto"/>
        </w:rPr>
        <w:t>偏差</w:t>
      </w:r>
      <w:r>
        <w:rPr>
          <w:rFonts w:hint="eastAsia"/>
          <w:color w:val="auto"/>
        </w:rPr>
        <w:t>引入的标准不确定度</w:t>
      </w:r>
      <w:r>
        <w:rPr>
          <w:rFonts w:hint="eastAsia"/>
          <w:i/>
          <w:iCs/>
          <w:color w:val="auto"/>
        </w:rPr>
        <w:t>u</w:t>
      </w:r>
      <w:r>
        <w:rPr>
          <w:rFonts w:cs="Times New Roman"/>
          <w:color w:val="auto"/>
          <w:vertAlign w:val="subscript"/>
        </w:rPr>
        <w:t>α</w:t>
      </w:r>
      <w:r>
        <w:rPr>
          <w:rFonts w:hint="eastAsia"/>
          <w:color w:val="auto"/>
        </w:rPr>
        <w:t>；</w:t>
      </w:r>
    </w:p>
    <w:p w14:paraId="1C500DC3">
      <w:pPr>
        <w:pStyle w:val="23"/>
        <w:numPr>
          <w:ilvl w:val="0"/>
          <w:numId w:val="3"/>
        </w:numPr>
        <w:ind w:firstLineChars="0"/>
        <w:rPr>
          <w:color w:val="auto"/>
        </w:rPr>
      </w:pPr>
      <w:r>
        <w:rPr>
          <w:rFonts w:hint="eastAsia"/>
          <w:color w:val="auto"/>
        </w:rPr>
        <w:t>LDV光束俯仰角引入的不确定度</w:t>
      </w:r>
      <w:r>
        <w:rPr>
          <w:rFonts w:cs="Times New Roman"/>
          <w:i/>
          <w:iCs/>
          <w:color w:val="auto"/>
        </w:rPr>
        <w:t>u</w:t>
      </w:r>
      <w:r>
        <w:rPr>
          <w:rFonts w:cs="Times New Roman"/>
          <w:color w:val="auto"/>
          <w:vertAlign w:val="subscript"/>
        </w:rPr>
        <w:t>β</w:t>
      </w:r>
      <w:r>
        <w:rPr>
          <w:rFonts w:hint="eastAsia" w:cs="Times New Roman"/>
          <w:color w:val="auto"/>
          <w:vertAlign w:val="subscript"/>
        </w:rPr>
        <w:t>LDV</w:t>
      </w:r>
      <w:r>
        <w:rPr>
          <w:rFonts w:hint="eastAsia"/>
          <w:color w:val="auto"/>
        </w:rPr>
        <w:t>；</w:t>
      </w:r>
    </w:p>
    <w:p w14:paraId="0F2956FE">
      <w:pPr>
        <w:pStyle w:val="23"/>
        <w:numPr>
          <w:ilvl w:val="0"/>
          <w:numId w:val="3"/>
        </w:numPr>
        <w:ind w:firstLineChars="0"/>
        <w:rPr>
          <w:color w:val="auto"/>
        </w:rPr>
      </w:pPr>
      <w:bookmarkStart w:id="21" w:name="OLE_LINK5"/>
      <w:r>
        <w:rPr>
          <w:rFonts w:hint="eastAsia"/>
          <w:color w:val="auto"/>
        </w:rPr>
        <w:t>被校激光测风雷达光束俯仰角对准引入的不确定度</w:t>
      </w:r>
      <w:bookmarkEnd w:id="21"/>
      <w:bookmarkStart w:id="22" w:name="OLE_LINK13"/>
      <w:r>
        <w:rPr>
          <w:rFonts w:cs="Times New Roman"/>
          <w:i/>
          <w:iCs/>
          <w:color w:val="auto"/>
        </w:rPr>
        <w:t>u</w:t>
      </w:r>
      <w:r>
        <w:rPr>
          <w:rFonts w:cs="Times New Roman"/>
          <w:color w:val="auto"/>
          <w:vertAlign w:val="subscript"/>
        </w:rPr>
        <w:t>β</w:t>
      </w:r>
      <w:r>
        <w:rPr>
          <w:rFonts w:hint="eastAsia" w:cs="Times New Roman"/>
          <w:color w:val="auto"/>
          <w:vertAlign w:val="subscript"/>
        </w:rPr>
        <w:t>lidar</w:t>
      </w:r>
      <w:bookmarkEnd w:id="22"/>
    </w:p>
    <w:p w14:paraId="1190A9BC">
      <w:pPr>
        <w:pStyle w:val="23"/>
        <w:numPr>
          <w:ilvl w:val="0"/>
          <w:numId w:val="3"/>
        </w:numPr>
        <w:ind w:firstLineChars="0"/>
        <w:rPr>
          <w:color w:val="auto"/>
        </w:rPr>
      </w:pPr>
      <w:r>
        <w:rPr>
          <w:color w:val="auto"/>
        </w:rPr>
        <w:t>角度控制系统编码器增量定位误差引入的不确定度</w:t>
      </w:r>
      <w:r>
        <w:rPr>
          <w:rFonts w:hint="eastAsia"/>
          <w:i/>
          <w:iCs/>
          <w:color w:val="auto"/>
        </w:rPr>
        <w:t>u</w:t>
      </w:r>
      <w:r>
        <w:rPr>
          <w:rFonts w:hint="eastAsia"/>
          <w:iCs/>
          <w:color w:val="auto"/>
          <w:vertAlign w:val="subscript"/>
        </w:rPr>
        <w:t>enc</w:t>
      </w:r>
      <w:r>
        <w:rPr>
          <w:rFonts w:hint="eastAsia"/>
          <w:color w:val="auto"/>
        </w:rPr>
        <w:t>；</w:t>
      </w:r>
    </w:p>
    <w:p w14:paraId="0A02474A">
      <w:pPr>
        <w:pStyle w:val="23"/>
        <w:numPr>
          <w:ilvl w:val="0"/>
          <w:numId w:val="3"/>
        </w:numPr>
        <w:ind w:firstLineChars="0"/>
        <w:rPr>
          <w:color w:val="auto"/>
        </w:rPr>
      </w:pPr>
      <w:bookmarkStart w:id="23" w:name="OLE_LINK6"/>
      <w:r>
        <w:rPr>
          <w:color w:val="auto"/>
        </w:rPr>
        <w:t>角度调零零点残余误差引入的不确定度</w:t>
      </w:r>
      <w:bookmarkEnd w:id="23"/>
      <w:r>
        <w:rPr>
          <w:rFonts w:hint="eastAsia"/>
          <w:i/>
          <w:iCs/>
          <w:color w:val="auto"/>
        </w:rPr>
        <w:t>u</w:t>
      </w:r>
      <w:r>
        <w:rPr>
          <w:rFonts w:hint="eastAsia"/>
          <w:color w:val="auto"/>
          <w:vertAlign w:val="subscript"/>
        </w:rPr>
        <w:t>zero</w:t>
      </w:r>
      <w:r>
        <w:rPr>
          <w:rFonts w:hint="eastAsia"/>
          <w:color w:val="auto"/>
        </w:rPr>
        <w:t>；</w:t>
      </w:r>
    </w:p>
    <w:p w14:paraId="0475AB4A">
      <w:pPr>
        <w:widowControl/>
        <w:spacing w:line="240" w:lineRule="auto"/>
        <w:ind w:firstLine="0" w:firstLineChars="0"/>
        <w:jc w:val="center"/>
        <w:rPr>
          <w:rFonts w:hint="eastAsia" w:ascii="黑体" w:hAnsi="黑体" w:eastAsia="黑体" w:cs="黑体"/>
          <w:color w:val="auto"/>
          <w:sz w:val="24"/>
          <w:szCs w:val="21"/>
        </w:rPr>
      </w:pPr>
      <w:r>
        <w:rPr>
          <w:rFonts w:hint="eastAsia" w:ascii="黑体" w:hAnsi="黑体" w:eastAsia="黑体" w:cs="黑体"/>
          <w:color w:val="auto"/>
          <w:sz w:val="24"/>
          <w:szCs w:val="21"/>
        </w:rPr>
        <w:t xml:space="preserve">表 </w:t>
      </w:r>
      <w:r>
        <w:rPr>
          <w:rFonts w:hint="eastAsia" w:ascii="黑体" w:hAnsi="黑体" w:eastAsia="黑体" w:cs="黑体"/>
          <w:color w:val="auto"/>
          <w:sz w:val="24"/>
          <w:szCs w:val="21"/>
        </w:rPr>
        <w:fldChar w:fldCharType="begin"/>
      </w:r>
      <w:r>
        <w:rPr>
          <w:rFonts w:hint="eastAsia" w:ascii="黑体" w:hAnsi="黑体" w:eastAsia="黑体" w:cs="黑体"/>
          <w:color w:val="auto"/>
          <w:sz w:val="24"/>
          <w:szCs w:val="21"/>
        </w:rPr>
        <w:instrText xml:space="preserve"> SEQ 表 \* ARABIC </w:instrText>
      </w:r>
      <w:r>
        <w:rPr>
          <w:rFonts w:hint="eastAsia" w:ascii="黑体" w:hAnsi="黑体" w:eastAsia="黑体" w:cs="黑体"/>
          <w:color w:val="auto"/>
          <w:sz w:val="24"/>
          <w:szCs w:val="21"/>
        </w:rPr>
        <w:fldChar w:fldCharType="separate"/>
      </w:r>
      <w:r>
        <w:rPr>
          <w:rFonts w:hint="eastAsia" w:ascii="黑体" w:hAnsi="黑体" w:eastAsia="黑体" w:cs="黑体"/>
          <w:color w:val="auto"/>
          <w:sz w:val="24"/>
          <w:szCs w:val="21"/>
        </w:rPr>
        <w:t>2</w:t>
      </w:r>
      <w:r>
        <w:rPr>
          <w:rFonts w:hint="eastAsia" w:ascii="黑体" w:hAnsi="黑体" w:eastAsia="黑体" w:cs="黑体"/>
          <w:color w:val="auto"/>
          <w:sz w:val="24"/>
          <w:szCs w:val="21"/>
        </w:rPr>
        <w:fldChar w:fldCharType="end"/>
      </w:r>
      <w:r>
        <w:rPr>
          <w:rFonts w:hint="eastAsia" w:ascii="黑体" w:hAnsi="黑体" w:eastAsia="黑体" w:cs="黑体"/>
          <w:color w:val="auto"/>
          <w:sz w:val="24"/>
          <w:szCs w:val="21"/>
        </w:rPr>
        <w:t>不确定度来源汇总</w:t>
      </w:r>
    </w:p>
    <w:tbl>
      <w:tblPr>
        <w:tblStyle w:val="19"/>
        <w:tblW w:w="9349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3742"/>
        <w:gridCol w:w="1541"/>
        <w:gridCol w:w="1558"/>
        <w:gridCol w:w="1558"/>
      </w:tblGrid>
      <w:tr w14:paraId="37E07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1C00DCA0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3742" w:type="dxa"/>
            <w:vAlign w:val="center"/>
          </w:tcPr>
          <w:p w14:paraId="681C9FD1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不确定度来源</w:t>
            </w:r>
          </w:p>
        </w:tc>
        <w:tc>
          <w:tcPr>
            <w:tcW w:w="1541" w:type="dxa"/>
            <w:vAlign w:val="center"/>
          </w:tcPr>
          <w:p w14:paraId="6111113D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符号</w:t>
            </w:r>
          </w:p>
        </w:tc>
        <w:tc>
          <w:tcPr>
            <w:tcW w:w="1558" w:type="dxa"/>
            <w:vAlign w:val="center"/>
          </w:tcPr>
          <w:p w14:paraId="2D2C0FE2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评定类型</w:t>
            </w:r>
          </w:p>
        </w:tc>
        <w:tc>
          <w:tcPr>
            <w:tcW w:w="1558" w:type="dxa"/>
            <w:vAlign w:val="center"/>
          </w:tcPr>
          <w:p w14:paraId="0E6A2DB7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分布类型</w:t>
            </w:r>
          </w:p>
        </w:tc>
      </w:tr>
      <w:tr w14:paraId="3768B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3A76F1CF">
            <w:pPr>
              <w:pStyle w:val="33"/>
              <w:numPr>
                <w:ilvl w:val="0"/>
                <w:numId w:val="4"/>
              </w:numPr>
              <w:rPr>
                <w:color w:val="auto"/>
              </w:rPr>
            </w:pPr>
          </w:p>
        </w:tc>
        <w:tc>
          <w:tcPr>
            <w:tcW w:w="3742" w:type="dxa"/>
            <w:vAlign w:val="center"/>
          </w:tcPr>
          <w:p w14:paraId="0027751C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被校激光测风雷达示值</w:t>
            </w:r>
            <w:bookmarkStart w:id="24" w:name="OLE_LINK15"/>
            <w:r>
              <w:rPr>
                <w:rFonts w:hint="eastAsia"/>
                <w:i/>
                <w:iCs/>
                <w:color w:val="auto"/>
              </w:rPr>
              <w:t>v</w:t>
            </w:r>
            <w:r>
              <w:rPr>
                <w:color w:val="auto"/>
                <w:eastAsianLayout w:id="43" w:combine="1"/>
              </w:rPr>
              <w:t>’</w:t>
            </w:r>
            <w:r>
              <w:rPr>
                <w:rFonts w:hint="eastAsia"/>
                <w:color w:val="auto"/>
                <w:eastAsianLayout w:id="44" w:combine="1"/>
              </w:rPr>
              <w:t xml:space="preserve"> t</w:t>
            </w:r>
            <w:bookmarkEnd w:id="24"/>
            <w:r>
              <w:rPr>
                <w:rFonts w:hint="eastAsia"/>
                <w:color w:val="auto"/>
              </w:rPr>
              <w:t>的测量重复性引入的标准不确定度</w:t>
            </w:r>
          </w:p>
        </w:tc>
        <w:tc>
          <w:tcPr>
            <w:tcW w:w="1541" w:type="dxa"/>
            <w:vAlign w:val="center"/>
          </w:tcPr>
          <w:p w14:paraId="39A237C5">
            <w:pPr>
              <w:pStyle w:val="33"/>
              <w:rPr>
                <w:color w:val="auto"/>
              </w:rPr>
            </w:pPr>
            <w:bookmarkStart w:id="25" w:name="OLE_LINK8"/>
            <w:bookmarkStart w:id="26" w:name="OLE_LINK11"/>
            <w:r>
              <w:rPr>
                <w:rFonts w:hint="eastAsia"/>
                <w:i/>
                <w:iCs/>
                <w:color w:val="auto"/>
              </w:rPr>
              <w:t>u</w:t>
            </w:r>
            <w:bookmarkEnd w:id="25"/>
            <w:r>
              <w:rPr>
                <w:rFonts w:hint="eastAsia"/>
                <w:iCs/>
                <w:color w:val="auto"/>
                <w:vertAlign w:val="subscript"/>
              </w:rPr>
              <w:t>rep</w:t>
            </w:r>
            <w:bookmarkEnd w:id="26"/>
          </w:p>
        </w:tc>
        <w:tc>
          <w:tcPr>
            <w:tcW w:w="1558" w:type="dxa"/>
            <w:vAlign w:val="center"/>
          </w:tcPr>
          <w:p w14:paraId="04C45DA9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A</w:t>
            </w:r>
          </w:p>
        </w:tc>
        <w:tc>
          <w:tcPr>
            <w:tcW w:w="1558" w:type="dxa"/>
            <w:vAlign w:val="center"/>
          </w:tcPr>
          <w:p w14:paraId="7C49CF7E">
            <w:pPr>
              <w:pStyle w:val="33"/>
              <w:rPr>
                <w:color w:val="auto"/>
              </w:rPr>
            </w:pPr>
            <w:bookmarkStart w:id="27" w:name="OLE_LINK7"/>
            <w:r>
              <w:rPr>
                <w:rFonts w:hint="eastAsia"/>
                <w:color w:val="auto"/>
              </w:rPr>
              <w:t>正态</w:t>
            </w:r>
            <w:bookmarkEnd w:id="27"/>
          </w:p>
        </w:tc>
      </w:tr>
      <w:tr w14:paraId="5718F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46776B0A">
            <w:pPr>
              <w:pStyle w:val="33"/>
              <w:numPr>
                <w:ilvl w:val="0"/>
                <w:numId w:val="4"/>
              </w:numPr>
              <w:rPr>
                <w:color w:val="auto"/>
              </w:rPr>
            </w:pPr>
          </w:p>
        </w:tc>
        <w:tc>
          <w:tcPr>
            <w:tcW w:w="3742" w:type="dxa"/>
            <w:vAlign w:val="center"/>
          </w:tcPr>
          <w:p w14:paraId="6E522E2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被校激光测风雷达分辨力引入的标准不确定度</w:t>
            </w:r>
          </w:p>
        </w:tc>
        <w:tc>
          <w:tcPr>
            <w:tcW w:w="1541" w:type="dxa"/>
            <w:vAlign w:val="center"/>
          </w:tcPr>
          <w:p w14:paraId="4DFAEBD1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iCs/>
                <w:color w:val="auto"/>
                <w:vertAlign w:val="subscript"/>
              </w:rPr>
              <w:t>res</w:t>
            </w:r>
          </w:p>
        </w:tc>
        <w:tc>
          <w:tcPr>
            <w:tcW w:w="1558" w:type="dxa"/>
            <w:vAlign w:val="center"/>
          </w:tcPr>
          <w:p w14:paraId="61C09D79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B</w:t>
            </w:r>
          </w:p>
        </w:tc>
        <w:tc>
          <w:tcPr>
            <w:tcW w:w="1558" w:type="dxa"/>
            <w:vAlign w:val="center"/>
          </w:tcPr>
          <w:p w14:paraId="356623F8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均匀</w:t>
            </w:r>
          </w:p>
        </w:tc>
      </w:tr>
      <w:tr w14:paraId="40947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631B77A4">
            <w:pPr>
              <w:pStyle w:val="33"/>
              <w:numPr>
                <w:ilvl w:val="0"/>
                <w:numId w:val="4"/>
              </w:numPr>
              <w:rPr>
                <w:color w:val="auto"/>
              </w:rPr>
            </w:pPr>
          </w:p>
        </w:tc>
        <w:tc>
          <w:tcPr>
            <w:tcW w:w="3742" w:type="dxa"/>
            <w:vAlign w:val="center"/>
          </w:tcPr>
          <w:p w14:paraId="2FC9C47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LDV系统校准的标准不确定度</w:t>
            </w:r>
          </w:p>
        </w:tc>
        <w:tc>
          <w:tcPr>
            <w:tcW w:w="1541" w:type="dxa"/>
            <w:vAlign w:val="center"/>
          </w:tcPr>
          <w:p w14:paraId="3A24EA92">
            <w:pPr>
              <w:pStyle w:val="33"/>
              <w:rPr>
                <w:color w:val="auto"/>
              </w:rPr>
            </w:pPr>
            <w:bookmarkStart w:id="28" w:name="OLE_LINK12"/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iCs/>
                <w:color w:val="auto"/>
                <w:vertAlign w:val="subscript"/>
              </w:rPr>
              <w:t>cal</w:t>
            </w:r>
            <w:bookmarkEnd w:id="28"/>
          </w:p>
        </w:tc>
        <w:tc>
          <w:tcPr>
            <w:tcW w:w="1558" w:type="dxa"/>
            <w:vAlign w:val="center"/>
          </w:tcPr>
          <w:p w14:paraId="6A81F22C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B</w:t>
            </w:r>
          </w:p>
        </w:tc>
        <w:tc>
          <w:tcPr>
            <w:tcW w:w="1558" w:type="dxa"/>
            <w:vAlign w:val="center"/>
          </w:tcPr>
          <w:p w14:paraId="16347AFF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正态</w:t>
            </w:r>
          </w:p>
        </w:tc>
      </w:tr>
      <w:tr w14:paraId="60B6A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6B2EFAAA">
            <w:pPr>
              <w:pStyle w:val="33"/>
              <w:numPr>
                <w:ilvl w:val="0"/>
                <w:numId w:val="4"/>
              </w:numPr>
              <w:rPr>
                <w:color w:val="auto"/>
              </w:rPr>
            </w:pPr>
          </w:p>
        </w:tc>
        <w:tc>
          <w:tcPr>
            <w:tcW w:w="3742" w:type="dxa"/>
            <w:vAlign w:val="center"/>
          </w:tcPr>
          <w:p w14:paraId="04534C6A">
            <w:pPr>
              <w:pStyle w:val="33"/>
              <w:rPr>
                <w:color w:val="auto"/>
              </w:rPr>
            </w:pPr>
            <w:bookmarkStart w:id="29" w:name="OLE_LINK18"/>
            <w:r>
              <w:rPr>
                <w:rFonts w:hint="eastAsia"/>
                <w:color w:val="auto"/>
              </w:rPr>
              <w:t>LDV水平速度矢量测量</w:t>
            </w:r>
            <w:r>
              <w:rPr>
                <w:color w:val="auto"/>
              </w:rPr>
              <w:t>偏差</w:t>
            </w:r>
            <w:r>
              <w:rPr>
                <w:rFonts w:hint="eastAsia"/>
                <w:color w:val="auto"/>
              </w:rPr>
              <w:t>引入的标准不确定度</w:t>
            </w:r>
            <w:bookmarkEnd w:id="29"/>
          </w:p>
        </w:tc>
        <w:tc>
          <w:tcPr>
            <w:tcW w:w="1541" w:type="dxa"/>
            <w:vAlign w:val="center"/>
          </w:tcPr>
          <w:p w14:paraId="1D95C4DC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cs="Times New Roman"/>
                <w:color w:val="auto"/>
                <w:vertAlign w:val="subscript"/>
              </w:rPr>
              <w:t>α</w:t>
            </w:r>
          </w:p>
        </w:tc>
        <w:tc>
          <w:tcPr>
            <w:tcW w:w="1558" w:type="dxa"/>
            <w:vAlign w:val="center"/>
          </w:tcPr>
          <w:p w14:paraId="0AA72D57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B</w:t>
            </w:r>
          </w:p>
        </w:tc>
        <w:tc>
          <w:tcPr>
            <w:tcW w:w="1558" w:type="dxa"/>
            <w:vAlign w:val="center"/>
          </w:tcPr>
          <w:p w14:paraId="4A832A3D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均匀</w:t>
            </w:r>
          </w:p>
        </w:tc>
      </w:tr>
      <w:tr w14:paraId="60D6E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254E414A">
            <w:pPr>
              <w:pStyle w:val="33"/>
              <w:numPr>
                <w:ilvl w:val="0"/>
                <w:numId w:val="4"/>
              </w:numPr>
              <w:rPr>
                <w:color w:val="auto"/>
              </w:rPr>
            </w:pPr>
          </w:p>
        </w:tc>
        <w:tc>
          <w:tcPr>
            <w:tcW w:w="3742" w:type="dxa"/>
            <w:vAlign w:val="center"/>
          </w:tcPr>
          <w:p w14:paraId="462B80C2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LDV光束俯仰角引入的不确定度</w:t>
            </w:r>
          </w:p>
        </w:tc>
        <w:tc>
          <w:tcPr>
            <w:tcW w:w="1541" w:type="dxa"/>
            <w:vAlign w:val="center"/>
          </w:tcPr>
          <w:p w14:paraId="4BBECDF3">
            <w:pPr>
              <w:pStyle w:val="33"/>
              <w:rPr>
                <w:color w:val="auto"/>
              </w:rPr>
            </w:pPr>
            <w:r>
              <w:rPr>
                <w:rFonts w:cs="Times New Roman"/>
                <w:i/>
                <w:iCs/>
                <w:color w:val="auto"/>
              </w:rPr>
              <w:t>u</w:t>
            </w:r>
            <w:r>
              <w:rPr>
                <w:rFonts w:cs="Times New Roman"/>
                <w:color w:val="auto"/>
                <w:vertAlign w:val="subscript"/>
              </w:rPr>
              <w:t>β</w:t>
            </w:r>
            <w:r>
              <w:rPr>
                <w:rFonts w:hint="eastAsia" w:cs="Times New Roman"/>
                <w:color w:val="auto"/>
                <w:vertAlign w:val="subscript"/>
              </w:rPr>
              <w:t>LDV</w:t>
            </w:r>
          </w:p>
        </w:tc>
        <w:tc>
          <w:tcPr>
            <w:tcW w:w="1558" w:type="dxa"/>
            <w:vAlign w:val="center"/>
          </w:tcPr>
          <w:p w14:paraId="0DF77A4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B</w:t>
            </w:r>
          </w:p>
        </w:tc>
        <w:tc>
          <w:tcPr>
            <w:tcW w:w="1558" w:type="dxa"/>
            <w:vAlign w:val="center"/>
          </w:tcPr>
          <w:p w14:paraId="6A19D90A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均匀</w:t>
            </w:r>
          </w:p>
        </w:tc>
      </w:tr>
      <w:tr w14:paraId="24D7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0C91ACE8">
            <w:pPr>
              <w:pStyle w:val="33"/>
              <w:numPr>
                <w:ilvl w:val="0"/>
                <w:numId w:val="4"/>
              </w:numPr>
              <w:rPr>
                <w:color w:val="auto"/>
              </w:rPr>
            </w:pPr>
          </w:p>
        </w:tc>
        <w:tc>
          <w:tcPr>
            <w:tcW w:w="3742" w:type="dxa"/>
            <w:vAlign w:val="center"/>
          </w:tcPr>
          <w:p w14:paraId="4BA2FFD2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被校激光测风雷达光束俯仰角对准引入的不确定度</w:t>
            </w:r>
          </w:p>
        </w:tc>
        <w:tc>
          <w:tcPr>
            <w:tcW w:w="1541" w:type="dxa"/>
            <w:vAlign w:val="center"/>
          </w:tcPr>
          <w:p w14:paraId="473CF654">
            <w:pPr>
              <w:pStyle w:val="33"/>
              <w:rPr>
                <w:rFonts w:cs="Times New Roman"/>
                <w:i/>
                <w:iCs/>
                <w:color w:val="auto"/>
              </w:rPr>
            </w:pPr>
            <w:r>
              <w:rPr>
                <w:rFonts w:cs="Times New Roman"/>
                <w:i/>
                <w:iCs/>
                <w:color w:val="auto"/>
              </w:rPr>
              <w:t>u</w:t>
            </w:r>
            <w:r>
              <w:rPr>
                <w:rFonts w:cs="Times New Roman"/>
                <w:color w:val="auto"/>
                <w:vertAlign w:val="subscript"/>
              </w:rPr>
              <w:t>βlidar</w:t>
            </w:r>
          </w:p>
        </w:tc>
        <w:tc>
          <w:tcPr>
            <w:tcW w:w="1558" w:type="dxa"/>
            <w:vAlign w:val="center"/>
          </w:tcPr>
          <w:p w14:paraId="08C2C298">
            <w:pPr>
              <w:pStyle w:val="33"/>
              <w:rPr>
                <w:color w:val="auto"/>
              </w:rPr>
            </w:pPr>
            <w:r>
              <w:rPr>
                <w:color w:val="auto"/>
              </w:rPr>
              <w:t>B</w:t>
            </w:r>
          </w:p>
        </w:tc>
        <w:tc>
          <w:tcPr>
            <w:tcW w:w="1558" w:type="dxa"/>
            <w:vAlign w:val="center"/>
          </w:tcPr>
          <w:p w14:paraId="32AFFF09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均匀</w:t>
            </w:r>
          </w:p>
        </w:tc>
      </w:tr>
      <w:tr w14:paraId="1A663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73F86677">
            <w:pPr>
              <w:pStyle w:val="33"/>
              <w:numPr>
                <w:ilvl w:val="0"/>
                <w:numId w:val="4"/>
              </w:numPr>
              <w:rPr>
                <w:color w:val="auto"/>
              </w:rPr>
            </w:pPr>
          </w:p>
        </w:tc>
        <w:tc>
          <w:tcPr>
            <w:tcW w:w="3742" w:type="dxa"/>
            <w:vAlign w:val="center"/>
          </w:tcPr>
          <w:p w14:paraId="1B7FC683">
            <w:pPr>
              <w:pStyle w:val="33"/>
              <w:rPr>
                <w:color w:val="auto"/>
              </w:rPr>
            </w:pPr>
            <w:r>
              <w:rPr>
                <w:color w:val="auto"/>
              </w:rPr>
              <w:t>角度控制系统编码器增量定位误差引入的不确定度</w:t>
            </w:r>
          </w:p>
        </w:tc>
        <w:tc>
          <w:tcPr>
            <w:tcW w:w="1541" w:type="dxa"/>
            <w:vAlign w:val="center"/>
          </w:tcPr>
          <w:p w14:paraId="148A8155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iCs/>
                <w:color w:val="auto"/>
                <w:vertAlign w:val="subscript"/>
              </w:rPr>
              <w:t>enc</w:t>
            </w:r>
          </w:p>
        </w:tc>
        <w:tc>
          <w:tcPr>
            <w:tcW w:w="1558" w:type="dxa"/>
            <w:vAlign w:val="center"/>
          </w:tcPr>
          <w:p w14:paraId="0FEF5CFE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B</w:t>
            </w:r>
          </w:p>
        </w:tc>
        <w:tc>
          <w:tcPr>
            <w:tcW w:w="1558" w:type="dxa"/>
            <w:vAlign w:val="center"/>
          </w:tcPr>
          <w:p w14:paraId="6CCF4819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均匀</w:t>
            </w:r>
          </w:p>
        </w:tc>
      </w:tr>
      <w:tr w14:paraId="704FD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Align w:val="center"/>
          </w:tcPr>
          <w:p w14:paraId="72D8C0EB">
            <w:pPr>
              <w:pStyle w:val="33"/>
              <w:numPr>
                <w:ilvl w:val="0"/>
                <w:numId w:val="4"/>
              </w:numPr>
              <w:rPr>
                <w:color w:val="auto"/>
              </w:rPr>
            </w:pPr>
          </w:p>
        </w:tc>
        <w:tc>
          <w:tcPr>
            <w:tcW w:w="3742" w:type="dxa"/>
            <w:vAlign w:val="center"/>
          </w:tcPr>
          <w:p w14:paraId="006DE54C">
            <w:pPr>
              <w:pStyle w:val="33"/>
              <w:rPr>
                <w:color w:val="auto"/>
              </w:rPr>
            </w:pPr>
            <w:r>
              <w:rPr>
                <w:color w:val="auto"/>
              </w:rPr>
              <w:t>角度调零零点残余误差引入的不确定度</w:t>
            </w:r>
          </w:p>
        </w:tc>
        <w:tc>
          <w:tcPr>
            <w:tcW w:w="1541" w:type="dxa"/>
            <w:vAlign w:val="center"/>
          </w:tcPr>
          <w:p w14:paraId="5D7850C3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color w:val="auto"/>
                <w:vertAlign w:val="subscript"/>
              </w:rPr>
              <w:t>zero</w:t>
            </w:r>
          </w:p>
        </w:tc>
        <w:tc>
          <w:tcPr>
            <w:tcW w:w="1558" w:type="dxa"/>
            <w:vAlign w:val="center"/>
          </w:tcPr>
          <w:p w14:paraId="130233B5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B</w:t>
            </w:r>
          </w:p>
        </w:tc>
        <w:tc>
          <w:tcPr>
            <w:tcW w:w="1558" w:type="dxa"/>
            <w:vAlign w:val="center"/>
          </w:tcPr>
          <w:p w14:paraId="568668D7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均匀</w:t>
            </w:r>
          </w:p>
        </w:tc>
      </w:tr>
    </w:tbl>
    <w:p w14:paraId="4D932704">
      <w:pPr>
        <w:pStyle w:val="11"/>
        <w:spacing w:before="156" w:after="156"/>
        <w:rPr>
          <w:color w:val="auto"/>
        </w:rPr>
      </w:pPr>
      <w:r>
        <w:rPr>
          <w:rFonts w:hint="eastAsia"/>
          <w:color w:val="auto"/>
        </w:rPr>
        <w:t xml:space="preserve">表 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SEQ 表 \* ARABIC</w:instrText>
      </w:r>
      <w:r>
        <w:rPr>
          <w:color w:val="auto"/>
        </w:rPr>
        <w:instrText xml:space="preserve">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灵敏系数对应表</w:t>
      </w:r>
    </w:p>
    <w:tbl>
      <w:tblPr>
        <w:tblStyle w:val="19"/>
        <w:tblW w:w="10631" w:type="dxa"/>
        <w:tblInd w:w="-1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711"/>
        <w:gridCol w:w="2012"/>
        <w:gridCol w:w="1664"/>
        <w:gridCol w:w="4394"/>
      </w:tblGrid>
      <w:tr w14:paraId="285B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6F02DA67">
            <w:pPr>
              <w:pStyle w:val="41"/>
              <w:rPr>
                <w:color w:val="auto"/>
              </w:rPr>
            </w:pPr>
            <w:r>
              <w:rPr>
                <w:color w:val="auto"/>
              </w:rPr>
              <w:t>序号</w:t>
            </w:r>
          </w:p>
        </w:tc>
        <w:tc>
          <w:tcPr>
            <w:tcW w:w="1711" w:type="dxa"/>
            <w:vAlign w:val="center"/>
          </w:tcPr>
          <w:p w14:paraId="5B81A1EB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灵敏系数符号</w:t>
            </w:r>
          </w:p>
        </w:tc>
        <w:tc>
          <w:tcPr>
            <w:tcW w:w="2012" w:type="dxa"/>
          </w:tcPr>
          <w:p w14:paraId="3AAADF5C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影响变量</w:t>
            </w:r>
          </w:p>
        </w:tc>
        <w:tc>
          <w:tcPr>
            <w:tcW w:w="1664" w:type="dxa"/>
            <w:vAlign w:val="center"/>
          </w:tcPr>
          <w:p w14:paraId="172DA1FE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标准不确定度</w:t>
            </w:r>
          </w:p>
        </w:tc>
        <w:tc>
          <w:tcPr>
            <w:tcW w:w="4394" w:type="dxa"/>
            <w:vAlign w:val="center"/>
          </w:tcPr>
          <w:p w14:paraId="065FE830">
            <w:pPr>
              <w:pStyle w:val="41"/>
              <w:rPr>
                <w:color w:val="auto"/>
              </w:rPr>
            </w:pPr>
            <w:r>
              <w:rPr>
                <w:color w:val="auto"/>
              </w:rPr>
              <w:t>灵敏系数</w:t>
            </w:r>
          </w:p>
        </w:tc>
      </w:tr>
      <w:tr w14:paraId="7A0B4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4F21444C">
            <w:pPr>
              <w:pStyle w:val="33"/>
              <w:numPr>
                <w:ilvl w:val="0"/>
                <w:numId w:val="5"/>
              </w:numPr>
              <w:rPr>
                <w:color w:val="auto"/>
              </w:rPr>
            </w:pPr>
          </w:p>
        </w:tc>
        <w:tc>
          <w:tcPr>
            <w:tcW w:w="1711" w:type="dxa"/>
            <w:vAlign w:val="center"/>
          </w:tcPr>
          <w:p w14:paraId="4A45F44C">
            <w:pPr>
              <w:pStyle w:val="33"/>
              <w:rPr>
                <w:color w:val="auto"/>
                <w:vertAlign w:val="subscript"/>
              </w:rPr>
            </w:pPr>
            <w:r>
              <w:rPr>
                <w:rFonts w:hint="eastAsia"/>
                <w:i/>
                <w:iCs/>
                <w:color w:val="auto"/>
              </w:rPr>
              <w:t>c</w:t>
            </w:r>
            <w:r>
              <w:rPr>
                <w:rFonts w:hint="eastAsia"/>
                <w:color w:val="auto"/>
                <w:vertAlign w:val="subscript"/>
              </w:rPr>
              <w:t>1</w:t>
            </w:r>
          </w:p>
        </w:tc>
        <w:tc>
          <w:tcPr>
            <w:tcW w:w="2012" w:type="dxa"/>
          </w:tcPr>
          <w:p w14:paraId="7C0D94B0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v</w:t>
            </w:r>
            <w:r>
              <w:rPr>
                <w:color w:val="auto"/>
                <w:eastAsianLayout w:id="46" w:combine="1"/>
              </w:rPr>
              <w:t>’</w:t>
            </w:r>
            <w:r>
              <w:rPr>
                <w:rFonts w:hint="eastAsia"/>
                <w:color w:val="auto"/>
                <w:eastAsianLayout w:id="47" w:combine="1"/>
              </w:rPr>
              <w:t xml:space="preserve"> t</w:t>
            </w:r>
          </w:p>
        </w:tc>
        <w:tc>
          <w:tcPr>
            <w:tcW w:w="1664" w:type="dxa"/>
            <w:vAlign w:val="center"/>
          </w:tcPr>
          <w:p w14:paraId="78B9D588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iCs/>
                <w:color w:val="auto"/>
                <w:vertAlign w:val="subscript"/>
              </w:rPr>
              <w:t>rep</w:t>
            </w:r>
          </w:p>
        </w:tc>
        <w:tc>
          <w:tcPr>
            <w:tcW w:w="4394" w:type="dxa"/>
            <w:vAlign w:val="center"/>
          </w:tcPr>
          <w:p w14:paraId="13568A7B">
            <w:pPr>
              <w:pStyle w:val="33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14:paraId="1877B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1DF4E28D">
            <w:pPr>
              <w:pStyle w:val="33"/>
              <w:numPr>
                <w:ilvl w:val="0"/>
                <w:numId w:val="5"/>
              </w:numPr>
              <w:rPr>
                <w:color w:val="auto"/>
              </w:rPr>
            </w:pPr>
          </w:p>
        </w:tc>
        <w:tc>
          <w:tcPr>
            <w:tcW w:w="1711" w:type="dxa"/>
          </w:tcPr>
          <w:p w14:paraId="56A3FB49">
            <w:pPr>
              <w:pStyle w:val="33"/>
              <w:rPr>
                <w:i/>
                <w:iCs/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c</w:t>
            </w:r>
            <w:r>
              <w:rPr>
                <w:rFonts w:hint="eastAsia"/>
                <w:color w:val="auto"/>
                <w:vertAlign w:val="subscript"/>
              </w:rPr>
              <w:t>1</w:t>
            </w:r>
          </w:p>
        </w:tc>
        <w:tc>
          <w:tcPr>
            <w:tcW w:w="2012" w:type="dxa"/>
          </w:tcPr>
          <w:p w14:paraId="26517013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v</w:t>
            </w:r>
            <w:r>
              <w:rPr>
                <w:color w:val="auto"/>
                <w:eastAsianLayout w:id="48" w:combine="1"/>
              </w:rPr>
              <w:t>’</w:t>
            </w:r>
            <w:r>
              <w:rPr>
                <w:rFonts w:hint="eastAsia"/>
                <w:color w:val="auto"/>
                <w:eastAsianLayout w:id="49" w:combine="1"/>
              </w:rPr>
              <w:t xml:space="preserve"> r</w:t>
            </w:r>
          </w:p>
        </w:tc>
        <w:tc>
          <w:tcPr>
            <w:tcW w:w="1664" w:type="dxa"/>
            <w:vAlign w:val="center"/>
          </w:tcPr>
          <w:p w14:paraId="6BEC04F8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iCs/>
                <w:color w:val="auto"/>
                <w:vertAlign w:val="subscript"/>
              </w:rPr>
              <w:t>res</w:t>
            </w:r>
          </w:p>
        </w:tc>
        <w:tc>
          <w:tcPr>
            <w:tcW w:w="4394" w:type="dxa"/>
            <w:vAlign w:val="center"/>
          </w:tcPr>
          <w:p w14:paraId="22A469B3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</w:tr>
      <w:tr w14:paraId="555B1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13218EC7">
            <w:pPr>
              <w:pStyle w:val="33"/>
              <w:numPr>
                <w:ilvl w:val="0"/>
                <w:numId w:val="5"/>
              </w:numPr>
              <w:rPr>
                <w:color w:val="auto"/>
              </w:rPr>
            </w:pPr>
          </w:p>
        </w:tc>
        <w:tc>
          <w:tcPr>
            <w:tcW w:w="1711" w:type="dxa"/>
          </w:tcPr>
          <w:p w14:paraId="096F1E05">
            <w:pPr>
              <w:pStyle w:val="33"/>
              <w:rPr>
                <w:i/>
                <w:iCs/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c</w:t>
            </w:r>
            <w:r>
              <w:rPr>
                <w:rFonts w:hint="eastAsia"/>
                <w:color w:val="auto"/>
                <w:vertAlign w:val="subscript"/>
              </w:rPr>
              <w:t>2</w:t>
            </w:r>
          </w:p>
        </w:tc>
        <w:tc>
          <w:tcPr>
            <w:tcW w:w="2012" w:type="dxa"/>
          </w:tcPr>
          <w:p w14:paraId="04C83FCD">
            <w:pPr>
              <w:pStyle w:val="33"/>
              <w:rPr>
                <w:color w:val="auto"/>
                <w:vertAlign w:val="subscript"/>
              </w:rPr>
            </w:pPr>
            <w:r>
              <w:rPr>
                <w:rFonts w:hint="eastAsia"/>
                <w:i/>
                <w:iCs/>
                <w:color w:val="auto"/>
              </w:rPr>
              <w:t>v</w:t>
            </w:r>
            <w:r>
              <w:rPr>
                <w:rFonts w:hint="eastAsia"/>
                <w:color w:val="auto"/>
                <w:vertAlign w:val="subscript"/>
              </w:rPr>
              <w:t>t</w:t>
            </w:r>
          </w:p>
        </w:tc>
        <w:tc>
          <w:tcPr>
            <w:tcW w:w="1664" w:type="dxa"/>
            <w:vAlign w:val="center"/>
          </w:tcPr>
          <w:p w14:paraId="06DF625D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iCs/>
                <w:color w:val="auto"/>
                <w:vertAlign w:val="subscript"/>
              </w:rPr>
              <w:t>cal</w:t>
            </w:r>
          </w:p>
        </w:tc>
        <w:tc>
          <w:tcPr>
            <w:tcW w:w="4394" w:type="dxa"/>
            <w:vAlign w:val="center"/>
          </w:tcPr>
          <w:p w14:paraId="42CD3445">
            <w:pPr>
              <w:pStyle w:val="33"/>
              <w:rPr>
                <w:color w:val="auto"/>
              </w:rPr>
            </w:pPr>
            <w:r>
              <w:rPr>
                <w:rFonts w:cs="Times New Roman"/>
                <w:color w:val="auto"/>
              </w:rPr>
              <w:t>-sin(</w:t>
            </w:r>
            <w:bookmarkStart w:id="30" w:name="OLE_LINK26"/>
            <w:r>
              <w:rPr>
                <w:rFonts w:cs="Times New Roman"/>
                <w:i/>
                <w:iCs/>
                <w:color w:val="auto"/>
              </w:rPr>
              <w:t>θ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cs="Times New Roman"/>
                <w:color w:val="auto"/>
                <w:vertAlign w:val="subscript"/>
              </w:rPr>
              <w:t>enc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hint="eastAsia"/>
                <w:color w:val="auto"/>
                <w:vertAlign w:val="subscript"/>
              </w:rPr>
              <w:t>0</w:t>
            </w:r>
            <w:bookmarkEnd w:id="30"/>
            <w:r>
              <w:rPr>
                <w:color w:val="auto"/>
              </w:rPr>
              <w:t>)</w:t>
            </w:r>
            <w:r>
              <w:rPr>
                <w:rFonts w:hint="eastAsia"/>
                <w:color w:val="auto"/>
              </w:rPr>
              <w:t>co</w:t>
            </w:r>
            <w:r>
              <w:rPr>
                <w:rFonts w:cs="Times New Roman"/>
                <w:color w:val="auto"/>
              </w:rPr>
              <w:t>s</w:t>
            </w:r>
            <w:r>
              <w:rPr>
                <w:rFonts w:cs="Times New Roman"/>
                <w:i/>
                <w:iCs/>
                <w:color w:val="auto"/>
              </w:rPr>
              <w:t>α</w:t>
            </w:r>
            <w:r>
              <w:rPr>
                <w:color w:val="auto"/>
              </w:rPr>
              <w:t>cos(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LDV</w:t>
            </w:r>
            <w:r>
              <w:rPr>
                <w:rFonts w:hint="eastAsia"/>
                <w:color w:val="auto"/>
              </w:rPr>
              <w:t>)cos(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lidar</w:t>
            </w:r>
            <w:r>
              <w:rPr>
                <w:rFonts w:hint="eastAsia"/>
                <w:color w:val="auto"/>
              </w:rPr>
              <w:t>)</w:t>
            </w:r>
          </w:p>
        </w:tc>
      </w:tr>
      <w:tr w14:paraId="78AE4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79B96140">
            <w:pPr>
              <w:pStyle w:val="33"/>
              <w:numPr>
                <w:ilvl w:val="0"/>
                <w:numId w:val="5"/>
              </w:numPr>
              <w:rPr>
                <w:color w:val="auto"/>
              </w:rPr>
            </w:pPr>
          </w:p>
        </w:tc>
        <w:tc>
          <w:tcPr>
            <w:tcW w:w="1711" w:type="dxa"/>
          </w:tcPr>
          <w:p w14:paraId="57D4D221">
            <w:pPr>
              <w:pStyle w:val="33"/>
              <w:rPr>
                <w:i/>
                <w:iCs/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c</w:t>
            </w:r>
            <w:r>
              <w:rPr>
                <w:rFonts w:hint="eastAsia"/>
                <w:color w:val="auto"/>
                <w:vertAlign w:val="subscript"/>
              </w:rPr>
              <w:t>2</w:t>
            </w:r>
          </w:p>
        </w:tc>
        <w:tc>
          <w:tcPr>
            <w:tcW w:w="2012" w:type="dxa"/>
          </w:tcPr>
          <w:p w14:paraId="050B6CA7">
            <w:pPr>
              <w:pStyle w:val="33"/>
              <w:rPr>
                <w:color w:val="auto"/>
              </w:rPr>
            </w:pPr>
            <w:r>
              <w:rPr>
                <w:rFonts w:cs="Times New Roman"/>
                <w:i/>
                <w:iCs/>
                <w:color w:val="auto"/>
              </w:rPr>
              <w:t>α</w:t>
            </w:r>
          </w:p>
        </w:tc>
        <w:tc>
          <w:tcPr>
            <w:tcW w:w="1664" w:type="dxa"/>
            <w:vAlign w:val="center"/>
          </w:tcPr>
          <w:p w14:paraId="1A8E1BD3">
            <w:pPr>
              <w:pStyle w:val="33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cs="Times New Roman"/>
                <w:color w:val="auto"/>
                <w:vertAlign w:val="subscript"/>
              </w:rPr>
              <w:t>α</w:t>
            </w:r>
          </w:p>
        </w:tc>
        <w:tc>
          <w:tcPr>
            <w:tcW w:w="4394" w:type="dxa"/>
            <w:vAlign w:val="center"/>
          </w:tcPr>
          <w:p w14:paraId="58CE2D57">
            <w:pPr>
              <w:pStyle w:val="33"/>
              <w:rPr>
                <w:color w:val="auto"/>
              </w:rPr>
            </w:pPr>
            <w:r>
              <w:rPr>
                <w:i/>
                <w:iCs/>
                <w:color w:val="auto"/>
              </w:rPr>
              <w:t>v</w:t>
            </w:r>
            <w:r>
              <w:rPr>
                <w:color w:val="auto"/>
                <w:vertAlign w:val="subscript"/>
              </w:rPr>
              <w:t>t</w:t>
            </w:r>
            <w:r>
              <w:rPr>
                <w:color w:val="auto"/>
              </w:rPr>
              <w:t>sin(</w:t>
            </w:r>
            <w:r>
              <w:rPr>
                <w:rFonts w:cs="Times New Roman"/>
                <w:i/>
                <w:iCs/>
                <w:color w:val="auto"/>
              </w:rPr>
              <w:t>θ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cs="Times New Roman"/>
                <w:color w:val="auto"/>
                <w:vertAlign w:val="subscript"/>
              </w:rPr>
              <w:t>enc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cs="Times New Roman"/>
                <w:color w:val="auto"/>
                <w:vertAlign w:val="subscript"/>
              </w:rPr>
              <w:t>0</w:t>
            </w:r>
            <w:r>
              <w:rPr>
                <w:rFonts w:cs="Times New Roman"/>
                <w:color w:val="auto"/>
              </w:rPr>
              <w:t>)sin</w:t>
            </w:r>
            <w:r>
              <w:rPr>
                <w:rFonts w:cs="Times New Roman"/>
                <w:i/>
                <w:iCs/>
                <w:color w:val="auto"/>
              </w:rPr>
              <w:t>α</w:t>
            </w:r>
            <w:r>
              <w:rPr>
                <w:rFonts w:cs="Times New Roman"/>
                <w:color w:val="auto"/>
              </w:rPr>
              <w:t>c</w:t>
            </w:r>
            <w:r>
              <w:rPr>
                <w:color w:val="auto"/>
              </w:rPr>
              <w:t>os(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LDV</w:t>
            </w:r>
            <w:r>
              <w:rPr>
                <w:rFonts w:hint="eastAsia"/>
                <w:color w:val="auto"/>
              </w:rPr>
              <w:t>)cos(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lidar</w:t>
            </w:r>
            <w:r>
              <w:rPr>
                <w:rFonts w:hint="eastAsia"/>
                <w:color w:val="auto"/>
              </w:rPr>
              <w:t>)</w:t>
            </w:r>
          </w:p>
        </w:tc>
      </w:tr>
      <w:tr w14:paraId="44827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43B031E1">
            <w:pPr>
              <w:pStyle w:val="33"/>
              <w:numPr>
                <w:ilvl w:val="0"/>
                <w:numId w:val="5"/>
              </w:numPr>
              <w:rPr>
                <w:color w:val="auto"/>
              </w:rPr>
            </w:pPr>
          </w:p>
        </w:tc>
        <w:tc>
          <w:tcPr>
            <w:tcW w:w="1711" w:type="dxa"/>
          </w:tcPr>
          <w:p w14:paraId="5976518A">
            <w:pPr>
              <w:pStyle w:val="33"/>
              <w:rPr>
                <w:i/>
                <w:iCs/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c</w:t>
            </w:r>
            <w:r>
              <w:rPr>
                <w:rFonts w:hint="eastAsia"/>
                <w:color w:val="auto"/>
                <w:vertAlign w:val="subscript"/>
              </w:rPr>
              <w:t>3</w:t>
            </w:r>
          </w:p>
        </w:tc>
        <w:tc>
          <w:tcPr>
            <w:tcW w:w="2012" w:type="dxa"/>
          </w:tcPr>
          <w:p w14:paraId="07B276AA">
            <w:pPr>
              <w:pStyle w:val="33"/>
              <w:rPr>
                <w:rFonts w:cs="Times New Roman"/>
                <w:color w:val="auto"/>
              </w:rPr>
            </w:pP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LDV</w:t>
            </w:r>
          </w:p>
        </w:tc>
        <w:tc>
          <w:tcPr>
            <w:tcW w:w="1664" w:type="dxa"/>
            <w:vAlign w:val="center"/>
          </w:tcPr>
          <w:p w14:paraId="2B22FBF1">
            <w:pPr>
              <w:pStyle w:val="33"/>
              <w:rPr>
                <w:color w:val="auto"/>
              </w:rPr>
            </w:pPr>
            <w:r>
              <w:rPr>
                <w:rFonts w:cs="Times New Roman"/>
                <w:i/>
                <w:iCs/>
                <w:color w:val="auto"/>
              </w:rPr>
              <w:t>u</w:t>
            </w:r>
            <w:r>
              <w:rPr>
                <w:rFonts w:cs="Times New Roman"/>
                <w:color w:val="auto"/>
                <w:vertAlign w:val="subscript"/>
              </w:rPr>
              <w:t>β</w:t>
            </w:r>
            <w:r>
              <w:rPr>
                <w:rFonts w:hint="eastAsia" w:cs="Times New Roman"/>
                <w:color w:val="auto"/>
                <w:vertAlign w:val="subscript"/>
              </w:rPr>
              <w:t>LDV</w:t>
            </w:r>
          </w:p>
        </w:tc>
        <w:tc>
          <w:tcPr>
            <w:tcW w:w="4394" w:type="dxa"/>
            <w:vAlign w:val="center"/>
          </w:tcPr>
          <w:p w14:paraId="4532AF78">
            <w:pPr>
              <w:pStyle w:val="33"/>
              <w:rPr>
                <w:color w:val="auto"/>
              </w:rPr>
            </w:pPr>
            <w:r>
              <w:rPr>
                <w:i/>
                <w:iCs/>
                <w:color w:val="auto"/>
              </w:rPr>
              <w:t>v</w:t>
            </w:r>
            <w:r>
              <w:rPr>
                <w:color w:val="auto"/>
                <w:vertAlign w:val="subscript"/>
              </w:rPr>
              <w:t>t</w:t>
            </w:r>
            <w:r>
              <w:rPr>
                <w:color w:val="auto"/>
              </w:rPr>
              <w:t>sin(</w:t>
            </w:r>
            <w:r>
              <w:rPr>
                <w:rFonts w:cs="Times New Roman"/>
                <w:i/>
                <w:iCs/>
                <w:color w:val="auto"/>
              </w:rPr>
              <w:t>θ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cs="Times New Roman"/>
                <w:color w:val="auto"/>
                <w:vertAlign w:val="subscript"/>
              </w:rPr>
              <w:t>enc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hint="eastAsia"/>
                <w:color w:val="auto"/>
                <w:vertAlign w:val="subscript"/>
              </w:rPr>
              <w:t>0</w:t>
            </w:r>
            <w:r>
              <w:rPr>
                <w:color w:val="auto"/>
              </w:rPr>
              <w:t>)</w:t>
            </w:r>
            <w:r>
              <w:rPr>
                <w:rFonts w:hint="eastAsia"/>
                <w:color w:val="auto"/>
              </w:rPr>
              <w:t xml:space="preserve"> co</w:t>
            </w:r>
            <w:r>
              <w:rPr>
                <w:rFonts w:cs="Times New Roman"/>
                <w:color w:val="auto"/>
              </w:rPr>
              <w:t>s</w:t>
            </w:r>
            <w:r>
              <w:rPr>
                <w:rFonts w:cs="Times New Roman"/>
                <w:i/>
                <w:iCs/>
                <w:color w:val="auto"/>
              </w:rPr>
              <w:t>α</w:t>
            </w:r>
            <w:r>
              <w:rPr>
                <w:rFonts w:hint="eastAsia"/>
                <w:color w:val="auto"/>
              </w:rPr>
              <w:t>sin</w:t>
            </w:r>
            <w:r>
              <w:rPr>
                <w:color w:val="auto"/>
              </w:rPr>
              <w:t>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LDV</w:t>
            </w:r>
            <w:r>
              <w:rPr>
                <w:rFonts w:hint="eastAsia"/>
                <w:color w:val="auto"/>
              </w:rPr>
              <w:t>)cos(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lidar</w:t>
            </w:r>
            <w:r>
              <w:rPr>
                <w:rFonts w:hint="eastAsia"/>
                <w:color w:val="auto"/>
              </w:rPr>
              <w:t>)</w:t>
            </w:r>
          </w:p>
        </w:tc>
      </w:tr>
      <w:tr w14:paraId="7FE3A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13AC1DC8">
            <w:pPr>
              <w:pStyle w:val="33"/>
              <w:numPr>
                <w:ilvl w:val="0"/>
                <w:numId w:val="5"/>
              </w:numPr>
              <w:rPr>
                <w:color w:val="auto"/>
              </w:rPr>
            </w:pPr>
          </w:p>
        </w:tc>
        <w:tc>
          <w:tcPr>
            <w:tcW w:w="1711" w:type="dxa"/>
          </w:tcPr>
          <w:p w14:paraId="4CFF3D39">
            <w:pPr>
              <w:pStyle w:val="33"/>
              <w:rPr>
                <w:i/>
                <w:iCs/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c</w:t>
            </w:r>
            <w:r>
              <w:rPr>
                <w:rFonts w:hint="eastAsia"/>
                <w:color w:val="auto"/>
                <w:vertAlign w:val="subscript"/>
              </w:rPr>
              <w:t>4</w:t>
            </w:r>
          </w:p>
        </w:tc>
        <w:tc>
          <w:tcPr>
            <w:tcW w:w="2012" w:type="dxa"/>
          </w:tcPr>
          <w:p w14:paraId="781E3721">
            <w:pPr>
              <w:pStyle w:val="33"/>
              <w:rPr>
                <w:rFonts w:cs="Times New Roman"/>
                <w:color w:val="auto"/>
              </w:rPr>
            </w:pP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lidar</w:t>
            </w:r>
          </w:p>
        </w:tc>
        <w:tc>
          <w:tcPr>
            <w:tcW w:w="1664" w:type="dxa"/>
            <w:vAlign w:val="center"/>
          </w:tcPr>
          <w:p w14:paraId="76DC9D0E">
            <w:pPr>
              <w:pStyle w:val="33"/>
              <w:rPr>
                <w:rFonts w:cs="Times New Roman"/>
                <w:i/>
                <w:iCs/>
                <w:color w:val="auto"/>
              </w:rPr>
            </w:pPr>
            <w:r>
              <w:rPr>
                <w:rFonts w:cs="Times New Roman"/>
                <w:i/>
                <w:iCs/>
                <w:color w:val="auto"/>
              </w:rPr>
              <w:t>u</w:t>
            </w:r>
            <w:r>
              <w:rPr>
                <w:rFonts w:cs="Times New Roman"/>
                <w:color w:val="auto"/>
                <w:vertAlign w:val="subscript"/>
              </w:rPr>
              <w:t>β</w:t>
            </w:r>
            <w:r>
              <w:rPr>
                <w:rFonts w:hint="eastAsia" w:cs="Times New Roman"/>
                <w:color w:val="auto"/>
                <w:vertAlign w:val="subscript"/>
              </w:rPr>
              <w:t>lidar</w:t>
            </w:r>
          </w:p>
        </w:tc>
        <w:tc>
          <w:tcPr>
            <w:tcW w:w="4394" w:type="dxa"/>
            <w:vAlign w:val="center"/>
          </w:tcPr>
          <w:p w14:paraId="08820AC4">
            <w:pPr>
              <w:pStyle w:val="33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v</w:t>
            </w:r>
            <w:r>
              <w:rPr>
                <w:color w:val="auto"/>
                <w:vertAlign w:val="subscript"/>
              </w:rPr>
              <w:t>t</w:t>
            </w:r>
            <w:r>
              <w:rPr>
                <w:color w:val="auto"/>
              </w:rPr>
              <w:t>sin(</w:t>
            </w:r>
            <w:r>
              <w:rPr>
                <w:rFonts w:cs="Times New Roman"/>
                <w:i/>
                <w:iCs/>
                <w:color w:val="auto"/>
              </w:rPr>
              <w:t>θ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cs="Times New Roman"/>
                <w:color w:val="auto"/>
                <w:vertAlign w:val="subscript"/>
              </w:rPr>
              <w:t>e</w:t>
            </w:r>
            <w:bookmarkStart w:id="31" w:name="OLE_LINK27"/>
            <w:r>
              <w:rPr>
                <w:rFonts w:cs="Times New Roman"/>
                <w:color w:val="auto"/>
                <w:vertAlign w:val="subscript"/>
              </w:rPr>
              <w:t>nc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hint="eastAsia"/>
                <w:color w:val="auto"/>
                <w:vertAlign w:val="subscript"/>
              </w:rPr>
              <w:t>0</w:t>
            </w:r>
            <w:r>
              <w:rPr>
                <w:color w:val="auto"/>
              </w:rPr>
              <w:t>)</w:t>
            </w:r>
            <w:r>
              <w:rPr>
                <w:rFonts w:hint="eastAsia"/>
                <w:color w:val="auto"/>
              </w:rPr>
              <w:t xml:space="preserve"> co</w:t>
            </w:r>
            <w:r>
              <w:rPr>
                <w:rFonts w:cs="Times New Roman"/>
                <w:color w:val="auto"/>
              </w:rPr>
              <w:t>s</w:t>
            </w:r>
            <w:r>
              <w:rPr>
                <w:rFonts w:cs="Times New Roman"/>
                <w:i/>
                <w:iCs/>
                <w:color w:val="auto"/>
              </w:rPr>
              <w:t>α</w:t>
            </w:r>
            <w:r>
              <w:rPr>
                <w:color w:val="auto"/>
              </w:rPr>
              <w:t>cos(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</w:t>
            </w:r>
            <w:bookmarkEnd w:id="31"/>
            <w:r>
              <w:rPr>
                <w:rFonts w:hint="eastAsia"/>
                <w:color w:val="auto"/>
                <w:vertAlign w:val="subscript"/>
              </w:rPr>
              <w:t>DV</w:t>
            </w:r>
            <w:r>
              <w:rPr>
                <w:rFonts w:hint="eastAsia"/>
                <w:color w:val="auto"/>
              </w:rPr>
              <w:t>)sin(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lidar</w:t>
            </w:r>
            <w:r>
              <w:rPr>
                <w:rFonts w:hint="eastAsia"/>
                <w:color w:val="auto"/>
              </w:rPr>
              <w:t>)</w:t>
            </w:r>
          </w:p>
        </w:tc>
      </w:tr>
      <w:tr w14:paraId="1CC0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5C90BD9A">
            <w:pPr>
              <w:pStyle w:val="33"/>
              <w:numPr>
                <w:ilvl w:val="0"/>
                <w:numId w:val="5"/>
              </w:numPr>
              <w:rPr>
                <w:color w:val="auto"/>
              </w:rPr>
            </w:pPr>
          </w:p>
        </w:tc>
        <w:tc>
          <w:tcPr>
            <w:tcW w:w="1711" w:type="dxa"/>
          </w:tcPr>
          <w:p w14:paraId="37C6B355">
            <w:pPr>
              <w:pStyle w:val="33"/>
              <w:rPr>
                <w:i/>
                <w:iCs/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c</w:t>
            </w:r>
            <w:r>
              <w:rPr>
                <w:rFonts w:hint="eastAsia"/>
                <w:color w:val="auto"/>
                <w:vertAlign w:val="subscript"/>
              </w:rPr>
              <w:t>5</w:t>
            </w:r>
          </w:p>
        </w:tc>
        <w:tc>
          <w:tcPr>
            <w:tcW w:w="2012" w:type="dxa"/>
          </w:tcPr>
          <w:p w14:paraId="42EA5656">
            <w:pPr>
              <w:pStyle w:val="33"/>
              <w:rPr>
                <w:color w:val="auto"/>
              </w:rPr>
            </w:pP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cs="Times New Roman"/>
                <w:color w:val="auto"/>
                <w:vertAlign w:val="subscript"/>
              </w:rPr>
              <w:t>enc</w:t>
            </w:r>
          </w:p>
        </w:tc>
        <w:tc>
          <w:tcPr>
            <w:tcW w:w="1664" w:type="dxa"/>
            <w:vAlign w:val="center"/>
          </w:tcPr>
          <w:p w14:paraId="5CDA9D6B">
            <w:pPr>
              <w:pStyle w:val="33"/>
              <w:rPr>
                <w:color w:val="auto"/>
              </w:rPr>
            </w:pPr>
            <w:bookmarkStart w:id="32" w:name="OLE_LINK16"/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iCs/>
                <w:color w:val="auto"/>
                <w:vertAlign w:val="subscript"/>
              </w:rPr>
              <w:t>enc</w:t>
            </w:r>
            <w:bookmarkEnd w:id="32"/>
          </w:p>
        </w:tc>
        <w:tc>
          <w:tcPr>
            <w:tcW w:w="4394" w:type="dxa"/>
            <w:vAlign w:val="center"/>
          </w:tcPr>
          <w:p w14:paraId="0320CF63">
            <w:pPr>
              <w:pStyle w:val="33"/>
              <w:rPr>
                <w:color w:val="auto"/>
              </w:rPr>
            </w:pPr>
            <w:r>
              <w:rPr>
                <w:color w:val="auto"/>
              </w:rPr>
              <w:t>-</w:t>
            </w:r>
            <w:bookmarkStart w:id="33" w:name="OLE_LINK14"/>
            <w:r>
              <w:rPr>
                <w:i/>
                <w:iCs/>
                <w:color w:val="auto"/>
              </w:rPr>
              <w:t>v</w:t>
            </w:r>
            <w:r>
              <w:rPr>
                <w:color w:val="auto"/>
                <w:vertAlign w:val="subscript"/>
              </w:rPr>
              <w:t>t</w:t>
            </w:r>
            <w:r>
              <w:rPr>
                <w:rFonts w:hint="eastAsia"/>
                <w:color w:val="auto"/>
              </w:rPr>
              <w:t>cos</w:t>
            </w:r>
            <w:r>
              <w:rPr>
                <w:color w:val="auto"/>
              </w:rPr>
              <w:t>(</w:t>
            </w:r>
            <w:r>
              <w:rPr>
                <w:rFonts w:cs="Times New Roman"/>
                <w:i/>
                <w:iCs/>
                <w:color w:val="auto"/>
              </w:rPr>
              <w:t>θ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cs="Times New Roman"/>
                <w:color w:val="auto"/>
                <w:vertAlign w:val="subscript"/>
              </w:rPr>
              <w:t>enc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hint="eastAsia"/>
                <w:color w:val="auto"/>
                <w:vertAlign w:val="subscript"/>
              </w:rPr>
              <w:t>0</w:t>
            </w:r>
            <w:r>
              <w:rPr>
                <w:color w:val="auto"/>
              </w:rPr>
              <w:t>)</w:t>
            </w:r>
            <w:r>
              <w:rPr>
                <w:rFonts w:hint="eastAsia"/>
                <w:color w:val="auto"/>
              </w:rPr>
              <w:t xml:space="preserve"> co</w:t>
            </w:r>
            <w:r>
              <w:rPr>
                <w:rFonts w:cs="Times New Roman"/>
                <w:color w:val="auto"/>
              </w:rPr>
              <w:t>s</w:t>
            </w:r>
            <w:r>
              <w:rPr>
                <w:rFonts w:cs="Times New Roman"/>
                <w:i/>
                <w:iCs/>
                <w:color w:val="auto"/>
              </w:rPr>
              <w:t>α</w:t>
            </w:r>
            <w:r>
              <w:rPr>
                <w:rFonts w:hint="eastAsia" w:cs="Times New Roman"/>
                <w:color w:val="auto"/>
              </w:rPr>
              <w:t>cos</w:t>
            </w:r>
            <w:r>
              <w:rPr>
                <w:color w:val="auto"/>
              </w:rPr>
              <w:t>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LDV</w:t>
            </w:r>
            <w:r>
              <w:rPr>
                <w:color w:val="auto"/>
              </w:rPr>
              <w:t>)</w:t>
            </w:r>
            <w:bookmarkEnd w:id="33"/>
            <w:r>
              <w:rPr>
                <w:color w:val="auto"/>
              </w:rPr>
              <w:t>cos(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lidar</w:t>
            </w:r>
            <w:r>
              <w:rPr>
                <w:color w:val="auto"/>
              </w:rPr>
              <w:t>)</w:t>
            </w:r>
          </w:p>
        </w:tc>
      </w:tr>
      <w:tr w14:paraId="7342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 w14:paraId="290A0CBA">
            <w:pPr>
              <w:pStyle w:val="33"/>
              <w:numPr>
                <w:ilvl w:val="0"/>
                <w:numId w:val="5"/>
              </w:numPr>
              <w:rPr>
                <w:color w:val="auto"/>
              </w:rPr>
            </w:pPr>
          </w:p>
        </w:tc>
        <w:tc>
          <w:tcPr>
            <w:tcW w:w="1711" w:type="dxa"/>
          </w:tcPr>
          <w:p w14:paraId="0197059B">
            <w:pPr>
              <w:pStyle w:val="33"/>
              <w:rPr>
                <w:i/>
                <w:iCs/>
                <w:color w:val="auto"/>
              </w:rPr>
            </w:pPr>
            <w:r>
              <w:rPr>
                <w:rFonts w:hint="eastAsia"/>
                <w:i/>
                <w:iCs/>
                <w:color w:val="auto"/>
              </w:rPr>
              <w:t>c</w:t>
            </w:r>
            <w:r>
              <w:rPr>
                <w:rFonts w:hint="eastAsia"/>
                <w:color w:val="auto"/>
                <w:vertAlign w:val="subscript"/>
              </w:rPr>
              <w:t>5</w:t>
            </w:r>
          </w:p>
        </w:tc>
        <w:tc>
          <w:tcPr>
            <w:tcW w:w="2012" w:type="dxa"/>
          </w:tcPr>
          <w:p w14:paraId="7BCABC99">
            <w:pPr>
              <w:pStyle w:val="33"/>
              <w:rPr>
                <w:color w:val="auto"/>
              </w:rPr>
            </w:pP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hint="eastAsia"/>
                <w:color w:val="auto"/>
                <w:vertAlign w:val="subscript"/>
              </w:rPr>
              <w:t>0</w:t>
            </w:r>
          </w:p>
        </w:tc>
        <w:tc>
          <w:tcPr>
            <w:tcW w:w="1664" w:type="dxa"/>
            <w:vAlign w:val="center"/>
          </w:tcPr>
          <w:p w14:paraId="19BEAA1B">
            <w:pPr>
              <w:pStyle w:val="33"/>
              <w:rPr>
                <w:color w:val="auto"/>
              </w:rPr>
            </w:pPr>
            <w:bookmarkStart w:id="34" w:name="OLE_LINK17"/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color w:val="auto"/>
                <w:vertAlign w:val="subscript"/>
              </w:rPr>
              <w:t>zero</w:t>
            </w:r>
            <w:bookmarkEnd w:id="34"/>
          </w:p>
        </w:tc>
        <w:tc>
          <w:tcPr>
            <w:tcW w:w="4394" w:type="dxa"/>
            <w:vAlign w:val="center"/>
          </w:tcPr>
          <w:p w14:paraId="7B11C1BF">
            <w:pPr>
              <w:pStyle w:val="33"/>
              <w:rPr>
                <w:color w:val="auto"/>
              </w:rPr>
            </w:pPr>
            <w:r>
              <w:rPr>
                <w:color w:val="auto"/>
              </w:rPr>
              <w:t>-</w:t>
            </w:r>
            <w:r>
              <w:rPr>
                <w:i/>
                <w:iCs/>
                <w:color w:val="auto"/>
              </w:rPr>
              <w:t>v</w:t>
            </w:r>
            <w:r>
              <w:rPr>
                <w:color w:val="auto"/>
                <w:vertAlign w:val="subscript"/>
              </w:rPr>
              <w:t>t</w:t>
            </w:r>
            <w:r>
              <w:rPr>
                <w:rFonts w:hint="eastAsia"/>
                <w:color w:val="auto"/>
              </w:rPr>
              <w:t>cos</w:t>
            </w:r>
            <w:r>
              <w:rPr>
                <w:color w:val="auto"/>
              </w:rPr>
              <w:t>(</w:t>
            </w:r>
            <w:r>
              <w:rPr>
                <w:rFonts w:cs="Times New Roman"/>
                <w:i/>
                <w:iCs/>
                <w:color w:val="auto"/>
              </w:rPr>
              <w:t>θ</w:t>
            </w:r>
            <w:r>
              <w:rPr>
                <w:rFonts w:cs="Times New Roman"/>
                <w:color w:val="auto"/>
              </w:rPr>
              <w:t>+</w:t>
            </w:r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cs="Times New Roman"/>
                <w:color w:val="auto"/>
                <w:vertAlign w:val="subscript"/>
              </w:rPr>
              <w:t>enc</w:t>
            </w:r>
            <w:r>
              <w:rPr>
                <w:rFonts w:cs="Times New Roman"/>
                <w:color w:val="auto"/>
              </w:rPr>
              <w:t>+</w:t>
            </w:r>
            <w:bookmarkStart w:id="35" w:name="OLE_LINK34"/>
            <w:r>
              <w:rPr>
                <w:rFonts w:cs="Times New Roman"/>
                <w:i/>
                <w:iCs/>
                <w:color w:val="auto"/>
              </w:rPr>
              <w:t>δ</w:t>
            </w:r>
            <w:r>
              <w:rPr>
                <w:rFonts w:hint="eastAsia"/>
                <w:color w:val="auto"/>
                <w:vertAlign w:val="subscript"/>
              </w:rPr>
              <w:t>0</w:t>
            </w:r>
            <w:bookmarkEnd w:id="35"/>
            <w:r>
              <w:rPr>
                <w:color w:val="auto"/>
              </w:rPr>
              <w:t>)</w:t>
            </w:r>
            <w:r>
              <w:rPr>
                <w:rFonts w:hint="eastAsia"/>
                <w:color w:val="auto"/>
              </w:rPr>
              <w:t xml:space="preserve"> co</w:t>
            </w:r>
            <w:r>
              <w:rPr>
                <w:rFonts w:cs="Times New Roman"/>
                <w:color w:val="auto"/>
              </w:rPr>
              <w:t>s</w:t>
            </w:r>
            <w:r>
              <w:rPr>
                <w:rFonts w:cs="Times New Roman"/>
                <w:i/>
                <w:iCs/>
                <w:color w:val="auto"/>
              </w:rPr>
              <w:t>α</w:t>
            </w:r>
            <w:r>
              <w:rPr>
                <w:rFonts w:hint="eastAsia" w:cs="Times New Roman"/>
                <w:color w:val="auto"/>
              </w:rPr>
              <w:t>cos</w:t>
            </w:r>
            <w:r>
              <w:rPr>
                <w:color w:val="auto"/>
              </w:rPr>
              <w:t>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LDV</w:t>
            </w:r>
            <w:r>
              <w:rPr>
                <w:color w:val="auto"/>
              </w:rPr>
              <w:t>)cos(</w:t>
            </w:r>
            <w:r>
              <w:rPr>
                <w:i/>
                <w:iCs/>
                <w:color w:val="auto"/>
              </w:rPr>
              <w:t>β</w:t>
            </w:r>
            <w:r>
              <w:rPr>
                <w:rFonts w:hint="eastAsia"/>
                <w:color w:val="auto"/>
                <w:vertAlign w:val="subscript"/>
              </w:rPr>
              <w:t>lidar</w:t>
            </w:r>
            <w:r>
              <w:rPr>
                <w:color w:val="auto"/>
              </w:rPr>
              <w:t>)</w:t>
            </w:r>
          </w:p>
        </w:tc>
      </w:tr>
    </w:tbl>
    <w:p w14:paraId="0B09047C"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36" w:name="_Toc235453901"/>
      <w:r>
        <w:rPr>
          <w:rFonts w:hint="eastAsia" w:ascii="宋体" w:hAnsi="宋体" w:eastAsia="宋体" w:cs="宋体"/>
          <w:color w:val="auto"/>
          <w:sz w:val="28"/>
          <w:szCs w:val="28"/>
        </w:rPr>
        <w:t>不确定度评定</w:t>
      </w:r>
      <w:bookmarkEnd w:id="36"/>
    </w:p>
    <w:p w14:paraId="6E691760">
      <w:pPr>
        <w:ind w:firstLine="560"/>
        <w:rPr>
          <w:color w:val="auto"/>
        </w:rPr>
      </w:pPr>
      <w:r>
        <w:rPr>
          <w:rFonts w:hint="eastAsia"/>
          <w:color w:val="auto"/>
        </w:rPr>
        <w:t>不确定度评定公式如下：</w:t>
      </w:r>
    </w:p>
    <w:p w14:paraId="637E8106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194"/>
        </w:rPr>
        <w:object>
          <v:shape id="_x0000_i1028" o:spt="75" type="#_x0000_t75" style="height:186pt;width:389.2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4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2BADB8F5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12"/>
        </w:rPr>
        <w:object>
          <v:shape id="_x0000_i1029" o:spt="75" type="#_x0000_t75" style="height:18.75pt;width:78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5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7FB9161F">
      <w:pPr>
        <w:ind w:firstLine="560"/>
        <w:rPr>
          <w:color w:val="auto"/>
        </w:rPr>
      </w:pPr>
      <w:r>
        <w:rPr>
          <w:rFonts w:hint="eastAsia"/>
          <w:color w:val="auto"/>
        </w:rPr>
        <w:t>式中：</w:t>
      </w:r>
    </w:p>
    <w:p w14:paraId="237C3560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u</w:t>
      </w:r>
      <w:r>
        <w:rPr>
          <w:rFonts w:hint="eastAsia"/>
          <w:color w:val="auto"/>
          <w:vertAlign w:val="subscript"/>
        </w:rPr>
        <w:t>c</w:t>
      </w:r>
      <w:r>
        <w:rPr>
          <w:rFonts w:hint="eastAsia"/>
          <w:color w:val="auto"/>
        </w:rPr>
        <w:t xml:space="preserve"> —— 合成标准不确定度，m/s；</w:t>
      </w:r>
    </w:p>
    <w:p w14:paraId="0ADFCA4A">
      <w:pPr>
        <w:ind w:firstLine="560"/>
        <w:rPr>
          <w:color w:val="auto"/>
        </w:rPr>
      </w:pPr>
      <w:bookmarkStart w:id="37" w:name="OLE_LINK19"/>
      <w:r>
        <w:rPr>
          <w:rFonts w:hint="eastAsia"/>
          <w:i/>
          <w:iCs/>
          <w:color w:val="auto"/>
        </w:rPr>
        <w:t>u</w:t>
      </w:r>
      <w:r>
        <w:rPr>
          <w:rFonts w:hint="eastAsia"/>
          <w:color w:val="auto"/>
          <w:vertAlign w:val="subscript"/>
        </w:rPr>
        <w:t xml:space="preserve">rep </w:t>
      </w:r>
      <w:bookmarkEnd w:id="37"/>
      <w:r>
        <w:rPr>
          <w:rFonts w:hint="eastAsia"/>
          <w:color w:val="auto"/>
        </w:rPr>
        <w:t xml:space="preserve">—— </w:t>
      </w:r>
      <w:r>
        <w:rPr>
          <w:color w:val="auto"/>
        </w:rPr>
        <w:t>被校激光测风雷达示值</w:t>
      </w:r>
      <w:r>
        <w:rPr>
          <w:rFonts w:hint="eastAsia"/>
          <w:i/>
          <w:iCs/>
          <w:color w:val="auto"/>
        </w:rPr>
        <w:t>v</w:t>
      </w:r>
      <w:r>
        <w:rPr>
          <w:color w:val="auto"/>
          <w:eastAsianLayout w:id="58" w:combine="1"/>
        </w:rPr>
        <w:t>’</w:t>
      </w:r>
      <w:r>
        <w:rPr>
          <w:rFonts w:hint="eastAsia"/>
          <w:color w:val="auto"/>
          <w:eastAsianLayout w:id="59" w:combine="1"/>
        </w:rPr>
        <w:t xml:space="preserve"> t</w:t>
      </w:r>
      <w:r>
        <w:rPr>
          <w:color w:val="auto"/>
        </w:rPr>
        <w:t>的测量重复性引入的标准不确定度</w:t>
      </w:r>
      <w:r>
        <w:rPr>
          <w:rFonts w:hint="eastAsia"/>
          <w:color w:val="auto"/>
        </w:rPr>
        <w:t>，m/s；</w:t>
      </w:r>
    </w:p>
    <w:p w14:paraId="026C500D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u</w:t>
      </w:r>
      <w:r>
        <w:rPr>
          <w:rFonts w:hint="eastAsia"/>
          <w:color w:val="auto"/>
          <w:vertAlign w:val="subscript"/>
        </w:rPr>
        <w:t xml:space="preserve">res </w:t>
      </w:r>
      <w:r>
        <w:rPr>
          <w:rFonts w:hint="eastAsia"/>
          <w:color w:val="auto"/>
        </w:rPr>
        <w:t>——被校激光测风雷达分辨力引入的标准不确定度，m/s；</w:t>
      </w:r>
    </w:p>
    <w:p w14:paraId="5B90EB9F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u</w:t>
      </w:r>
      <w:r>
        <w:rPr>
          <w:rFonts w:cs="Times New Roman"/>
          <w:color w:val="auto"/>
          <w:vertAlign w:val="subscript"/>
        </w:rPr>
        <w:t>βlidar</w:t>
      </w:r>
      <w:r>
        <w:rPr>
          <w:rFonts w:hint="eastAsia"/>
          <w:color w:val="auto"/>
        </w:rPr>
        <w:t xml:space="preserve"> —— </w:t>
      </w:r>
      <w:bookmarkStart w:id="38" w:name="OLE_LINK20"/>
      <w:r>
        <w:rPr>
          <w:rFonts w:hint="eastAsia"/>
          <w:color w:val="auto"/>
        </w:rPr>
        <w:t>激光测风雷达俯仰角引入的标准不确定度</w:t>
      </w:r>
      <w:bookmarkEnd w:id="38"/>
      <w:r>
        <w:rPr>
          <w:rFonts w:hint="eastAsia"/>
          <w:color w:val="auto"/>
        </w:rPr>
        <w:t>，°；</w:t>
      </w:r>
    </w:p>
    <w:p w14:paraId="0E161079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u</w:t>
      </w:r>
      <w:r>
        <w:rPr>
          <w:rFonts w:hint="eastAsia"/>
          <w:color w:val="auto"/>
          <w:vertAlign w:val="subscript"/>
        </w:rPr>
        <w:t>cal</w:t>
      </w:r>
      <w:r>
        <w:rPr>
          <w:rFonts w:hint="eastAsia"/>
          <w:color w:val="auto"/>
        </w:rPr>
        <w:t xml:space="preserve"> —— LDV系统校准的标准不确定度，m/s；</w:t>
      </w:r>
    </w:p>
    <w:p w14:paraId="12FA2C16">
      <w:pPr>
        <w:ind w:firstLine="560"/>
        <w:rPr>
          <w:rFonts w:cs="Times New Roman"/>
          <w:color w:val="auto"/>
        </w:rPr>
      </w:pPr>
      <w:r>
        <w:rPr>
          <w:rFonts w:cs="Times New Roman"/>
          <w:i/>
          <w:iCs/>
          <w:color w:val="auto"/>
        </w:rPr>
        <w:t>u</w:t>
      </w:r>
      <w:r>
        <w:rPr>
          <w:rFonts w:cs="Times New Roman"/>
          <w:color w:val="auto"/>
          <w:vertAlign w:val="subscript"/>
        </w:rPr>
        <w:t>α</w:t>
      </w:r>
      <w:r>
        <w:rPr>
          <w:rFonts w:hint="eastAsia" w:cs="Times New Roman"/>
          <w:color w:val="auto"/>
        </w:rPr>
        <w:t xml:space="preserve"> —— </w:t>
      </w:r>
      <w:bookmarkStart w:id="39" w:name="OLE_LINK22"/>
      <w:r>
        <w:rPr>
          <w:rFonts w:hint="eastAsia"/>
          <w:color w:val="auto"/>
        </w:rPr>
        <w:t>LDV水平速度矢量测量</w:t>
      </w:r>
      <w:r>
        <w:rPr>
          <w:color w:val="auto"/>
        </w:rPr>
        <w:t>偏差</w:t>
      </w:r>
      <w:r>
        <w:rPr>
          <w:rFonts w:hint="eastAsia"/>
          <w:color w:val="auto"/>
        </w:rPr>
        <w:t>引入的标准不确定度</w:t>
      </w:r>
      <w:bookmarkEnd w:id="39"/>
      <w:r>
        <w:rPr>
          <w:rFonts w:hint="eastAsia"/>
          <w:color w:val="auto"/>
        </w:rPr>
        <w:t>，m/s；</w:t>
      </w:r>
    </w:p>
    <w:p w14:paraId="57894705">
      <w:pPr>
        <w:ind w:firstLine="560"/>
        <w:rPr>
          <w:color w:val="auto"/>
        </w:rPr>
      </w:pPr>
      <w:r>
        <w:rPr>
          <w:rFonts w:cs="Times New Roman"/>
          <w:i/>
          <w:iCs/>
          <w:color w:val="auto"/>
        </w:rPr>
        <w:t>u</w:t>
      </w:r>
      <w:r>
        <w:rPr>
          <w:rFonts w:cs="Times New Roman"/>
          <w:color w:val="auto"/>
          <w:vertAlign w:val="subscript"/>
        </w:rPr>
        <w:t>βLDV</w:t>
      </w:r>
      <w:r>
        <w:rPr>
          <w:rFonts w:hint="eastAsia"/>
          <w:color w:val="auto"/>
        </w:rPr>
        <w:t xml:space="preserve"> —— LDV光束俯仰角引入的不确定度，°；</w:t>
      </w:r>
    </w:p>
    <w:p w14:paraId="0C09214B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u</w:t>
      </w:r>
      <w:r>
        <w:rPr>
          <w:rFonts w:hint="eastAsia"/>
          <w:color w:val="auto"/>
          <w:vertAlign w:val="subscript"/>
        </w:rPr>
        <w:t xml:space="preserve">enc </w:t>
      </w:r>
      <w:r>
        <w:rPr>
          <w:rFonts w:hint="eastAsia"/>
          <w:color w:val="auto"/>
        </w:rPr>
        <w:t xml:space="preserve">—— </w:t>
      </w:r>
      <w:bookmarkStart w:id="40" w:name="OLE_LINK21"/>
      <w:bookmarkStart w:id="41" w:name="OLE_LINK23"/>
      <w:r>
        <w:rPr>
          <w:color w:val="auto"/>
        </w:rPr>
        <w:t>编码器增量定位误差引入的标准不确定度</w:t>
      </w:r>
      <w:bookmarkEnd w:id="40"/>
      <w:r>
        <w:rPr>
          <w:rFonts w:hint="eastAsia"/>
          <w:color w:val="auto"/>
        </w:rPr>
        <w:t>，°；</w:t>
      </w:r>
    </w:p>
    <w:p w14:paraId="76DE1312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u</w:t>
      </w:r>
      <w:r>
        <w:rPr>
          <w:rFonts w:hint="eastAsia"/>
          <w:color w:val="auto"/>
          <w:vertAlign w:val="subscript"/>
        </w:rPr>
        <w:t xml:space="preserve">zero </w:t>
      </w:r>
      <w:r>
        <w:rPr>
          <w:rFonts w:hint="eastAsia"/>
          <w:color w:val="auto"/>
        </w:rPr>
        <w:t xml:space="preserve">—— </w:t>
      </w:r>
      <w:r>
        <w:rPr>
          <w:color w:val="auto"/>
        </w:rPr>
        <w:t>调零零点残余误差引入的标准不确定度</w:t>
      </w:r>
      <w:bookmarkEnd w:id="41"/>
      <w:r>
        <w:rPr>
          <w:rFonts w:hint="eastAsia"/>
          <w:color w:val="auto"/>
        </w:rPr>
        <w:t>，°；</w:t>
      </w:r>
    </w:p>
    <w:p w14:paraId="3700DA3F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U</w:t>
      </w:r>
      <w:r>
        <w:rPr>
          <w:rFonts w:hint="eastAsia"/>
          <w:color w:val="auto"/>
        </w:rPr>
        <w:t xml:space="preserve"> —— 扩展不确定度，包含因子</w:t>
      </w:r>
      <w:r>
        <w:rPr>
          <w:rFonts w:hint="eastAsia"/>
          <w:i/>
          <w:iCs/>
          <w:color w:val="auto"/>
        </w:rPr>
        <w:t>k</w:t>
      </w:r>
      <w:r>
        <w:rPr>
          <w:rFonts w:hint="eastAsia"/>
          <w:color w:val="auto"/>
        </w:rPr>
        <w:t>=2，m/s；</w:t>
      </w:r>
    </w:p>
    <w:p w14:paraId="598AAB2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color w:val="auto"/>
          <w:sz w:val="28"/>
          <w:szCs w:val="28"/>
        </w:rPr>
      </w:pPr>
      <w:r>
        <w:rPr>
          <w:rFonts w:hint="eastAsia"/>
          <w:i/>
          <w:iCs/>
          <w:color w:val="auto"/>
          <w:sz w:val="28"/>
          <w:szCs w:val="28"/>
        </w:rPr>
        <w:t>u</w:t>
      </w:r>
      <w:r>
        <w:rPr>
          <w:rFonts w:hint="eastAsia"/>
          <w:color w:val="auto"/>
          <w:sz w:val="28"/>
          <w:szCs w:val="28"/>
          <w:vertAlign w:val="subscript"/>
        </w:rPr>
        <w:t>rep</w:t>
      </w:r>
    </w:p>
    <w:p w14:paraId="1502CD03">
      <w:pPr>
        <w:ind w:firstLine="560"/>
        <w:rPr>
          <w:color w:val="auto"/>
        </w:rPr>
      </w:pPr>
      <w:r>
        <w:rPr>
          <w:rFonts w:hint="eastAsia"/>
          <w:color w:val="auto"/>
        </w:rPr>
        <w:t>根据不同径向速度点的测量重复值，用极差法计算实验标准偏差。当</w:t>
      </w:r>
      <w:r>
        <w:rPr>
          <w:rFonts w:hint="eastAsia"/>
          <w:i/>
          <w:iCs/>
          <w:color w:val="auto"/>
        </w:rPr>
        <w:t>n</w:t>
      </w:r>
      <w:r>
        <w:rPr>
          <w:rFonts w:hint="eastAsia"/>
          <w:color w:val="auto"/>
        </w:rPr>
        <w:t>=3时，极差系数</w:t>
      </w:r>
      <w:r>
        <w:rPr>
          <w:rFonts w:hint="eastAsia"/>
          <w:i/>
          <w:iCs/>
          <w:color w:val="auto"/>
        </w:rPr>
        <w:t>C</w:t>
      </w:r>
      <w:r>
        <w:rPr>
          <w:rFonts w:hint="eastAsia"/>
          <w:color w:val="auto"/>
        </w:rPr>
        <w:t>=1.69，可按下式计算标准不确定度：</w:t>
      </w:r>
    </w:p>
    <w:p w14:paraId="7C8D0EDC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28"/>
        </w:rPr>
        <w:object>
          <v:shape id="_x0000_i1030" o:spt="75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6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44D2E913">
      <w:pPr>
        <w:ind w:firstLine="560"/>
        <w:rPr>
          <w:color w:val="auto"/>
        </w:rPr>
      </w:pPr>
      <w:r>
        <w:rPr>
          <w:rFonts w:hint="eastAsia"/>
          <w:color w:val="auto"/>
        </w:rPr>
        <w:t>式中：</w:t>
      </w:r>
    </w:p>
    <w:p w14:paraId="46980598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R</w:t>
      </w:r>
      <w:r>
        <w:rPr>
          <w:rFonts w:hint="eastAsia"/>
          <w:color w:val="auto"/>
        </w:rPr>
        <w:t xml:space="preserve"> —— 各校准点三次测量值的极差；</w:t>
      </w:r>
    </w:p>
    <w:p w14:paraId="223A6C4E">
      <w:pPr>
        <w:ind w:firstLine="560"/>
        <w:rPr>
          <w:color w:val="auto"/>
        </w:rPr>
      </w:pPr>
      <w:r>
        <w:rPr>
          <w:rFonts w:hint="eastAsia"/>
          <w:i/>
          <w:iCs/>
          <w:color w:val="auto"/>
        </w:rPr>
        <w:t>C</w:t>
      </w:r>
      <w:r>
        <w:rPr>
          <w:rFonts w:hint="eastAsia"/>
          <w:color w:val="auto"/>
        </w:rPr>
        <w:t xml:space="preserve"> —— 极差系数；</w:t>
      </w:r>
    </w:p>
    <w:p w14:paraId="4B2A9840">
      <w:pPr>
        <w:ind w:firstLine="560"/>
        <w:rPr>
          <w:color w:val="auto"/>
        </w:rPr>
      </w:pPr>
      <w:r>
        <w:rPr>
          <w:rFonts w:hint="eastAsia"/>
          <w:color w:val="auto"/>
        </w:rPr>
        <w:t>计算结果见下表：</w:t>
      </w:r>
    </w:p>
    <w:p w14:paraId="626C84AA">
      <w:pPr>
        <w:pStyle w:val="11"/>
        <w:spacing w:before="156" w:after="156"/>
        <w:rPr>
          <w:iCs/>
          <w:color w:val="auto"/>
        </w:rPr>
      </w:pPr>
      <w:r>
        <w:rPr>
          <w:rFonts w:hint="eastAsia"/>
          <w:color w:val="auto"/>
        </w:rPr>
        <w:t xml:space="preserve">表 </w:t>
      </w:r>
      <w:r>
        <w:rPr>
          <w:color w:val="auto"/>
        </w:rPr>
        <w:fldChar w:fldCharType="begin"/>
      </w:r>
      <w:r>
        <w:rPr>
          <w:color w:val="auto"/>
        </w:rPr>
        <w:instrText xml:space="preserve"> </w:instrText>
      </w:r>
      <w:r>
        <w:rPr>
          <w:rFonts w:hint="eastAsia"/>
          <w:color w:val="auto"/>
        </w:rPr>
        <w:instrText xml:space="preserve">SEQ 表 \* ARABIC</w:instrText>
      </w:r>
      <w:r>
        <w:rPr>
          <w:color w:val="auto"/>
        </w:rPr>
        <w:instrText xml:space="preserve"> </w:instrText>
      </w:r>
      <w:r>
        <w:rPr>
          <w:color w:val="auto"/>
        </w:rPr>
        <w:fldChar w:fldCharType="separate"/>
      </w:r>
      <w:r>
        <w:rPr>
          <w:color w:val="auto"/>
        </w:rPr>
        <w:t>4</w:t>
      </w:r>
      <w:r>
        <w:rPr>
          <w:color w:val="auto"/>
        </w:rPr>
        <w:fldChar w:fldCharType="end"/>
      </w:r>
      <w:r>
        <w:rPr>
          <w:rFonts w:hint="eastAsia"/>
          <w:color w:val="auto"/>
        </w:rPr>
        <w:t>被校激光测风雷达测量重复性引入的不确定度</w:t>
      </w:r>
      <w:r>
        <w:rPr>
          <w:rFonts w:hint="eastAsia"/>
          <w:i/>
          <w:iCs/>
          <w:color w:val="auto"/>
        </w:rPr>
        <w:t>u</w:t>
      </w:r>
      <w:r>
        <w:rPr>
          <w:rFonts w:hint="eastAsia"/>
          <w:iCs/>
          <w:color w:val="auto"/>
          <w:vertAlign w:val="subscript"/>
        </w:rPr>
        <w:t>rep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2737"/>
        <w:gridCol w:w="2737"/>
      </w:tblGrid>
      <w:tr w14:paraId="04818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796FA596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校准点（m/s）</w:t>
            </w:r>
          </w:p>
        </w:tc>
        <w:tc>
          <w:tcPr>
            <w:tcW w:w="2737" w:type="dxa"/>
          </w:tcPr>
          <w:p w14:paraId="4B305344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极差（m/s）</w:t>
            </w:r>
          </w:p>
        </w:tc>
        <w:tc>
          <w:tcPr>
            <w:tcW w:w="2737" w:type="dxa"/>
          </w:tcPr>
          <w:p w14:paraId="17F74793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标准不确定度（m/s）</w:t>
            </w:r>
          </w:p>
        </w:tc>
      </w:tr>
      <w:tr w14:paraId="3287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7910ADDD">
            <w:pPr>
              <w:pStyle w:val="33"/>
              <w:rPr>
                <w:color w:val="auto"/>
              </w:rPr>
            </w:pPr>
            <w:bookmarkStart w:id="42" w:name="_Hlk235203318"/>
            <w:r>
              <w:rPr>
                <w:rFonts w:hint="eastAsia"/>
                <w:color w:val="auto"/>
              </w:rPr>
              <w:t>0</w:t>
            </w:r>
          </w:p>
        </w:tc>
        <w:tc>
          <w:tcPr>
            <w:tcW w:w="2737" w:type="dxa"/>
          </w:tcPr>
          <w:p w14:paraId="0FEAE6EE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</w:t>
            </w:r>
          </w:p>
        </w:tc>
        <w:tc>
          <w:tcPr>
            <w:tcW w:w="2737" w:type="dxa"/>
          </w:tcPr>
          <w:p w14:paraId="41AA04D0">
            <w:pPr>
              <w:pStyle w:val="33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0.0059</w:t>
            </w:r>
          </w:p>
        </w:tc>
      </w:tr>
      <w:tr w14:paraId="22AE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12D05004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2737" w:type="dxa"/>
          </w:tcPr>
          <w:p w14:paraId="5C9A5A9B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</w:t>
            </w:r>
          </w:p>
        </w:tc>
        <w:tc>
          <w:tcPr>
            <w:tcW w:w="2737" w:type="dxa"/>
          </w:tcPr>
          <w:p w14:paraId="2892CC25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0.0059</w:t>
            </w:r>
          </w:p>
        </w:tc>
      </w:tr>
      <w:tr w14:paraId="2A8A3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17B745F7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2737" w:type="dxa"/>
          </w:tcPr>
          <w:p w14:paraId="6D03DA90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  <w:tc>
          <w:tcPr>
            <w:tcW w:w="2737" w:type="dxa"/>
          </w:tcPr>
          <w:p w14:paraId="47E4AB3E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</w:tr>
      <w:tr w14:paraId="74E26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13642E30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2737" w:type="dxa"/>
          </w:tcPr>
          <w:p w14:paraId="054C9C44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  <w:tc>
          <w:tcPr>
            <w:tcW w:w="2737" w:type="dxa"/>
          </w:tcPr>
          <w:p w14:paraId="6713925A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</w:tr>
      <w:tr w14:paraId="4A755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4C1770D0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30</w:t>
            </w:r>
          </w:p>
        </w:tc>
        <w:tc>
          <w:tcPr>
            <w:tcW w:w="2737" w:type="dxa"/>
          </w:tcPr>
          <w:p w14:paraId="3A4FAF7C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  <w:tc>
          <w:tcPr>
            <w:tcW w:w="2737" w:type="dxa"/>
          </w:tcPr>
          <w:p w14:paraId="1E0BEC4F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</w:tr>
      <w:tr w14:paraId="0E27A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781B2319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50</w:t>
            </w:r>
          </w:p>
        </w:tc>
        <w:tc>
          <w:tcPr>
            <w:tcW w:w="2737" w:type="dxa"/>
          </w:tcPr>
          <w:p w14:paraId="441E7B14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  <w:tc>
          <w:tcPr>
            <w:tcW w:w="2737" w:type="dxa"/>
          </w:tcPr>
          <w:p w14:paraId="606497FD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</w:tr>
      <w:tr w14:paraId="26B8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406B323E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-1</w:t>
            </w:r>
          </w:p>
        </w:tc>
        <w:tc>
          <w:tcPr>
            <w:tcW w:w="2737" w:type="dxa"/>
          </w:tcPr>
          <w:p w14:paraId="6B73437F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  <w:tc>
          <w:tcPr>
            <w:tcW w:w="2737" w:type="dxa"/>
          </w:tcPr>
          <w:p w14:paraId="3FF14A36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</w:tr>
      <w:tr w14:paraId="7042A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7BF2404C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-10</w:t>
            </w:r>
          </w:p>
        </w:tc>
        <w:tc>
          <w:tcPr>
            <w:tcW w:w="2737" w:type="dxa"/>
          </w:tcPr>
          <w:p w14:paraId="17999F18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</w:t>
            </w:r>
          </w:p>
        </w:tc>
        <w:tc>
          <w:tcPr>
            <w:tcW w:w="2737" w:type="dxa"/>
          </w:tcPr>
          <w:p w14:paraId="7B791C6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0.0059</w:t>
            </w:r>
          </w:p>
        </w:tc>
      </w:tr>
      <w:tr w14:paraId="1567E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54C0C846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-20</w:t>
            </w:r>
          </w:p>
        </w:tc>
        <w:tc>
          <w:tcPr>
            <w:tcW w:w="2737" w:type="dxa"/>
          </w:tcPr>
          <w:p w14:paraId="02CFFE00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  <w:tc>
          <w:tcPr>
            <w:tcW w:w="2737" w:type="dxa"/>
          </w:tcPr>
          <w:p w14:paraId="004FEDF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</w:tr>
      <w:tr w14:paraId="630B4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4E03E750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-30</w:t>
            </w:r>
          </w:p>
        </w:tc>
        <w:tc>
          <w:tcPr>
            <w:tcW w:w="2737" w:type="dxa"/>
          </w:tcPr>
          <w:p w14:paraId="06CDCFD8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  <w:tc>
          <w:tcPr>
            <w:tcW w:w="2737" w:type="dxa"/>
          </w:tcPr>
          <w:p w14:paraId="20AB348A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</w:t>
            </w:r>
          </w:p>
        </w:tc>
      </w:tr>
      <w:tr w14:paraId="6A96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</w:tcPr>
          <w:p w14:paraId="418D4489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-50</w:t>
            </w:r>
          </w:p>
        </w:tc>
        <w:tc>
          <w:tcPr>
            <w:tcW w:w="2737" w:type="dxa"/>
          </w:tcPr>
          <w:p w14:paraId="638B020D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</w:t>
            </w:r>
          </w:p>
        </w:tc>
        <w:tc>
          <w:tcPr>
            <w:tcW w:w="2737" w:type="dxa"/>
          </w:tcPr>
          <w:p w14:paraId="66DA9519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0.0059</w:t>
            </w:r>
          </w:p>
        </w:tc>
      </w:tr>
      <w:bookmarkEnd w:id="42"/>
    </w:tbl>
    <w:p w14:paraId="5198013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color w:val="auto"/>
          <w:sz w:val="28"/>
          <w:szCs w:val="28"/>
        </w:rPr>
      </w:pPr>
      <w:r>
        <w:rPr>
          <w:rFonts w:hint="eastAsia"/>
          <w:i/>
          <w:iCs/>
          <w:color w:val="auto"/>
          <w:sz w:val="28"/>
          <w:szCs w:val="28"/>
        </w:rPr>
        <w:t>u</w:t>
      </w:r>
      <w:r>
        <w:rPr>
          <w:rFonts w:hint="eastAsia"/>
          <w:color w:val="auto"/>
          <w:sz w:val="28"/>
          <w:szCs w:val="28"/>
          <w:vertAlign w:val="subscript"/>
        </w:rPr>
        <w:t>res</w:t>
      </w:r>
    </w:p>
    <w:p w14:paraId="1216D6CE">
      <w:pPr>
        <w:ind w:firstLine="560"/>
        <w:rPr>
          <w:color w:val="auto"/>
        </w:rPr>
      </w:pPr>
      <w:r>
        <w:rPr>
          <w:rFonts w:hint="eastAsia"/>
          <w:color w:val="auto"/>
        </w:rPr>
        <w:t>被校激光测风雷达的径向风速分辨力为0.001 m/s，按均匀分布，分辨力引入的标准不确定度为：</w:t>
      </w:r>
    </w:p>
    <w:p w14:paraId="05037783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32"/>
        </w:rPr>
        <w:object>
          <v:shape id="_x0000_i1031" o:spt="75" type="#_x0000_t75" style="height:38.25pt;width:150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7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74FF6CC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color w:val="auto"/>
          <w:sz w:val="28"/>
          <w:szCs w:val="28"/>
        </w:rPr>
      </w:pPr>
      <w:r>
        <w:rPr>
          <w:rFonts w:hint="eastAsia"/>
          <w:i/>
          <w:iCs/>
          <w:color w:val="auto"/>
          <w:sz w:val="28"/>
          <w:szCs w:val="28"/>
        </w:rPr>
        <w:t>u</w:t>
      </w:r>
      <w:r>
        <w:rPr>
          <w:rFonts w:hint="eastAsia"/>
          <w:color w:val="auto"/>
          <w:sz w:val="28"/>
          <w:szCs w:val="28"/>
          <w:vertAlign w:val="subscript"/>
        </w:rPr>
        <w:t>cal</w:t>
      </w:r>
    </w:p>
    <w:p w14:paraId="71F4E874">
      <w:pPr>
        <w:ind w:firstLine="560"/>
        <w:rPr>
          <w:color w:val="auto"/>
        </w:rPr>
      </w:pPr>
      <w:r>
        <w:rPr>
          <w:rFonts w:hint="eastAsia"/>
          <w:color w:val="auto"/>
        </w:rPr>
        <w:t>LDV的最大允许误差为±0.01 m/s，LDV系统校准的标准不确定度为：</w:t>
      </w:r>
    </w:p>
    <w:p w14:paraId="7DBCC00A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32"/>
        </w:rPr>
        <w:object>
          <v:shape id="_x0000_i1032" o:spt="75" type="#_x0000_t75" style="height:37.5pt;width:135.7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8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346FEAF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i/>
          <w:iCs/>
          <w:color w:val="auto"/>
          <w:sz w:val="28"/>
          <w:szCs w:val="28"/>
        </w:rPr>
        <w:t>u</w:t>
      </w:r>
      <w:r>
        <w:rPr>
          <w:rFonts w:cs="Times New Roman"/>
          <w:color w:val="auto"/>
          <w:sz w:val="28"/>
          <w:szCs w:val="28"/>
          <w:vertAlign w:val="subscript"/>
        </w:rPr>
        <w:t>α</w:t>
      </w:r>
    </w:p>
    <w:p w14:paraId="4BABCD84">
      <w:pPr>
        <w:ind w:firstLine="560"/>
        <w:rPr>
          <w:color w:val="auto"/>
        </w:rPr>
      </w:pPr>
      <w:r>
        <w:rPr>
          <w:rFonts w:hint="eastAsia"/>
          <w:color w:val="auto"/>
        </w:rPr>
        <w:t>LDV水平速度矢量测量</w:t>
      </w:r>
      <w:r>
        <w:rPr>
          <w:color w:val="auto"/>
        </w:rPr>
        <w:t>偏差</w:t>
      </w:r>
      <w:r>
        <w:rPr>
          <w:rFonts w:hint="eastAsia"/>
          <w:color w:val="auto"/>
        </w:rPr>
        <w:t>引入的标准不确定度，取残余俯仰角最大可能值0.5°=0.00873 rad，按均匀分布计算：</w:t>
      </w:r>
    </w:p>
    <w:p w14:paraId="53EC35A2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32"/>
        </w:rPr>
        <w:object>
          <v:shape id="_x0000_i1033" o:spt="75" type="#_x0000_t75" style="height:38.25pt;width:144.75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9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037377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i/>
          <w:iCs/>
          <w:color w:val="auto"/>
          <w:sz w:val="28"/>
          <w:szCs w:val="28"/>
        </w:rPr>
        <w:t>u</w:t>
      </w:r>
      <w:r>
        <w:rPr>
          <w:rFonts w:cs="Times New Roman"/>
          <w:color w:val="auto"/>
          <w:sz w:val="28"/>
          <w:szCs w:val="28"/>
          <w:vertAlign w:val="subscript"/>
        </w:rPr>
        <w:t>βLDV</w:t>
      </w:r>
    </w:p>
    <w:p w14:paraId="3492B0A3">
      <w:pPr>
        <w:ind w:firstLine="560"/>
        <w:rPr>
          <w:color w:val="auto"/>
        </w:rPr>
      </w:pPr>
      <w:r>
        <w:rPr>
          <w:rFonts w:hint="eastAsia"/>
          <w:color w:val="auto"/>
        </w:rPr>
        <w:t>LDV光束俯仰角引入的不确定度取残余俯仰角最大可能值0.5°=0.00873 rad，按均匀分布计算：</w:t>
      </w:r>
    </w:p>
    <w:p w14:paraId="50A0CAF1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32"/>
        </w:rPr>
        <w:object>
          <v:shape id="_x0000_i1034" o:spt="75" type="#_x0000_t75" style="height:38.25pt;width:159.7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10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1B5383B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cs="Times New Roman"/>
          <w:color w:val="auto"/>
          <w:sz w:val="28"/>
          <w:szCs w:val="28"/>
        </w:rPr>
      </w:pPr>
      <w:r>
        <w:rPr>
          <w:rFonts w:hint="eastAsia"/>
          <w:i/>
          <w:iCs/>
          <w:color w:val="auto"/>
          <w:sz w:val="28"/>
          <w:szCs w:val="28"/>
        </w:rPr>
        <w:t>u</w:t>
      </w:r>
      <w:r>
        <w:rPr>
          <w:rFonts w:cs="Times New Roman"/>
          <w:color w:val="auto"/>
          <w:sz w:val="28"/>
          <w:szCs w:val="28"/>
          <w:vertAlign w:val="subscript"/>
        </w:rPr>
        <w:t>βlidar</w:t>
      </w:r>
    </w:p>
    <w:p w14:paraId="6DEFC96E">
      <w:pPr>
        <w:ind w:firstLine="560"/>
        <w:rPr>
          <w:color w:val="auto"/>
        </w:rPr>
      </w:pPr>
      <w:r>
        <w:rPr>
          <w:rFonts w:hint="eastAsia"/>
          <w:color w:val="auto"/>
        </w:rPr>
        <w:t>激光测风雷达俯仰角引入的标准不确定度，取残余俯仰角最大可能值0.5°=0.00873 rad，按均匀分布计算：</w:t>
      </w:r>
    </w:p>
    <w:p w14:paraId="230F80A4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32"/>
        </w:rPr>
        <w:object>
          <v:shape id="_x0000_i1035" o:spt="75" type="#_x0000_t75" style="height:38.25pt;width:158.2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11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3EB943E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color w:val="auto"/>
          <w:sz w:val="28"/>
          <w:szCs w:val="28"/>
        </w:rPr>
      </w:pPr>
      <w:r>
        <w:rPr>
          <w:rFonts w:hint="eastAsia"/>
          <w:i/>
          <w:iCs/>
          <w:color w:val="auto"/>
          <w:sz w:val="28"/>
          <w:szCs w:val="28"/>
        </w:rPr>
        <w:t>u</w:t>
      </w:r>
      <w:r>
        <w:rPr>
          <w:rFonts w:hint="eastAsia"/>
          <w:color w:val="auto"/>
          <w:sz w:val="28"/>
          <w:szCs w:val="28"/>
          <w:vertAlign w:val="subscript"/>
        </w:rPr>
        <w:t>enc</w:t>
      </w:r>
    </w:p>
    <w:p w14:paraId="7A603DF4">
      <w:pPr>
        <w:ind w:firstLine="560"/>
        <w:rPr>
          <w:color w:val="auto"/>
        </w:rPr>
      </w:pPr>
      <w:r>
        <w:rPr>
          <w:color w:val="auto"/>
        </w:rPr>
        <w:t>编码器增量定位误差引入的标准不确定度</w:t>
      </w:r>
      <w:r>
        <w:rPr>
          <w:rFonts w:hint="eastAsia"/>
          <w:color w:val="auto"/>
        </w:rPr>
        <w:t>按最大允许误差±0.01°=0.0001745 rad评定：</w:t>
      </w:r>
    </w:p>
    <w:p w14:paraId="4D9D2A78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32"/>
        </w:rPr>
        <w:object>
          <v:shape id="_x0000_i1036" o:spt="75" type="#_x0000_t75" style="height:38.25pt;width:171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12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1505FA7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color w:val="auto"/>
          <w:sz w:val="28"/>
          <w:szCs w:val="28"/>
        </w:rPr>
      </w:pPr>
      <w:r>
        <w:rPr>
          <w:rFonts w:hint="eastAsia"/>
          <w:i/>
          <w:iCs/>
          <w:color w:val="auto"/>
          <w:sz w:val="28"/>
          <w:szCs w:val="28"/>
        </w:rPr>
        <w:t>u</w:t>
      </w:r>
      <w:r>
        <w:rPr>
          <w:rFonts w:hint="eastAsia"/>
          <w:color w:val="auto"/>
          <w:sz w:val="28"/>
          <w:szCs w:val="28"/>
          <w:vertAlign w:val="subscript"/>
        </w:rPr>
        <w:t>zero</w:t>
      </w:r>
    </w:p>
    <w:p w14:paraId="06BE5816">
      <w:pPr>
        <w:ind w:firstLine="560"/>
        <w:rPr>
          <w:color w:val="auto"/>
        </w:rPr>
      </w:pPr>
      <w:r>
        <w:rPr>
          <w:rFonts w:hint="eastAsia"/>
          <w:color w:val="auto"/>
        </w:rPr>
        <w:t>转盘底座的分辨力是0.01°，调零时通过旋转底座，使得激光测风雷达测量转动的转盘时测量径向风速为零，此时引入不确定度，也可以按均匀分布计算，取分辨力半宽0.005°=0.0000873：</w:t>
      </w:r>
    </w:p>
    <w:p w14:paraId="4B919FAA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32"/>
        </w:rPr>
        <w:object>
          <v:shape id="_x0000_i1037" o:spt="75" type="#_x0000_t75" style="height:38.25pt;width:180.75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13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6E5092D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43" w:name="_Toc235453902"/>
      <w:r>
        <w:rPr>
          <w:rFonts w:hint="eastAsia" w:ascii="宋体" w:hAnsi="宋体" w:eastAsia="宋体" w:cs="宋体"/>
          <w:color w:val="auto"/>
          <w:sz w:val="28"/>
          <w:szCs w:val="28"/>
        </w:rPr>
        <w:t>扩展不确定度计算</w:t>
      </w:r>
      <w:bookmarkEnd w:id="43"/>
    </w:p>
    <w:p w14:paraId="77A5F05B">
      <w:pPr>
        <w:ind w:firstLine="560"/>
        <w:rPr>
          <w:color w:val="auto"/>
        </w:rPr>
      </w:pPr>
      <w:r>
        <w:rPr>
          <w:rFonts w:hint="eastAsia"/>
          <w:color w:val="auto"/>
        </w:rPr>
        <w:t>转盘角度为75°，径向速度点为-10 m/s时，各俯仰角、水平角均为0°，</w:t>
      </w:r>
      <w:r>
        <w:rPr>
          <w:rFonts w:hint="eastAsia"/>
          <w:i/>
          <w:iCs/>
          <w:color w:val="auto"/>
        </w:rPr>
        <w:t>k</w:t>
      </w:r>
      <w:r>
        <w:rPr>
          <w:rFonts w:hint="eastAsia"/>
          <w:color w:val="auto"/>
        </w:rPr>
        <w:t>=2。</w:t>
      </w:r>
    </w:p>
    <w:p w14:paraId="44569503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168"/>
        </w:rPr>
        <w:object>
          <v:shape id="_x0000_i1038" o:spt="75" type="#_x0000_t75" style="height:181.5pt;width:349.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14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  <w:bookmarkStart w:id="45" w:name="_GoBack"/>
      <w:bookmarkEnd w:id="45"/>
    </w:p>
    <w:p w14:paraId="368505CD">
      <w:pPr>
        <w:pStyle w:val="43"/>
        <w:rPr>
          <w:color w:val="auto"/>
        </w:rPr>
      </w:pPr>
      <w:r>
        <w:rPr>
          <w:color w:val="auto"/>
        </w:rPr>
        <w:tab/>
      </w:r>
      <w:r>
        <w:rPr>
          <w:color w:val="auto"/>
          <w:position w:val="-14"/>
        </w:rPr>
        <w:object>
          <v:shape id="_x0000_i1039" o:spt="75" type="#_x0000_t75" style="height:23.25pt;width:251.2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auto"/>
        </w:rPr>
        <w:tab/>
      </w:r>
      <w:r>
        <w:rPr>
          <w:color w:val="auto"/>
        </w:rPr>
        <w:fldChar w:fldCharType="begin"/>
      </w:r>
      <w:r>
        <w:rPr>
          <w:color w:val="auto"/>
        </w:rPr>
        <w:instrText xml:space="preserve"> MACROBUTTON MTPlaceRef \* MERGEFORMAT 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\h \* MERGEFORMAT 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(</w:instrText>
      </w:r>
      <w:r>
        <w:rPr>
          <w:color w:val="auto"/>
        </w:rPr>
        <w:fldChar w:fldCharType="begin"/>
      </w:r>
      <w:r>
        <w:rPr>
          <w:color w:val="auto"/>
        </w:rPr>
        <w:instrText xml:space="preserve"> SEQ MTEqn \c \* Arabic \* MERGEFORMAT </w:instrText>
      </w:r>
      <w:r>
        <w:rPr>
          <w:color w:val="auto"/>
        </w:rPr>
        <w:fldChar w:fldCharType="separate"/>
      </w:r>
      <w:r>
        <w:rPr>
          <w:color w:val="auto"/>
        </w:rPr>
        <w:instrText xml:space="preserve">15</w:instrText>
      </w:r>
      <w:r>
        <w:rPr>
          <w:color w:val="auto"/>
        </w:rPr>
        <w:fldChar w:fldCharType="end"/>
      </w:r>
      <w:r>
        <w:rPr>
          <w:color w:val="auto"/>
        </w:rPr>
        <w:instrText xml:space="preserve">)</w:instrText>
      </w:r>
      <w:r>
        <w:rPr>
          <w:color w:val="auto"/>
        </w:rPr>
        <w:fldChar w:fldCharType="end"/>
      </w:r>
    </w:p>
    <w:p w14:paraId="34900835">
      <w:pPr>
        <w:ind w:firstLine="560"/>
        <w:rPr>
          <w:color w:val="auto"/>
        </w:rPr>
      </w:pPr>
      <w:r>
        <w:rPr>
          <w:rFonts w:hint="eastAsia"/>
          <w:color w:val="auto"/>
        </w:rPr>
        <w:t>其它各点也按照上述公式进行计算：</w:t>
      </w:r>
    </w:p>
    <w:p w14:paraId="361A01C2">
      <w:pPr>
        <w:widowControl/>
        <w:spacing w:line="240" w:lineRule="auto"/>
        <w:ind w:firstLine="0" w:firstLineChars="0"/>
        <w:jc w:val="center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 xml:space="preserve">表 </w:t>
      </w:r>
      <w:r>
        <w:rPr>
          <w:rFonts w:hint="eastAsia" w:ascii="黑体" w:hAnsi="黑体" w:eastAsia="黑体" w:cs="黑体"/>
          <w:color w:val="auto"/>
          <w:sz w:val="24"/>
          <w:szCs w:val="24"/>
        </w:rPr>
        <w:fldChar w:fldCharType="begin"/>
      </w:r>
      <w:r>
        <w:rPr>
          <w:rFonts w:hint="eastAsia" w:ascii="黑体" w:hAnsi="黑体" w:eastAsia="黑体" w:cs="黑体"/>
          <w:color w:val="auto"/>
          <w:sz w:val="24"/>
          <w:szCs w:val="24"/>
        </w:rPr>
        <w:instrText xml:space="preserve"> SEQ 表 \* ARABIC </w:instrText>
      </w:r>
      <w:r>
        <w:rPr>
          <w:rFonts w:hint="eastAsia" w:ascii="黑体" w:hAnsi="黑体" w:eastAsia="黑体" w:cs="黑体"/>
          <w:color w:val="auto"/>
          <w:sz w:val="24"/>
          <w:szCs w:val="24"/>
        </w:rPr>
        <w:fldChar w:fldCharType="separate"/>
      </w:r>
      <w:r>
        <w:rPr>
          <w:rFonts w:hint="eastAsia" w:ascii="黑体" w:hAnsi="黑体" w:eastAsia="黑体" w:cs="黑体"/>
          <w:color w:val="auto"/>
          <w:sz w:val="24"/>
          <w:szCs w:val="24"/>
        </w:rPr>
        <w:t>5</w:t>
      </w:r>
      <w:r>
        <w:rPr>
          <w:rFonts w:hint="eastAsia" w:ascii="黑体" w:hAnsi="黑体" w:eastAsia="黑体" w:cs="黑体"/>
          <w:color w:val="auto"/>
          <w:sz w:val="24"/>
          <w:szCs w:val="24"/>
        </w:rPr>
        <w:fldChar w:fldCharType="end"/>
      </w:r>
      <w:r>
        <w:rPr>
          <w:rFonts w:hint="eastAsia" w:ascii="黑体" w:hAnsi="黑体" w:eastAsia="黑体" w:cs="黑体"/>
          <w:color w:val="auto"/>
          <w:sz w:val="24"/>
          <w:szCs w:val="24"/>
        </w:rPr>
        <w:t>扩展不确定度</w:t>
      </w:r>
    </w:p>
    <w:tbl>
      <w:tblPr>
        <w:tblStyle w:val="19"/>
        <w:tblW w:w="0" w:type="auto"/>
        <w:tblInd w:w="1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3618"/>
      </w:tblGrid>
      <w:tr w14:paraId="6AAC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45218346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校准点（m/s）</w:t>
            </w:r>
          </w:p>
        </w:tc>
        <w:tc>
          <w:tcPr>
            <w:tcW w:w="3618" w:type="dxa"/>
          </w:tcPr>
          <w:p w14:paraId="31B5F90F">
            <w:pPr>
              <w:pStyle w:val="4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扩展不确定度</w:t>
            </w:r>
            <w:r>
              <w:rPr>
                <w:rFonts w:hint="eastAsia"/>
                <w:i/>
                <w:iCs/>
                <w:color w:val="auto"/>
              </w:rPr>
              <w:t>U</w:t>
            </w:r>
            <w:r>
              <w:rPr>
                <w:rFonts w:hint="eastAsia"/>
                <w:color w:val="auto"/>
              </w:rPr>
              <w:t>（m/s，</w:t>
            </w:r>
            <w:r>
              <w:rPr>
                <w:rFonts w:hint="eastAsia"/>
                <w:i/>
                <w:iCs/>
                <w:color w:val="auto"/>
              </w:rPr>
              <w:t>k</w:t>
            </w:r>
            <w:r>
              <w:rPr>
                <w:rFonts w:hint="eastAsia"/>
                <w:color w:val="auto"/>
              </w:rPr>
              <w:t>=2）</w:t>
            </w:r>
          </w:p>
        </w:tc>
      </w:tr>
      <w:tr w14:paraId="17BE1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0652BD2B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</w:p>
        </w:tc>
        <w:tc>
          <w:tcPr>
            <w:tcW w:w="3618" w:type="dxa"/>
          </w:tcPr>
          <w:p w14:paraId="2F2FD96A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  <w:tr w14:paraId="60AAB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72C6A8E6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3618" w:type="dxa"/>
          </w:tcPr>
          <w:p w14:paraId="4A4A74E4">
            <w:pPr>
              <w:pStyle w:val="33"/>
              <w:rPr>
                <w:color w:val="auto"/>
              </w:rPr>
            </w:pPr>
            <w:r>
              <w:rPr>
                <w:color w:val="auto"/>
              </w:rPr>
              <w:t>0.019</w:t>
            </w:r>
          </w:p>
        </w:tc>
      </w:tr>
      <w:tr w14:paraId="66A0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1868E38C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3618" w:type="dxa"/>
          </w:tcPr>
          <w:p w14:paraId="0AEE1F7F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  <w:tr w14:paraId="4E4F9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64FFB9B3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3618" w:type="dxa"/>
          </w:tcPr>
          <w:p w14:paraId="4183FC8B">
            <w:pPr>
              <w:pStyle w:val="33"/>
              <w:rPr>
                <w:color w:val="auto"/>
              </w:rPr>
            </w:pPr>
            <w:bookmarkStart w:id="44" w:name="OLE_LINK28"/>
            <w:r>
              <w:rPr>
                <w:rFonts w:hint="eastAsia"/>
                <w:color w:val="auto"/>
              </w:rPr>
              <w:t>0.019</w:t>
            </w:r>
            <w:bookmarkEnd w:id="44"/>
          </w:p>
        </w:tc>
      </w:tr>
      <w:tr w14:paraId="59C24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4009ED0E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30</w:t>
            </w:r>
          </w:p>
        </w:tc>
        <w:tc>
          <w:tcPr>
            <w:tcW w:w="3618" w:type="dxa"/>
          </w:tcPr>
          <w:p w14:paraId="57D7F7FE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  <w:tr w14:paraId="4A319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7B07B55B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50</w:t>
            </w:r>
          </w:p>
        </w:tc>
        <w:tc>
          <w:tcPr>
            <w:tcW w:w="3618" w:type="dxa"/>
          </w:tcPr>
          <w:p w14:paraId="71C55785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  <w:tr w14:paraId="5A3A7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49B1BFA8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-1</w:t>
            </w:r>
          </w:p>
        </w:tc>
        <w:tc>
          <w:tcPr>
            <w:tcW w:w="3618" w:type="dxa"/>
          </w:tcPr>
          <w:p w14:paraId="43125EDB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  <w:tr w14:paraId="260A2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1979DA8E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-10</w:t>
            </w:r>
          </w:p>
        </w:tc>
        <w:tc>
          <w:tcPr>
            <w:tcW w:w="3618" w:type="dxa"/>
          </w:tcPr>
          <w:p w14:paraId="72C232C1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  <w:tr w14:paraId="71EE6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119D2363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-20</w:t>
            </w:r>
          </w:p>
        </w:tc>
        <w:tc>
          <w:tcPr>
            <w:tcW w:w="3618" w:type="dxa"/>
          </w:tcPr>
          <w:p w14:paraId="54635AAA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  <w:tr w14:paraId="4560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7103F032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-30</w:t>
            </w:r>
          </w:p>
        </w:tc>
        <w:tc>
          <w:tcPr>
            <w:tcW w:w="3618" w:type="dxa"/>
          </w:tcPr>
          <w:p w14:paraId="3F2297D0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  <w:tr w14:paraId="5A54F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56C7F673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-50</w:t>
            </w:r>
          </w:p>
        </w:tc>
        <w:tc>
          <w:tcPr>
            <w:tcW w:w="3618" w:type="dxa"/>
          </w:tcPr>
          <w:p w14:paraId="50468646">
            <w:pPr>
              <w:pStyle w:val="33"/>
              <w:rPr>
                <w:color w:val="auto"/>
              </w:rPr>
            </w:pPr>
            <w:r>
              <w:rPr>
                <w:rFonts w:hint="eastAsia"/>
                <w:color w:val="auto"/>
              </w:rPr>
              <w:t>0.019</w:t>
            </w:r>
          </w:p>
        </w:tc>
      </w:tr>
    </w:tbl>
    <w:p w14:paraId="62A76023">
      <w:pPr>
        <w:ind w:firstLine="560"/>
        <w:rPr>
          <w:color w:val="auto"/>
        </w:rPr>
      </w:pPr>
    </w:p>
    <w:p w14:paraId="1149C774">
      <w:pPr>
        <w:ind w:firstLine="560"/>
        <w:rPr>
          <w:color w:val="auto"/>
        </w:rPr>
      </w:pPr>
    </w:p>
    <w:sectPr>
      <w:footerReference r:id="rId12" w:type="default"/>
      <w:pgSz w:w="11906" w:h="16838"/>
      <w:pgMar w:top="1985" w:right="1701" w:bottom="1701" w:left="1985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98CEE8-164A-4F2F-B681-F1D29D8CC0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6D9D5060-13A6-422C-94F4-D11701D3B1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789D1">
    <w:pPr>
      <w:ind w:firstLine="560"/>
      <w:jc w:val="center"/>
    </w:pPr>
  </w:p>
  <w:p w14:paraId="3D9EE4A0">
    <w:pPr>
      <w:ind w:firstLine="5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57BE8">
    <w:pPr>
      <w:ind w:firstLine="5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336C5">
    <w:pPr>
      <w:ind w:firstLine="5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24E95">
    <w:pPr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51879327"/>
      <w:docPartObj>
        <w:docPartGallery w:val="AutoText"/>
      </w:docPartObj>
    </w:sdtPr>
    <w:sdtEndPr>
      <w:rPr>
        <w:sz w:val="18"/>
        <w:szCs w:val="18"/>
      </w:rPr>
    </w:sdtEndPr>
    <w:sdtContent>
      <w:p w14:paraId="74613E2C">
        <w:pPr>
          <w:ind w:firstLine="560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PAGE   \* MERGEFORMAT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  <w:lang w:val="zh-CN"/>
          </w:rPr>
          <w:t>2</w:t>
        </w:r>
        <w:r>
          <w:rPr>
            <w:sz w:val="18"/>
            <w:szCs w:val="18"/>
          </w:rPr>
          <w:fldChar w:fldCharType="end"/>
        </w:r>
      </w:p>
    </w:sdtContent>
  </w:sdt>
  <w:p w14:paraId="519B21C8">
    <w:pPr>
      <w:ind w:firstLine="5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5769B">
    <w:pPr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D7E61">
    <w:pPr>
      <w:ind w:firstLine="5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C2D8D">
    <w:pPr>
      <w:ind w:firstLine="5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0B25A2"/>
    <w:multiLevelType w:val="multilevel"/>
    <w:tmpl w:val="400B25A2"/>
    <w:lvl w:ilvl="0" w:tentative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732B125C"/>
    <w:multiLevelType w:val="multilevel"/>
    <w:tmpl w:val="732B125C"/>
    <w:lvl w:ilvl="0" w:tentative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7F1B02EB"/>
    <w:multiLevelType w:val="multilevel"/>
    <w:tmpl w:val="7F1B02EB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6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pStyle w:val="7"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pStyle w:val="8"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pStyle w:val="9"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0"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">
    <w:nsid w:val="7F1F225E"/>
    <w:multiLevelType w:val="multilevel"/>
    <w:tmpl w:val="7F1F225E"/>
    <w:lvl w:ilvl="0" w:tentative="0">
      <w:start w:val="1"/>
      <w:numFmt w:val="decimal"/>
      <w:lvlText w:val="(%1)"/>
      <w:lvlJc w:val="left"/>
      <w:pPr>
        <w:ind w:left="1000" w:hanging="440"/>
      </w:pPr>
      <w:rPr>
        <w:rFonts w:hint="default" w:ascii="Times New Roman" w:hAnsi="Times New Roman" w:eastAsia="宋体"/>
      </w:rPr>
    </w:lvl>
    <w:lvl w:ilvl="1" w:tentative="0">
      <w:start w:val="1"/>
      <w:numFmt w:val="lowerLetter"/>
      <w:lvlText w:val="%2)"/>
      <w:lvlJc w:val="left"/>
      <w:pPr>
        <w:ind w:left="1440" w:hanging="440"/>
      </w:pPr>
    </w:lvl>
    <w:lvl w:ilvl="2" w:tentative="0">
      <w:start w:val="1"/>
      <w:numFmt w:val="lowerRoman"/>
      <w:lvlText w:val="%3."/>
      <w:lvlJc w:val="right"/>
      <w:pPr>
        <w:ind w:left="1880" w:hanging="440"/>
      </w:pPr>
    </w:lvl>
    <w:lvl w:ilvl="3" w:tentative="0">
      <w:start w:val="1"/>
      <w:numFmt w:val="decimal"/>
      <w:lvlText w:val="%4."/>
      <w:lvlJc w:val="left"/>
      <w:pPr>
        <w:ind w:left="2320" w:hanging="440"/>
      </w:pPr>
    </w:lvl>
    <w:lvl w:ilvl="4" w:tentative="0">
      <w:start w:val="1"/>
      <w:numFmt w:val="lowerLetter"/>
      <w:lvlText w:val="%5)"/>
      <w:lvlJc w:val="left"/>
      <w:pPr>
        <w:ind w:left="2760" w:hanging="440"/>
      </w:pPr>
    </w:lvl>
    <w:lvl w:ilvl="5" w:tentative="0">
      <w:start w:val="1"/>
      <w:numFmt w:val="lowerRoman"/>
      <w:lvlText w:val="%6."/>
      <w:lvlJc w:val="right"/>
      <w:pPr>
        <w:ind w:left="3200" w:hanging="440"/>
      </w:pPr>
    </w:lvl>
    <w:lvl w:ilvl="6" w:tentative="0">
      <w:start w:val="1"/>
      <w:numFmt w:val="decimal"/>
      <w:lvlText w:val="%7."/>
      <w:lvlJc w:val="left"/>
      <w:pPr>
        <w:ind w:left="3640" w:hanging="440"/>
      </w:pPr>
    </w:lvl>
    <w:lvl w:ilvl="7" w:tentative="0">
      <w:start w:val="1"/>
      <w:numFmt w:val="lowerLetter"/>
      <w:lvlText w:val="%8)"/>
      <w:lvlJc w:val="left"/>
      <w:pPr>
        <w:ind w:left="4080" w:hanging="440"/>
      </w:pPr>
    </w:lvl>
    <w:lvl w:ilvl="8" w:tentative="0">
      <w:start w:val="1"/>
      <w:numFmt w:val="lowerRoman"/>
      <w:lvlText w:val="%9."/>
      <w:lvlJc w:val="right"/>
      <w:pPr>
        <w:ind w:left="4520" w:hanging="44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ZDNkMjNiMTFlZmRlMzVmMGNlZDAzMmE5YWZlYWEifQ=="/>
  </w:docVars>
  <w:rsids>
    <w:rsidRoot w:val="007E53F0"/>
    <w:rsid w:val="00000226"/>
    <w:rsid w:val="00002BF1"/>
    <w:rsid w:val="0000617E"/>
    <w:rsid w:val="00006379"/>
    <w:rsid w:val="00006993"/>
    <w:rsid w:val="00010525"/>
    <w:rsid w:val="00010B20"/>
    <w:rsid w:val="00010E15"/>
    <w:rsid w:val="00013DCF"/>
    <w:rsid w:val="00014477"/>
    <w:rsid w:val="00014B28"/>
    <w:rsid w:val="00017619"/>
    <w:rsid w:val="00017790"/>
    <w:rsid w:val="00017F73"/>
    <w:rsid w:val="00021863"/>
    <w:rsid w:val="00021F26"/>
    <w:rsid w:val="0002213F"/>
    <w:rsid w:val="00022FF0"/>
    <w:rsid w:val="000256FB"/>
    <w:rsid w:val="000262C3"/>
    <w:rsid w:val="000262DC"/>
    <w:rsid w:val="00030AC1"/>
    <w:rsid w:val="00030D41"/>
    <w:rsid w:val="000325A1"/>
    <w:rsid w:val="000340D8"/>
    <w:rsid w:val="000361D7"/>
    <w:rsid w:val="000362E8"/>
    <w:rsid w:val="000368FC"/>
    <w:rsid w:val="00036D52"/>
    <w:rsid w:val="000422C4"/>
    <w:rsid w:val="000422E8"/>
    <w:rsid w:val="00042871"/>
    <w:rsid w:val="00042B04"/>
    <w:rsid w:val="000436A4"/>
    <w:rsid w:val="00044E61"/>
    <w:rsid w:val="00047EA0"/>
    <w:rsid w:val="000509FA"/>
    <w:rsid w:val="0005115C"/>
    <w:rsid w:val="000511FE"/>
    <w:rsid w:val="00052A4A"/>
    <w:rsid w:val="00054681"/>
    <w:rsid w:val="000560D5"/>
    <w:rsid w:val="00062F7A"/>
    <w:rsid w:val="000651BE"/>
    <w:rsid w:val="000658D3"/>
    <w:rsid w:val="00067831"/>
    <w:rsid w:val="00070637"/>
    <w:rsid w:val="00071376"/>
    <w:rsid w:val="00072CAB"/>
    <w:rsid w:val="00074058"/>
    <w:rsid w:val="00074BB1"/>
    <w:rsid w:val="00077F20"/>
    <w:rsid w:val="00082259"/>
    <w:rsid w:val="00082AB4"/>
    <w:rsid w:val="00084F09"/>
    <w:rsid w:val="0008570F"/>
    <w:rsid w:val="00085AE7"/>
    <w:rsid w:val="00086FF7"/>
    <w:rsid w:val="00092460"/>
    <w:rsid w:val="0009289D"/>
    <w:rsid w:val="000940DB"/>
    <w:rsid w:val="000951E4"/>
    <w:rsid w:val="000963E9"/>
    <w:rsid w:val="0009738E"/>
    <w:rsid w:val="000A2866"/>
    <w:rsid w:val="000A471E"/>
    <w:rsid w:val="000A521A"/>
    <w:rsid w:val="000A7092"/>
    <w:rsid w:val="000B0F5B"/>
    <w:rsid w:val="000B1167"/>
    <w:rsid w:val="000B15C7"/>
    <w:rsid w:val="000B2AFE"/>
    <w:rsid w:val="000B2CB9"/>
    <w:rsid w:val="000B3FCE"/>
    <w:rsid w:val="000B3FF1"/>
    <w:rsid w:val="000B4991"/>
    <w:rsid w:val="000B5998"/>
    <w:rsid w:val="000B5D8B"/>
    <w:rsid w:val="000B64DD"/>
    <w:rsid w:val="000C499B"/>
    <w:rsid w:val="000C5E18"/>
    <w:rsid w:val="000C75FC"/>
    <w:rsid w:val="000D2699"/>
    <w:rsid w:val="000D2D39"/>
    <w:rsid w:val="000E0896"/>
    <w:rsid w:val="000E0EF6"/>
    <w:rsid w:val="000E17A6"/>
    <w:rsid w:val="000E1A89"/>
    <w:rsid w:val="000E1F18"/>
    <w:rsid w:val="000E20A1"/>
    <w:rsid w:val="000E2BFF"/>
    <w:rsid w:val="000E36EC"/>
    <w:rsid w:val="000E4435"/>
    <w:rsid w:val="000E4A6D"/>
    <w:rsid w:val="000E600F"/>
    <w:rsid w:val="000E6110"/>
    <w:rsid w:val="000F01A5"/>
    <w:rsid w:val="000F0201"/>
    <w:rsid w:val="000F0824"/>
    <w:rsid w:val="000F0ABA"/>
    <w:rsid w:val="000F1FFE"/>
    <w:rsid w:val="000F3D8C"/>
    <w:rsid w:val="000F48C4"/>
    <w:rsid w:val="000F49A5"/>
    <w:rsid w:val="000F4A4C"/>
    <w:rsid w:val="000F6556"/>
    <w:rsid w:val="001011C6"/>
    <w:rsid w:val="00101A72"/>
    <w:rsid w:val="0010249D"/>
    <w:rsid w:val="00103846"/>
    <w:rsid w:val="00103CD7"/>
    <w:rsid w:val="00104582"/>
    <w:rsid w:val="001048D5"/>
    <w:rsid w:val="00105BE5"/>
    <w:rsid w:val="0010775B"/>
    <w:rsid w:val="0011030B"/>
    <w:rsid w:val="00111E8B"/>
    <w:rsid w:val="00111F09"/>
    <w:rsid w:val="001144DA"/>
    <w:rsid w:val="00116630"/>
    <w:rsid w:val="00116949"/>
    <w:rsid w:val="00117C48"/>
    <w:rsid w:val="00121144"/>
    <w:rsid w:val="001214A1"/>
    <w:rsid w:val="0012190A"/>
    <w:rsid w:val="0012317B"/>
    <w:rsid w:val="00123E17"/>
    <w:rsid w:val="00125359"/>
    <w:rsid w:val="00127403"/>
    <w:rsid w:val="00130342"/>
    <w:rsid w:val="00130515"/>
    <w:rsid w:val="001306BF"/>
    <w:rsid w:val="001336B6"/>
    <w:rsid w:val="001351DB"/>
    <w:rsid w:val="001369FB"/>
    <w:rsid w:val="001372C4"/>
    <w:rsid w:val="00137604"/>
    <w:rsid w:val="00141739"/>
    <w:rsid w:val="00142067"/>
    <w:rsid w:val="00143E14"/>
    <w:rsid w:val="00145128"/>
    <w:rsid w:val="00145ABE"/>
    <w:rsid w:val="00145AEB"/>
    <w:rsid w:val="001470AB"/>
    <w:rsid w:val="001535CF"/>
    <w:rsid w:val="001540AF"/>
    <w:rsid w:val="00154BA4"/>
    <w:rsid w:val="001555D6"/>
    <w:rsid w:val="00155A49"/>
    <w:rsid w:val="00155E94"/>
    <w:rsid w:val="0015612A"/>
    <w:rsid w:val="0015785A"/>
    <w:rsid w:val="00161B5D"/>
    <w:rsid w:val="00161B6B"/>
    <w:rsid w:val="00163B2F"/>
    <w:rsid w:val="001641F8"/>
    <w:rsid w:val="00165B94"/>
    <w:rsid w:val="0017019F"/>
    <w:rsid w:val="0017040E"/>
    <w:rsid w:val="0017098A"/>
    <w:rsid w:val="00171E58"/>
    <w:rsid w:val="00172A23"/>
    <w:rsid w:val="00174EF6"/>
    <w:rsid w:val="00175437"/>
    <w:rsid w:val="00175454"/>
    <w:rsid w:val="0017591A"/>
    <w:rsid w:val="0018026B"/>
    <w:rsid w:val="001824A3"/>
    <w:rsid w:val="00182DC4"/>
    <w:rsid w:val="0018348B"/>
    <w:rsid w:val="001849CB"/>
    <w:rsid w:val="00184DF6"/>
    <w:rsid w:val="001861F1"/>
    <w:rsid w:val="0018664F"/>
    <w:rsid w:val="0018691C"/>
    <w:rsid w:val="0019056D"/>
    <w:rsid w:val="00190575"/>
    <w:rsid w:val="00191DAF"/>
    <w:rsid w:val="0019317C"/>
    <w:rsid w:val="001960E9"/>
    <w:rsid w:val="0019634C"/>
    <w:rsid w:val="00196920"/>
    <w:rsid w:val="00196A91"/>
    <w:rsid w:val="001A3D1D"/>
    <w:rsid w:val="001A439C"/>
    <w:rsid w:val="001A520B"/>
    <w:rsid w:val="001A5431"/>
    <w:rsid w:val="001A568A"/>
    <w:rsid w:val="001A7796"/>
    <w:rsid w:val="001B04A7"/>
    <w:rsid w:val="001B137D"/>
    <w:rsid w:val="001B29CB"/>
    <w:rsid w:val="001B34D3"/>
    <w:rsid w:val="001B3D6D"/>
    <w:rsid w:val="001B7048"/>
    <w:rsid w:val="001B7B29"/>
    <w:rsid w:val="001C076B"/>
    <w:rsid w:val="001C1E53"/>
    <w:rsid w:val="001C2597"/>
    <w:rsid w:val="001C3D6D"/>
    <w:rsid w:val="001C3F4F"/>
    <w:rsid w:val="001C5016"/>
    <w:rsid w:val="001C5AE4"/>
    <w:rsid w:val="001C65E5"/>
    <w:rsid w:val="001D011A"/>
    <w:rsid w:val="001D17CB"/>
    <w:rsid w:val="001D2D7F"/>
    <w:rsid w:val="001D4C03"/>
    <w:rsid w:val="001D6A01"/>
    <w:rsid w:val="001D6DB4"/>
    <w:rsid w:val="001D6FE3"/>
    <w:rsid w:val="001D7552"/>
    <w:rsid w:val="001E172E"/>
    <w:rsid w:val="001E2503"/>
    <w:rsid w:val="001E254A"/>
    <w:rsid w:val="001E2E42"/>
    <w:rsid w:val="001E566D"/>
    <w:rsid w:val="001E5BF7"/>
    <w:rsid w:val="001E7FE1"/>
    <w:rsid w:val="001F1E50"/>
    <w:rsid w:val="001F55A5"/>
    <w:rsid w:val="001F696D"/>
    <w:rsid w:val="00202876"/>
    <w:rsid w:val="00202A14"/>
    <w:rsid w:val="00205024"/>
    <w:rsid w:val="00205033"/>
    <w:rsid w:val="0020585B"/>
    <w:rsid w:val="00206A88"/>
    <w:rsid w:val="00211660"/>
    <w:rsid w:val="002116FD"/>
    <w:rsid w:val="00211B41"/>
    <w:rsid w:val="00212C01"/>
    <w:rsid w:val="00213A3B"/>
    <w:rsid w:val="00213C1D"/>
    <w:rsid w:val="00220B5F"/>
    <w:rsid w:val="00220D5E"/>
    <w:rsid w:val="00220FCA"/>
    <w:rsid w:val="0022208A"/>
    <w:rsid w:val="002226FD"/>
    <w:rsid w:val="00222AB9"/>
    <w:rsid w:val="0022326F"/>
    <w:rsid w:val="00224F7E"/>
    <w:rsid w:val="00227496"/>
    <w:rsid w:val="00232866"/>
    <w:rsid w:val="00232E56"/>
    <w:rsid w:val="00234570"/>
    <w:rsid w:val="00234B06"/>
    <w:rsid w:val="0023549C"/>
    <w:rsid w:val="002404C0"/>
    <w:rsid w:val="002423E4"/>
    <w:rsid w:val="00243199"/>
    <w:rsid w:val="00243261"/>
    <w:rsid w:val="00243694"/>
    <w:rsid w:val="00244215"/>
    <w:rsid w:val="00245F5D"/>
    <w:rsid w:val="00246CB8"/>
    <w:rsid w:val="00246E2C"/>
    <w:rsid w:val="00250685"/>
    <w:rsid w:val="00250A88"/>
    <w:rsid w:val="00250AF6"/>
    <w:rsid w:val="002518FA"/>
    <w:rsid w:val="0025388A"/>
    <w:rsid w:val="002574C1"/>
    <w:rsid w:val="00257D7A"/>
    <w:rsid w:val="0026023D"/>
    <w:rsid w:val="00260E8E"/>
    <w:rsid w:val="002615CB"/>
    <w:rsid w:val="00262C12"/>
    <w:rsid w:val="0027052A"/>
    <w:rsid w:val="00272D43"/>
    <w:rsid w:val="00274895"/>
    <w:rsid w:val="00282C53"/>
    <w:rsid w:val="002834C7"/>
    <w:rsid w:val="00283B1D"/>
    <w:rsid w:val="00287332"/>
    <w:rsid w:val="00290F67"/>
    <w:rsid w:val="00291A12"/>
    <w:rsid w:val="00294B35"/>
    <w:rsid w:val="00294BFC"/>
    <w:rsid w:val="00295653"/>
    <w:rsid w:val="00295A39"/>
    <w:rsid w:val="0029613C"/>
    <w:rsid w:val="002A6CA5"/>
    <w:rsid w:val="002A765E"/>
    <w:rsid w:val="002A7EEF"/>
    <w:rsid w:val="002B06A7"/>
    <w:rsid w:val="002B1B19"/>
    <w:rsid w:val="002B3D43"/>
    <w:rsid w:val="002B5C49"/>
    <w:rsid w:val="002B6EAA"/>
    <w:rsid w:val="002C1075"/>
    <w:rsid w:val="002C212E"/>
    <w:rsid w:val="002C2CEF"/>
    <w:rsid w:val="002C30C1"/>
    <w:rsid w:val="002C344D"/>
    <w:rsid w:val="002C4383"/>
    <w:rsid w:val="002C540D"/>
    <w:rsid w:val="002C54BC"/>
    <w:rsid w:val="002C73AF"/>
    <w:rsid w:val="002D208B"/>
    <w:rsid w:val="002D3E27"/>
    <w:rsid w:val="002D5FE1"/>
    <w:rsid w:val="002D6824"/>
    <w:rsid w:val="002D68EB"/>
    <w:rsid w:val="002D705A"/>
    <w:rsid w:val="002D7707"/>
    <w:rsid w:val="002E014C"/>
    <w:rsid w:val="002E04F2"/>
    <w:rsid w:val="002E07A0"/>
    <w:rsid w:val="002E1604"/>
    <w:rsid w:val="002E27A7"/>
    <w:rsid w:val="002E64B6"/>
    <w:rsid w:val="002E723D"/>
    <w:rsid w:val="002F186C"/>
    <w:rsid w:val="002F2039"/>
    <w:rsid w:val="002F3750"/>
    <w:rsid w:val="002F42FE"/>
    <w:rsid w:val="002F478F"/>
    <w:rsid w:val="002F631B"/>
    <w:rsid w:val="002F6786"/>
    <w:rsid w:val="00300065"/>
    <w:rsid w:val="003035F7"/>
    <w:rsid w:val="00307638"/>
    <w:rsid w:val="00310BBC"/>
    <w:rsid w:val="00310E4D"/>
    <w:rsid w:val="00312F1D"/>
    <w:rsid w:val="00313F6E"/>
    <w:rsid w:val="003141E5"/>
    <w:rsid w:val="00314E80"/>
    <w:rsid w:val="00315DCC"/>
    <w:rsid w:val="003179AB"/>
    <w:rsid w:val="00317BF1"/>
    <w:rsid w:val="0032113B"/>
    <w:rsid w:val="00321775"/>
    <w:rsid w:val="00322069"/>
    <w:rsid w:val="0032222C"/>
    <w:rsid w:val="00324F7A"/>
    <w:rsid w:val="00326BDA"/>
    <w:rsid w:val="0032792C"/>
    <w:rsid w:val="00330D80"/>
    <w:rsid w:val="00330FA4"/>
    <w:rsid w:val="00332969"/>
    <w:rsid w:val="00334F23"/>
    <w:rsid w:val="00336957"/>
    <w:rsid w:val="0033724E"/>
    <w:rsid w:val="00340E35"/>
    <w:rsid w:val="0034296F"/>
    <w:rsid w:val="00346763"/>
    <w:rsid w:val="00346808"/>
    <w:rsid w:val="00350572"/>
    <w:rsid w:val="00351CB7"/>
    <w:rsid w:val="00354C11"/>
    <w:rsid w:val="00354EEB"/>
    <w:rsid w:val="00355A0C"/>
    <w:rsid w:val="00355CA1"/>
    <w:rsid w:val="003560A2"/>
    <w:rsid w:val="003563B0"/>
    <w:rsid w:val="00360687"/>
    <w:rsid w:val="003608FA"/>
    <w:rsid w:val="00360DB3"/>
    <w:rsid w:val="0036549D"/>
    <w:rsid w:val="0036551E"/>
    <w:rsid w:val="00365D73"/>
    <w:rsid w:val="00366862"/>
    <w:rsid w:val="0037044E"/>
    <w:rsid w:val="00371341"/>
    <w:rsid w:val="00371A0E"/>
    <w:rsid w:val="003755DB"/>
    <w:rsid w:val="003760C3"/>
    <w:rsid w:val="003803BD"/>
    <w:rsid w:val="003826D3"/>
    <w:rsid w:val="0038322D"/>
    <w:rsid w:val="0038336E"/>
    <w:rsid w:val="00384927"/>
    <w:rsid w:val="00384C43"/>
    <w:rsid w:val="00387F8A"/>
    <w:rsid w:val="003900B7"/>
    <w:rsid w:val="00390905"/>
    <w:rsid w:val="003909D5"/>
    <w:rsid w:val="00392D7F"/>
    <w:rsid w:val="00393C47"/>
    <w:rsid w:val="0039481D"/>
    <w:rsid w:val="00394F43"/>
    <w:rsid w:val="00396E9C"/>
    <w:rsid w:val="003A1F13"/>
    <w:rsid w:val="003A37E5"/>
    <w:rsid w:val="003A3C77"/>
    <w:rsid w:val="003A530C"/>
    <w:rsid w:val="003A583C"/>
    <w:rsid w:val="003A7EA5"/>
    <w:rsid w:val="003B0565"/>
    <w:rsid w:val="003B4E4C"/>
    <w:rsid w:val="003C01F6"/>
    <w:rsid w:val="003C0B6A"/>
    <w:rsid w:val="003C1753"/>
    <w:rsid w:val="003C197E"/>
    <w:rsid w:val="003C1B9D"/>
    <w:rsid w:val="003C3D73"/>
    <w:rsid w:val="003C3F5E"/>
    <w:rsid w:val="003C448F"/>
    <w:rsid w:val="003C4590"/>
    <w:rsid w:val="003C46DA"/>
    <w:rsid w:val="003C6570"/>
    <w:rsid w:val="003C66E1"/>
    <w:rsid w:val="003C779D"/>
    <w:rsid w:val="003D06A1"/>
    <w:rsid w:val="003D0743"/>
    <w:rsid w:val="003D24C9"/>
    <w:rsid w:val="003D2F87"/>
    <w:rsid w:val="003D3DB1"/>
    <w:rsid w:val="003D4734"/>
    <w:rsid w:val="003D71FD"/>
    <w:rsid w:val="003E0555"/>
    <w:rsid w:val="003E1C7C"/>
    <w:rsid w:val="003E3AB4"/>
    <w:rsid w:val="003F536E"/>
    <w:rsid w:val="003F689C"/>
    <w:rsid w:val="00401663"/>
    <w:rsid w:val="00401832"/>
    <w:rsid w:val="00402990"/>
    <w:rsid w:val="00403E1E"/>
    <w:rsid w:val="00404DF1"/>
    <w:rsid w:val="00405A7D"/>
    <w:rsid w:val="00405BC9"/>
    <w:rsid w:val="00411A62"/>
    <w:rsid w:val="00411AE5"/>
    <w:rsid w:val="00411EA4"/>
    <w:rsid w:val="00411F1E"/>
    <w:rsid w:val="00411FCE"/>
    <w:rsid w:val="00413DCF"/>
    <w:rsid w:val="00413EE3"/>
    <w:rsid w:val="004146B5"/>
    <w:rsid w:val="00415130"/>
    <w:rsid w:val="004223CB"/>
    <w:rsid w:val="0042392E"/>
    <w:rsid w:val="00423D7E"/>
    <w:rsid w:val="004243CE"/>
    <w:rsid w:val="004248BA"/>
    <w:rsid w:val="00424B58"/>
    <w:rsid w:val="00425B4B"/>
    <w:rsid w:val="00425BB8"/>
    <w:rsid w:val="00426FCC"/>
    <w:rsid w:val="004278CE"/>
    <w:rsid w:val="00430E1A"/>
    <w:rsid w:val="004337D1"/>
    <w:rsid w:val="00433B12"/>
    <w:rsid w:val="0043641E"/>
    <w:rsid w:val="00436C42"/>
    <w:rsid w:val="00440C57"/>
    <w:rsid w:val="0044123F"/>
    <w:rsid w:val="004424C8"/>
    <w:rsid w:val="00442C42"/>
    <w:rsid w:val="0044664D"/>
    <w:rsid w:val="004505F5"/>
    <w:rsid w:val="00450EDE"/>
    <w:rsid w:val="0045256C"/>
    <w:rsid w:val="004525ED"/>
    <w:rsid w:val="004527DF"/>
    <w:rsid w:val="00452E1A"/>
    <w:rsid w:val="004546AC"/>
    <w:rsid w:val="004565B9"/>
    <w:rsid w:val="004574A9"/>
    <w:rsid w:val="004629E9"/>
    <w:rsid w:val="0046333D"/>
    <w:rsid w:val="0046481B"/>
    <w:rsid w:val="00467428"/>
    <w:rsid w:val="0047399E"/>
    <w:rsid w:val="00474C66"/>
    <w:rsid w:val="00474EF7"/>
    <w:rsid w:val="00476051"/>
    <w:rsid w:val="00477EC4"/>
    <w:rsid w:val="0048186A"/>
    <w:rsid w:val="004831B0"/>
    <w:rsid w:val="00483982"/>
    <w:rsid w:val="0048407E"/>
    <w:rsid w:val="004840CC"/>
    <w:rsid w:val="00484407"/>
    <w:rsid w:val="004849B7"/>
    <w:rsid w:val="00491F96"/>
    <w:rsid w:val="00492F6E"/>
    <w:rsid w:val="004954CB"/>
    <w:rsid w:val="00495E96"/>
    <w:rsid w:val="0049782F"/>
    <w:rsid w:val="004A0804"/>
    <w:rsid w:val="004A26DA"/>
    <w:rsid w:val="004A2D43"/>
    <w:rsid w:val="004A33DE"/>
    <w:rsid w:val="004A4A80"/>
    <w:rsid w:val="004A4FCD"/>
    <w:rsid w:val="004A5712"/>
    <w:rsid w:val="004A762D"/>
    <w:rsid w:val="004B2ECE"/>
    <w:rsid w:val="004B55E1"/>
    <w:rsid w:val="004B71D6"/>
    <w:rsid w:val="004B7602"/>
    <w:rsid w:val="004C11F0"/>
    <w:rsid w:val="004C3176"/>
    <w:rsid w:val="004C516B"/>
    <w:rsid w:val="004D0E8D"/>
    <w:rsid w:val="004D6AA6"/>
    <w:rsid w:val="004D7206"/>
    <w:rsid w:val="004D7A63"/>
    <w:rsid w:val="004E1D89"/>
    <w:rsid w:val="004E24CA"/>
    <w:rsid w:val="004E46BE"/>
    <w:rsid w:val="004E746A"/>
    <w:rsid w:val="004F2F4B"/>
    <w:rsid w:val="004F3F48"/>
    <w:rsid w:val="004F56A0"/>
    <w:rsid w:val="004F5BA5"/>
    <w:rsid w:val="004F63C2"/>
    <w:rsid w:val="004F79DB"/>
    <w:rsid w:val="00500659"/>
    <w:rsid w:val="00504492"/>
    <w:rsid w:val="00505D55"/>
    <w:rsid w:val="00505E2F"/>
    <w:rsid w:val="00506ACD"/>
    <w:rsid w:val="00510385"/>
    <w:rsid w:val="005106EE"/>
    <w:rsid w:val="00511052"/>
    <w:rsid w:val="005154D5"/>
    <w:rsid w:val="00516E33"/>
    <w:rsid w:val="005205BA"/>
    <w:rsid w:val="00522085"/>
    <w:rsid w:val="005233E4"/>
    <w:rsid w:val="00523CF9"/>
    <w:rsid w:val="00525F7C"/>
    <w:rsid w:val="00527DB0"/>
    <w:rsid w:val="005316F9"/>
    <w:rsid w:val="005318BC"/>
    <w:rsid w:val="0053198C"/>
    <w:rsid w:val="00533CB9"/>
    <w:rsid w:val="00534E60"/>
    <w:rsid w:val="005351F6"/>
    <w:rsid w:val="0053631D"/>
    <w:rsid w:val="005378F4"/>
    <w:rsid w:val="0054023E"/>
    <w:rsid w:val="005434A8"/>
    <w:rsid w:val="005438F0"/>
    <w:rsid w:val="00547843"/>
    <w:rsid w:val="005514D0"/>
    <w:rsid w:val="00551E12"/>
    <w:rsid w:val="00554C64"/>
    <w:rsid w:val="00555070"/>
    <w:rsid w:val="00557F27"/>
    <w:rsid w:val="00560AFD"/>
    <w:rsid w:val="00561093"/>
    <w:rsid w:val="00562F30"/>
    <w:rsid w:val="00563483"/>
    <w:rsid w:val="00567375"/>
    <w:rsid w:val="00567408"/>
    <w:rsid w:val="00567FDC"/>
    <w:rsid w:val="00572F49"/>
    <w:rsid w:val="00573DB3"/>
    <w:rsid w:val="005753ED"/>
    <w:rsid w:val="00577BEA"/>
    <w:rsid w:val="00581377"/>
    <w:rsid w:val="005818C5"/>
    <w:rsid w:val="00581BB2"/>
    <w:rsid w:val="00583D88"/>
    <w:rsid w:val="00583EDD"/>
    <w:rsid w:val="0058634A"/>
    <w:rsid w:val="00587EDE"/>
    <w:rsid w:val="005909D1"/>
    <w:rsid w:val="00590A31"/>
    <w:rsid w:val="005928F6"/>
    <w:rsid w:val="00594341"/>
    <w:rsid w:val="00596374"/>
    <w:rsid w:val="00597FC4"/>
    <w:rsid w:val="005A02B1"/>
    <w:rsid w:val="005A3270"/>
    <w:rsid w:val="005A5DE0"/>
    <w:rsid w:val="005A6F3E"/>
    <w:rsid w:val="005B0CDD"/>
    <w:rsid w:val="005B113A"/>
    <w:rsid w:val="005B13F9"/>
    <w:rsid w:val="005B477B"/>
    <w:rsid w:val="005B535B"/>
    <w:rsid w:val="005B60F3"/>
    <w:rsid w:val="005C108C"/>
    <w:rsid w:val="005C5D50"/>
    <w:rsid w:val="005C684E"/>
    <w:rsid w:val="005C71BB"/>
    <w:rsid w:val="005C7FDE"/>
    <w:rsid w:val="005D0693"/>
    <w:rsid w:val="005D08D7"/>
    <w:rsid w:val="005D15EE"/>
    <w:rsid w:val="005D1618"/>
    <w:rsid w:val="005D28E3"/>
    <w:rsid w:val="005D3087"/>
    <w:rsid w:val="005D37A2"/>
    <w:rsid w:val="005D478E"/>
    <w:rsid w:val="005D5260"/>
    <w:rsid w:val="005D58CA"/>
    <w:rsid w:val="005D5AE1"/>
    <w:rsid w:val="005E3293"/>
    <w:rsid w:val="005E3CF9"/>
    <w:rsid w:val="005E57C0"/>
    <w:rsid w:val="005E6E66"/>
    <w:rsid w:val="005E6F95"/>
    <w:rsid w:val="005E76C6"/>
    <w:rsid w:val="005F1DCA"/>
    <w:rsid w:val="005F62CA"/>
    <w:rsid w:val="005F67E3"/>
    <w:rsid w:val="005F6851"/>
    <w:rsid w:val="005F7922"/>
    <w:rsid w:val="00600833"/>
    <w:rsid w:val="00601155"/>
    <w:rsid w:val="006016AB"/>
    <w:rsid w:val="00602F41"/>
    <w:rsid w:val="006047F8"/>
    <w:rsid w:val="00604C63"/>
    <w:rsid w:val="006076B7"/>
    <w:rsid w:val="00607E52"/>
    <w:rsid w:val="00611249"/>
    <w:rsid w:val="006113DE"/>
    <w:rsid w:val="0061216D"/>
    <w:rsid w:val="00613482"/>
    <w:rsid w:val="00613DAC"/>
    <w:rsid w:val="006205F0"/>
    <w:rsid w:val="00622589"/>
    <w:rsid w:val="00622A4A"/>
    <w:rsid w:val="00624933"/>
    <w:rsid w:val="00624CB7"/>
    <w:rsid w:val="00624F0E"/>
    <w:rsid w:val="006254AF"/>
    <w:rsid w:val="006259FD"/>
    <w:rsid w:val="00630CFA"/>
    <w:rsid w:val="006355B8"/>
    <w:rsid w:val="0063636F"/>
    <w:rsid w:val="006371C3"/>
    <w:rsid w:val="006378A0"/>
    <w:rsid w:val="00637E13"/>
    <w:rsid w:val="00641107"/>
    <w:rsid w:val="00647382"/>
    <w:rsid w:val="006473F0"/>
    <w:rsid w:val="00647895"/>
    <w:rsid w:val="006503C7"/>
    <w:rsid w:val="0065077A"/>
    <w:rsid w:val="006523E6"/>
    <w:rsid w:val="00652854"/>
    <w:rsid w:val="00654261"/>
    <w:rsid w:val="00654CD3"/>
    <w:rsid w:val="006555E8"/>
    <w:rsid w:val="00656BFD"/>
    <w:rsid w:val="00660C3C"/>
    <w:rsid w:val="00660FAC"/>
    <w:rsid w:val="006624D1"/>
    <w:rsid w:val="00663E11"/>
    <w:rsid w:val="00664822"/>
    <w:rsid w:val="006675D2"/>
    <w:rsid w:val="00670703"/>
    <w:rsid w:val="00672AAE"/>
    <w:rsid w:val="0067394C"/>
    <w:rsid w:val="00677A6F"/>
    <w:rsid w:val="00680AEB"/>
    <w:rsid w:val="0068240C"/>
    <w:rsid w:val="006831C2"/>
    <w:rsid w:val="00686450"/>
    <w:rsid w:val="00687E54"/>
    <w:rsid w:val="00690E15"/>
    <w:rsid w:val="006922FE"/>
    <w:rsid w:val="006924D5"/>
    <w:rsid w:val="006933E5"/>
    <w:rsid w:val="00693BB8"/>
    <w:rsid w:val="00693ED9"/>
    <w:rsid w:val="00694074"/>
    <w:rsid w:val="00696232"/>
    <w:rsid w:val="006A01B4"/>
    <w:rsid w:val="006A1632"/>
    <w:rsid w:val="006A46CF"/>
    <w:rsid w:val="006A48FF"/>
    <w:rsid w:val="006A58E2"/>
    <w:rsid w:val="006A60E6"/>
    <w:rsid w:val="006A6E7F"/>
    <w:rsid w:val="006A7117"/>
    <w:rsid w:val="006A7250"/>
    <w:rsid w:val="006B0590"/>
    <w:rsid w:val="006B3E4C"/>
    <w:rsid w:val="006B438B"/>
    <w:rsid w:val="006B61F8"/>
    <w:rsid w:val="006B7FB1"/>
    <w:rsid w:val="006C1512"/>
    <w:rsid w:val="006C1AE1"/>
    <w:rsid w:val="006C2BD8"/>
    <w:rsid w:val="006C36A9"/>
    <w:rsid w:val="006C3B3A"/>
    <w:rsid w:val="006C41CF"/>
    <w:rsid w:val="006C497A"/>
    <w:rsid w:val="006C5A1D"/>
    <w:rsid w:val="006D296B"/>
    <w:rsid w:val="006D4115"/>
    <w:rsid w:val="006D419B"/>
    <w:rsid w:val="006D4806"/>
    <w:rsid w:val="006E16F0"/>
    <w:rsid w:val="006E279F"/>
    <w:rsid w:val="006E2DDF"/>
    <w:rsid w:val="006E37A1"/>
    <w:rsid w:val="006E43D4"/>
    <w:rsid w:val="006E4BEF"/>
    <w:rsid w:val="006E61F6"/>
    <w:rsid w:val="006E7948"/>
    <w:rsid w:val="006F0005"/>
    <w:rsid w:val="006F0364"/>
    <w:rsid w:val="006F0FF8"/>
    <w:rsid w:val="006F1A73"/>
    <w:rsid w:val="00702F61"/>
    <w:rsid w:val="00703B1F"/>
    <w:rsid w:val="00704557"/>
    <w:rsid w:val="0070458B"/>
    <w:rsid w:val="007048F8"/>
    <w:rsid w:val="00706AE0"/>
    <w:rsid w:val="00706F87"/>
    <w:rsid w:val="00707124"/>
    <w:rsid w:val="007103D3"/>
    <w:rsid w:val="00710F21"/>
    <w:rsid w:val="007120A3"/>
    <w:rsid w:val="007124CF"/>
    <w:rsid w:val="00717C97"/>
    <w:rsid w:val="007219BC"/>
    <w:rsid w:val="00723C0F"/>
    <w:rsid w:val="00724101"/>
    <w:rsid w:val="00724C9B"/>
    <w:rsid w:val="00726225"/>
    <w:rsid w:val="00727029"/>
    <w:rsid w:val="007279E2"/>
    <w:rsid w:val="007306D7"/>
    <w:rsid w:val="00731467"/>
    <w:rsid w:val="00731FFE"/>
    <w:rsid w:val="00733628"/>
    <w:rsid w:val="0073448C"/>
    <w:rsid w:val="0073545A"/>
    <w:rsid w:val="00736DFC"/>
    <w:rsid w:val="00737FBF"/>
    <w:rsid w:val="0074066A"/>
    <w:rsid w:val="00740E6F"/>
    <w:rsid w:val="00741312"/>
    <w:rsid w:val="007426ED"/>
    <w:rsid w:val="00743379"/>
    <w:rsid w:val="00743AB1"/>
    <w:rsid w:val="00744003"/>
    <w:rsid w:val="00744838"/>
    <w:rsid w:val="00745708"/>
    <w:rsid w:val="0074782E"/>
    <w:rsid w:val="00747B96"/>
    <w:rsid w:val="00750CA3"/>
    <w:rsid w:val="00752356"/>
    <w:rsid w:val="00754594"/>
    <w:rsid w:val="00757FF3"/>
    <w:rsid w:val="0076202E"/>
    <w:rsid w:val="00764088"/>
    <w:rsid w:val="00764F8F"/>
    <w:rsid w:val="00767E4D"/>
    <w:rsid w:val="00770393"/>
    <w:rsid w:val="007735FF"/>
    <w:rsid w:val="0077550C"/>
    <w:rsid w:val="00776E50"/>
    <w:rsid w:val="00776EE1"/>
    <w:rsid w:val="00777441"/>
    <w:rsid w:val="0078054E"/>
    <w:rsid w:val="007829E7"/>
    <w:rsid w:val="00784B64"/>
    <w:rsid w:val="00785B7B"/>
    <w:rsid w:val="00786278"/>
    <w:rsid w:val="00786566"/>
    <w:rsid w:val="0078746C"/>
    <w:rsid w:val="007901D7"/>
    <w:rsid w:val="007902F4"/>
    <w:rsid w:val="007955D0"/>
    <w:rsid w:val="0079621E"/>
    <w:rsid w:val="0079651D"/>
    <w:rsid w:val="00796A6D"/>
    <w:rsid w:val="00796D76"/>
    <w:rsid w:val="00797E13"/>
    <w:rsid w:val="007A1ED0"/>
    <w:rsid w:val="007A2470"/>
    <w:rsid w:val="007B0247"/>
    <w:rsid w:val="007B179B"/>
    <w:rsid w:val="007B4D2E"/>
    <w:rsid w:val="007C0DF7"/>
    <w:rsid w:val="007C252D"/>
    <w:rsid w:val="007C2B9D"/>
    <w:rsid w:val="007C32EE"/>
    <w:rsid w:val="007C3D0C"/>
    <w:rsid w:val="007C4DC3"/>
    <w:rsid w:val="007C625D"/>
    <w:rsid w:val="007C6B81"/>
    <w:rsid w:val="007C6B92"/>
    <w:rsid w:val="007D1581"/>
    <w:rsid w:val="007D282D"/>
    <w:rsid w:val="007D561C"/>
    <w:rsid w:val="007D5705"/>
    <w:rsid w:val="007D724A"/>
    <w:rsid w:val="007E070C"/>
    <w:rsid w:val="007E07DE"/>
    <w:rsid w:val="007E0A82"/>
    <w:rsid w:val="007E1A5E"/>
    <w:rsid w:val="007E21C5"/>
    <w:rsid w:val="007E2862"/>
    <w:rsid w:val="007E3BC4"/>
    <w:rsid w:val="007E4C05"/>
    <w:rsid w:val="007E53F0"/>
    <w:rsid w:val="007E574D"/>
    <w:rsid w:val="007E5A0D"/>
    <w:rsid w:val="007E63B8"/>
    <w:rsid w:val="007E69FE"/>
    <w:rsid w:val="007E7EB0"/>
    <w:rsid w:val="007F0420"/>
    <w:rsid w:val="007F20C5"/>
    <w:rsid w:val="007F3606"/>
    <w:rsid w:val="007F4AC8"/>
    <w:rsid w:val="007F65EF"/>
    <w:rsid w:val="0080030D"/>
    <w:rsid w:val="00801338"/>
    <w:rsid w:val="00802A67"/>
    <w:rsid w:val="00802B76"/>
    <w:rsid w:val="00803D8D"/>
    <w:rsid w:val="00806396"/>
    <w:rsid w:val="00810467"/>
    <w:rsid w:val="00811D48"/>
    <w:rsid w:val="00814138"/>
    <w:rsid w:val="008146FA"/>
    <w:rsid w:val="00814825"/>
    <w:rsid w:val="008150E3"/>
    <w:rsid w:val="0081634E"/>
    <w:rsid w:val="00816D2B"/>
    <w:rsid w:val="00817F84"/>
    <w:rsid w:val="00820FFD"/>
    <w:rsid w:val="00821186"/>
    <w:rsid w:val="00821293"/>
    <w:rsid w:val="008221FC"/>
    <w:rsid w:val="0082294C"/>
    <w:rsid w:val="00822A0E"/>
    <w:rsid w:val="00822F28"/>
    <w:rsid w:val="00823703"/>
    <w:rsid w:val="00825E23"/>
    <w:rsid w:val="0083003C"/>
    <w:rsid w:val="008311BA"/>
    <w:rsid w:val="008318C9"/>
    <w:rsid w:val="00832DA4"/>
    <w:rsid w:val="008353DB"/>
    <w:rsid w:val="00842574"/>
    <w:rsid w:val="008447B8"/>
    <w:rsid w:val="00844F24"/>
    <w:rsid w:val="00846C75"/>
    <w:rsid w:val="00846DB0"/>
    <w:rsid w:val="00847437"/>
    <w:rsid w:val="00847E40"/>
    <w:rsid w:val="00850854"/>
    <w:rsid w:val="00850FBC"/>
    <w:rsid w:val="008510E3"/>
    <w:rsid w:val="00851DA9"/>
    <w:rsid w:val="00852725"/>
    <w:rsid w:val="008529C6"/>
    <w:rsid w:val="00852EEB"/>
    <w:rsid w:val="008547F7"/>
    <w:rsid w:val="00854DE7"/>
    <w:rsid w:val="00854E84"/>
    <w:rsid w:val="00856878"/>
    <w:rsid w:val="00856933"/>
    <w:rsid w:val="00861570"/>
    <w:rsid w:val="008615A1"/>
    <w:rsid w:val="00863DB3"/>
    <w:rsid w:val="00865AA1"/>
    <w:rsid w:val="0086619E"/>
    <w:rsid w:val="00866A30"/>
    <w:rsid w:val="0086709F"/>
    <w:rsid w:val="008708AF"/>
    <w:rsid w:val="0087208A"/>
    <w:rsid w:val="00875347"/>
    <w:rsid w:val="00875377"/>
    <w:rsid w:val="008776A2"/>
    <w:rsid w:val="008800A7"/>
    <w:rsid w:val="00881261"/>
    <w:rsid w:val="0088166E"/>
    <w:rsid w:val="00881988"/>
    <w:rsid w:val="00883825"/>
    <w:rsid w:val="008853CA"/>
    <w:rsid w:val="00885445"/>
    <w:rsid w:val="00886B05"/>
    <w:rsid w:val="00887D40"/>
    <w:rsid w:val="00890456"/>
    <w:rsid w:val="00890FAD"/>
    <w:rsid w:val="00891B18"/>
    <w:rsid w:val="00892026"/>
    <w:rsid w:val="008920BE"/>
    <w:rsid w:val="008933A8"/>
    <w:rsid w:val="00893827"/>
    <w:rsid w:val="008949F8"/>
    <w:rsid w:val="00895D82"/>
    <w:rsid w:val="00896E05"/>
    <w:rsid w:val="008A05C4"/>
    <w:rsid w:val="008A4C3F"/>
    <w:rsid w:val="008A57E3"/>
    <w:rsid w:val="008A5E36"/>
    <w:rsid w:val="008B019B"/>
    <w:rsid w:val="008B06EB"/>
    <w:rsid w:val="008B0C95"/>
    <w:rsid w:val="008B2F7F"/>
    <w:rsid w:val="008B3A4C"/>
    <w:rsid w:val="008B3EE3"/>
    <w:rsid w:val="008B426C"/>
    <w:rsid w:val="008B4AC2"/>
    <w:rsid w:val="008B5124"/>
    <w:rsid w:val="008B55A9"/>
    <w:rsid w:val="008B564F"/>
    <w:rsid w:val="008B5C9D"/>
    <w:rsid w:val="008B721C"/>
    <w:rsid w:val="008B74F6"/>
    <w:rsid w:val="008C0478"/>
    <w:rsid w:val="008C07C5"/>
    <w:rsid w:val="008C264B"/>
    <w:rsid w:val="008C32D7"/>
    <w:rsid w:val="008C3931"/>
    <w:rsid w:val="008C5FFD"/>
    <w:rsid w:val="008D16B6"/>
    <w:rsid w:val="008D1C40"/>
    <w:rsid w:val="008D328C"/>
    <w:rsid w:val="008D46D1"/>
    <w:rsid w:val="008D7197"/>
    <w:rsid w:val="008E088C"/>
    <w:rsid w:val="008E0EF8"/>
    <w:rsid w:val="008E40EC"/>
    <w:rsid w:val="008E45CE"/>
    <w:rsid w:val="008E5F26"/>
    <w:rsid w:val="008E6686"/>
    <w:rsid w:val="008E6B19"/>
    <w:rsid w:val="008E6E29"/>
    <w:rsid w:val="008E7393"/>
    <w:rsid w:val="008E77E3"/>
    <w:rsid w:val="008F09D3"/>
    <w:rsid w:val="008F0B09"/>
    <w:rsid w:val="008F0C58"/>
    <w:rsid w:val="008F376A"/>
    <w:rsid w:val="008F37BF"/>
    <w:rsid w:val="008F3FA7"/>
    <w:rsid w:val="00902B7E"/>
    <w:rsid w:val="00903663"/>
    <w:rsid w:val="00904A14"/>
    <w:rsid w:val="00904C1F"/>
    <w:rsid w:val="00907BD9"/>
    <w:rsid w:val="00910425"/>
    <w:rsid w:val="00910909"/>
    <w:rsid w:val="00914079"/>
    <w:rsid w:val="00914B6A"/>
    <w:rsid w:val="00915B90"/>
    <w:rsid w:val="00917DF0"/>
    <w:rsid w:val="00921FED"/>
    <w:rsid w:val="00922851"/>
    <w:rsid w:val="0092359B"/>
    <w:rsid w:val="009240E5"/>
    <w:rsid w:val="00924452"/>
    <w:rsid w:val="00925E2A"/>
    <w:rsid w:val="00926160"/>
    <w:rsid w:val="00930A7A"/>
    <w:rsid w:val="00930BE4"/>
    <w:rsid w:val="00931055"/>
    <w:rsid w:val="009313F2"/>
    <w:rsid w:val="009331D2"/>
    <w:rsid w:val="00934365"/>
    <w:rsid w:val="00934A08"/>
    <w:rsid w:val="00935FDD"/>
    <w:rsid w:val="00936564"/>
    <w:rsid w:val="00943B6E"/>
    <w:rsid w:val="00945520"/>
    <w:rsid w:val="009460CA"/>
    <w:rsid w:val="00947420"/>
    <w:rsid w:val="009521F1"/>
    <w:rsid w:val="00952A24"/>
    <w:rsid w:val="00953109"/>
    <w:rsid w:val="00953597"/>
    <w:rsid w:val="00953BEE"/>
    <w:rsid w:val="00956955"/>
    <w:rsid w:val="00956D07"/>
    <w:rsid w:val="00956E5D"/>
    <w:rsid w:val="00957936"/>
    <w:rsid w:val="0096076F"/>
    <w:rsid w:val="00960A3C"/>
    <w:rsid w:val="009614E2"/>
    <w:rsid w:val="00961A37"/>
    <w:rsid w:val="00962EAD"/>
    <w:rsid w:val="00963622"/>
    <w:rsid w:val="00965E55"/>
    <w:rsid w:val="00965EB6"/>
    <w:rsid w:val="00966511"/>
    <w:rsid w:val="00966B60"/>
    <w:rsid w:val="00970EEE"/>
    <w:rsid w:val="00971666"/>
    <w:rsid w:val="00973422"/>
    <w:rsid w:val="009743E2"/>
    <w:rsid w:val="009754DF"/>
    <w:rsid w:val="009772D0"/>
    <w:rsid w:val="00980B4F"/>
    <w:rsid w:val="0098474B"/>
    <w:rsid w:val="009857F3"/>
    <w:rsid w:val="00985ECB"/>
    <w:rsid w:val="00987830"/>
    <w:rsid w:val="00987AAB"/>
    <w:rsid w:val="009906B7"/>
    <w:rsid w:val="00991729"/>
    <w:rsid w:val="00991F6C"/>
    <w:rsid w:val="0099202F"/>
    <w:rsid w:val="009924F5"/>
    <w:rsid w:val="009933B1"/>
    <w:rsid w:val="00993DDC"/>
    <w:rsid w:val="009953F2"/>
    <w:rsid w:val="00996D2C"/>
    <w:rsid w:val="00997AB3"/>
    <w:rsid w:val="009A0D4C"/>
    <w:rsid w:val="009A3942"/>
    <w:rsid w:val="009A3BBC"/>
    <w:rsid w:val="009A4720"/>
    <w:rsid w:val="009A49D2"/>
    <w:rsid w:val="009A7449"/>
    <w:rsid w:val="009B31DD"/>
    <w:rsid w:val="009B3806"/>
    <w:rsid w:val="009B4FFB"/>
    <w:rsid w:val="009C0247"/>
    <w:rsid w:val="009C153C"/>
    <w:rsid w:val="009C1CE7"/>
    <w:rsid w:val="009C2C30"/>
    <w:rsid w:val="009C34BB"/>
    <w:rsid w:val="009C3C44"/>
    <w:rsid w:val="009C4BB6"/>
    <w:rsid w:val="009C7E0D"/>
    <w:rsid w:val="009D2050"/>
    <w:rsid w:val="009D2C73"/>
    <w:rsid w:val="009D58E2"/>
    <w:rsid w:val="009D73AA"/>
    <w:rsid w:val="009E1B31"/>
    <w:rsid w:val="009E4285"/>
    <w:rsid w:val="009E42F2"/>
    <w:rsid w:val="009E5C8A"/>
    <w:rsid w:val="009E5D16"/>
    <w:rsid w:val="009E69D1"/>
    <w:rsid w:val="009E7EDA"/>
    <w:rsid w:val="009F04F0"/>
    <w:rsid w:val="009F0EA1"/>
    <w:rsid w:val="009F1503"/>
    <w:rsid w:val="009F474F"/>
    <w:rsid w:val="009F6A66"/>
    <w:rsid w:val="00A00F17"/>
    <w:rsid w:val="00A01818"/>
    <w:rsid w:val="00A0196C"/>
    <w:rsid w:val="00A03329"/>
    <w:rsid w:val="00A03607"/>
    <w:rsid w:val="00A0441E"/>
    <w:rsid w:val="00A04773"/>
    <w:rsid w:val="00A048DE"/>
    <w:rsid w:val="00A04B07"/>
    <w:rsid w:val="00A06F3A"/>
    <w:rsid w:val="00A06F8A"/>
    <w:rsid w:val="00A108BA"/>
    <w:rsid w:val="00A116A0"/>
    <w:rsid w:val="00A1185A"/>
    <w:rsid w:val="00A11B7A"/>
    <w:rsid w:val="00A12DDB"/>
    <w:rsid w:val="00A133C8"/>
    <w:rsid w:val="00A14E28"/>
    <w:rsid w:val="00A153B2"/>
    <w:rsid w:val="00A1554F"/>
    <w:rsid w:val="00A21856"/>
    <w:rsid w:val="00A2532C"/>
    <w:rsid w:val="00A25527"/>
    <w:rsid w:val="00A25E66"/>
    <w:rsid w:val="00A261A6"/>
    <w:rsid w:val="00A26E66"/>
    <w:rsid w:val="00A27922"/>
    <w:rsid w:val="00A27DAF"/>
    <w:rsid w:val="00A301FD"/>
    <w:rsid w:val="00A30A81"/>
    <w:rsid w:val="00A30E93"/>
    <w:rsid w:val="00A31AC9"/>
    <w:rsid w:val="00A31D4B"/>
    <w:rsid w:val="00A34EAD"/>
    <w:rsid w:val="00A35931"/>
    <w:rsid w:val="00A35C34"/>
    <w:rsid w:val="00A36D68"/>
    <w:rsid w:val="00A409CB"/>
    <w:rsid w:val="00A40ADB"/>
    <w:rsid w:val="00A468C9"/>
    <w:rsid w:val="00A47AC3"/>
    <w:rsid w:val="00A47BCF"/>
    <w:rsid w:val="00A50948"/>
    <w:rsid w:val="00A519E5"/>
    <w:rsid w:val="00A5255A"/>
    <w:rsid w:val="00A54B06"/>
    <w:rsid w:val="00A54C9C"/>
    <w:rsid w:val="00A5579D"/>
    <w:rsid w:val="00A573CD"/>
    <w:rsid w:val="00A57450"/>
    <w:rsid w:val="00A611C5"/>
    <w:rsid w:val="00A61523"/>
    <w:rsid w:val="00A65770"/>
    <w:rsid w:val="00A7069B"/>
    <w:rsid w:val="00A707F9"/>
    <w:rsid w:val="00A7122D"/>
    <w:rsid w:val="00A71486"/>
    <w:rsid w:val="00A722B9"/>
    <w:rsid w:val="00A72618"/>
    <w:rsid w:val="00A7525C"/>
    <w:rsid w:val="00A76809"/>
    <w:rsid w:val="00A7718F"/>
    <w:rsid w:val="00A7753C"/>
    <w:rsid w:val="00A804CF"/>
    <w:rsid w:val="00A81EBD"/>
    <w:rsid w:val="00A8245F"/>
    <w:rsid w:val="00A829E7"/>
    <w:rsid w:val="00A86127"/>
    <w:rsid w:val="00A86EDA"/>
    <w:rsid w:val="00A87424"/>
    <w:rsid w:val="00A87BB0"/>
    <w:rsid w:val="00A93B0A"/>
    <w:rsid w:val="00A94A2B"/>
    <w:rsid w:val="00A95F96"/>
    <w:rsid w:val="00A96A57"/>
    <w:rsid w:val="00AA0BC3"/>
    <w:rsid w:val="00AA0C05"/>
    <w:rsid w:val="00AA0C82"/>
    <w:rsid w:val="00AA12D5"/>
    <w:rsid w:val="00AA29CF"/>
    <w:rsid w:val="00AA3C46"/>
    <w:rsid w:val="00AA3E05"/>
    <w:rsid w:val="00AA4F5A"/>
    <w:rsid w:val="00AA5EA4"/>
    <w:rsid w:val="00AA623C"/>
    <w:rsid w:val="00AA6794"/>
    <w:rsid w:val="00AA6DAE"/>
    <w:rsid w:val="00AA6DE8"/>
    <w:rsid w:val="00AA71F8"/>
    <w:rsid w:val="00AA73A5"/>
    <w:rsid w:val="00AA785F"/>
    <w:rsid w:val="00AA7E1C"/>
    <w:rsid w:val="00AB0CA0"/>
    <w:rsid w:val="00AB297A"/>
    <w:rsid w:val="00AB3122"/>
    <w:rsid w:val="00AB3CE7"/>
    <w:rsid w:val="00AB3CF2"/>
    <w:rsid w:val="00AB3D48"/>
    <w:rsid w:val="00AB5DA3"/>
    <w:rsid w:val="00AB783D"/>
    <w:rsid w:val="00AC0040"/>
    <w:rsid w:val="00AC0E21"/>
    <w:rsid w:val="00AC3632"/>
    <w:rsid w:val="00AC4A0E"/>
    <w:rsid w:val="00AC4C04"/>
    <w:rsid w:val="00AC50AA"/>
    <w:rsid w:val="00AC5ADF"/>
    <w:rsid w:val="00AC6310"/>
    <w:rsid w:val="00AC7BE2"/>
    <w:rsid w:val="00AC7EEB"/>
    <w:rsid w:val="00AD04D8"/>
    <w:rsid w:val="00AD1689"/>
    <w:rsid w:val="00AD1D79"/>
    <w:rsid w:val="00AD3E7B"/>
    <w:rsid w:val="00AD3F03"/>
    <w:rsid w:val="00AD478A"/>
    <w:rsid w:val="00AD52A9"/>
    <w:rsid w:val="00AD6AFD"/>
    <w:rsid w:val="00AD7100"/>
    <w:rsid w:val="00AE160B"/>
    <w:rsid w:val="00AE3198"/>
    <w:rsid w:val="00AE7FC5"/>
    <w:rsid w:val="00AF0CAC"/>
    <w:rsid w:val="00AF1FB8"/>
    <w:rsid w:val="00AF3078"/>
    <w:rsid w:val="00AF3187"/>
    <w:rsid w:val="00AF47C2"/>
    <w:rsid w:val="00AF5BDA"/>
    <w:rsid w:val="00B0131F"/>
    <w:rsid w:val="00B01C83"/>
    <w:rsid w:val="00B02F85"/>
    <w:rsid w:val="00B03149"/>
    <w:rsid w:val="00B032AA"/>
    <w:rsid w:val="00B035E5"/>
    <w:rsid w:val="00B0388A"/>
    <w:rsid w:val="00B0414D"/>
    <w:rsid w:val="00B04B61"/>
    <w:rsid w:val="00B062FC"/>
    <w:rsid w:val="00B06A7A"/>
    <w:rsid w:val="00B148B4"/>
    <w:rsid w:val="00B17E01"/>
    <w:rsid w:val="00B212CC"/>
    <w:rsid w:val="00B2157E"/>
    <w:rsid w:val="00B21BA4"/>
    <w:rsid w:val="00B21C75"/>
    <w:rsid w:val="00B2235E"/>
    <w:rsid w:val="00B22C57"/>
    <w:rsid w:val="00B23257"/>
    <w:rsid w:val="00B236E7"/>
    <w:rsid w:val="00B23B80"/>
    <w:rsid w:val="00B24607"/>
    <w:rsid w:val="00B249C4"/>
    <w:rsid w:val="00B2713D"/>
    <w:rsid w:val="00B302FD"/>
    <w:rsid w:val="00B3126F"/>
    <w:rsid w:val="00B31F5D"/>
    <w:rsid w:val="00B355FF"/>
    <w:rsid w:val="00B3617E"/>
    <w:rsid w:val="00B3633A"/>
    <w:rsid w:val="00B36D9F"/>
    <w:rsid w:val="00B37799"/>
    <w:rsid w:val="00B40895"/>
    <w:rsid w:val="00B4147F"/>
    <w:rsid w:val="00B42B6E"/>
    <w:rsid w:val="00B4315C"/>
    <w:rsid w:val="00B4407C"/>
    <w:rsid w:val="00B44804"/>
    <w:rsid w:val="00B462E5"/>
    <w:rsid w:val="00B5050E"/>
    <w:rsid w:val="00B511EF"/>
    <w:rsid w:val="00B520B4"/>
    <w:rsid w:val="00B52A0E"/>
    <w:rsid w:val="00B52BEC"/>
    <w:rsid w:val="00B56620"/>
    <w:rsid w:val="00B57C2B"/>
    <w:rsid w:val="00B63351"/>
    <w:rsid w:val="00B653B0"/>
    <w:rsid w:val="00B65C7F"/>
    <w:rsid w:val="00B70D70"/>
    <w:rsid w:val="00B7117B"/>
    <w:rsid w:val="00B71DB8"/>
    <w:rsid w:val="00B758B1"/>
    <w:rsid w:val="00B76AB6"/>
    <w:rsid w:val="00B76E1C"/>
    <w:rsid w:val="00B772B4"/>
    <w:rsid w:val="00B80136"/>
    <w:rsid w:val="00B80192"/>
    <w:rsid w:val="00B80ABD"/>
    <w:rsid w:val="00B849F1"/>
    <w:rsid w:val="00B85C35"/>
    <w:rsid w:val="00B91F86"/>
    <w:rsid w:val="00B936A9"/>
    <w:rsid w:val="00B9438F"/>
    <w:rsid w:val="00B94AC5"/>
    <w:rsid w:val="00B95E0B"/>
    <w:rsid w:val="00BA0736"/>
    <w:rsid w:val="00BA0C8B"/>
    <w:rsid w:val="00BA3E1D"/>
    <w:rsid w:val="00BA590B"/>
    <w:rsid w:val="00BA6B3E"/>
    <w:rsid w:val="00BA7492"/>
    <w:rsid w:val="00BA7DB9"/>
    <w:rsid w:val="00BA7E68"/>
    <w:rsid w:val="00BB1552"/>
    <w:rsid w:val="00BB4C74"/>
    <w:rsid w:val="00BB5812"/>
    <w:rsid w:val="00BB7368"/>
    <w:rsid w:val="00BB7A46"/>
    <w:rsid w:val="00BB7A6F"/>
    <w:rsid w:val="00BC0B2A"/>
    <w:rsid w:val="00BC225B"/>
    <w:rsid w:val="00BC27D1"/>
    <w:rsid w:val="00BC29B8"/>
    <w:rsid w:val="00BC5895"/>
    <w:rsid w:val="00BC697A"/>
    <w:rsid w:val="00BC7A48"/>
    <w:rsid w:val="00BD042C"/>
    <w:rsid w:val="00BD04C9"/>
    <w:rsid w:val="00BD09EE"/>
    <w:rsid w:val="00BD1299"/>
    <w:rsid w:val="00BD175B"/>
    <w:rsid w:val="00BD191A"/>
    <w:rsid w:val="00BD2120"/>
    <w:rsid w:val="00BD2F81"/>
    <w:rsid w:val="00BD55DB"/>
    <w:rsid w:val="00BD6E77"/>
    <w:rsid w:val="00BE3276"/>
    <w:rsid w:val="00BE37D1"/>
    <w:rsid w:val="00BE5052"/>
    <w:rsid w:val="00BE5132"/>
    <w:rsid w:val="00BE71CB"/>
    <w:rsid w:val="00BF01A1"/>
    <w:rsid w:val="00BF1B68"/>
    <w:rsid w:val="00BF1F1F"/>
    <w:rsid w:val="00BF33A9"/>
    <w:rsid w:val="00BF48FA"/>
    <w:rsid w:val="00BF5A88"/>
    <w:rsid w:val="00BF5EA9"/>
    <w:rsid w:val="00BF69C6"/>
    <w:rsid w:val="00BF79B1"/>
    <w:rsid w:val="00C0190F"/>
    <w:rsid w:val="00C02523"/>
    <w:rsid w:val="00C035CA"/>
    <w:rsid w:val="00C03D31"/>
    <w:rsid w:val="00C04D92"/>
    <w:rsid w:val="00C05BF3"/>
    <w:rsid w:val="00C07204"/>
    <w:rsid w:val="00C07A6C"/>
    <w:rsid w:val="00C07D00"/>
    <w:rsid w:val="00C11C42"/>
    <w:rsid w:val="00C12C0A"/>
    <w:rsid w:val="00C13BED"/>
    <w:rsid w:val="00C14FFD"/>
    <w:rsid w:val="00C17DE3"/>
    <w:rsid w:val="00C209B1"/>
    <w:rsid w:val="00C210D2"/>
    <w:rsid w:val="00C21461"/>
    <w:rsid w:val="00C219BA"/>
    <w:rsid w:val="00C2644A"/>
    <w:rsid w:val="00C2664F"/>
    <w:rsid w:val="00C26FBF"/>
    <w:rsid w:val="00C2704F"/>
    <w:rsid w:val="00C2787B"/>
    <w:rsid w:val="00C306C6"/>
    <w:rsid w:val="00C31E01"/>
    <w:rsid w:val="00C3338E"/>
    <w:rsid w:val="00C370E6"/>
    <w:rsid w:val="00C40022"/>
    <w:rsid w:val="00C41A8E"/>
    <w:rsid w:val="00C41EB3"/>
    <w:rsid w:val="00C4231F"/>
    <w:rsid w:val="00C4274C"/>
    <w:rsid w:val="00C4510E"/>
    <w:rsid w:val="00C455B5"/>
    <w:rsid w:val="00C455CB"/>
    <w:rsid w:val="00C46509"/>
    <w:rsid w:val="00C46576"/>
    <w:rsid w:val="00C505C2"/>
    <w:rsid w:val="00C50E87"/>
    <w:rsid w:val="00C512D7"/>
    <w:rsid w:val="00C5328A"/>
    <w:rsid w:val="00C54225"/>
    <w:rsid w:val="00C5453E"/>
    <w:rsid w:val="00C57B01"/>
    <w:rsid w:val="00C64FA2"/>
    <w:rsid w:val="00C6589D"/>
    <w:rsid w:val="00C6657B"/>
    <w:rsid w:val="00C71A46"/>
    <w:rsid w:val="00C722C1"/>
    <w:rsid w:val="00C73FE3"/>
    <w:rsid w:val="00C74268"/>
    <w:rsid w:val="00C768AE"/>
    <w:rsid w:val="00C8019E"/>
    <w:rsid w:val="00C81394"/>
    <w:rsid w:val="00C8141A"/>
    <w:rsid w:val="00C819C1"/>
    <w:rsid w:val="00C82177"/>
    <w:rsid w:val="00C8244F"/>
    <w:rsid w:val="00C87310"/>
    <w:rsid w:val="00C9052F"/>
    <w:rsid w:val="00C93650"/>
    <w:rsid w:val="00C93780"/>
    <w:rsid w:val="00C95CDD"/>
    <w:rsid w:val="00C97DE0"/>
    <w:rsid w:val="00CA0A32"/>
    <w:rsid w:val="00CA3000"/>
    <w:rsid w:val="00CA3A3B"/>
    <w:rsid w:val="00CA3F2F"/>
    <w:rsid w:val="00CB2FBD"/>
    <w:rsid w:val="00CB44D4"/>
    <w:rsid w:val="00CB7775"/>
    <w:rsid w:val="00CC0E35"/>
    <w:rsid w:val="00CC260F"/>
    <w:rsid w:val="00CC55DD"/>
    <w:rsid w:val="00CC60A4"/>
    <w:rsid w:val="00CD0A2F"/>
    <w:rsid w:val="00CD1510"/>
    <w:rsid w:val="00CD5EEE"/>
    <w:rsid w:val="00CD69C4"/>
    <w:rsid w:val="00CE027E"/>
    <w:rsid w:val="00CE2C42"/>
    <w:rsid w:val="00CE3073"/>
    <w:rsid w:val="00CE417E"/>
    <w:rsid w:val="00CE4479"/>
    <w:rsid w:val="00CE45E0"/>
    <w:rsid w:val="00CE4D43"/>
    <w:rsid w:val="00CE6681"/>
    <w:rsid w:val="00CE71B7"/>
    <w:rsid w:val="00CE731F"/>
    <w:rsid w:val="00CE76C1"/>
    <w:rsid w:val="00CF06C3"/>
    <w:rsid w:val="00CF1735"/>
    <w:rsid w:val="00CF529D"/>
    <w:rsid w:val="00CF5836"/>
    <w:rsid w:val="00CF5E59"/>
    <w:rsid w:val="00CF67E3"/>
    <w:rsid w:val="00CF7DC2"/>
    <w:rsid w:val="00CF7F81"/>
    <w:rsid w:val="00D0066A"/>
    <w:rsid w:val="00D01826"/>
    <w:rsid w:val="00D02270"/>
    <w:rsid w:val="00D07811"/>
    <w:rsid w:val="00D07EDE"/>
    <w:rsid w:val="00D103CF"/>
    <w:rsid w:val="00D116C5"/>
    <w:rsid w:val="00D12814"/>
    <w:rsid w:val="00D13CBA"/>
    <w:rsid w:val="00D14B20"/>
    <w:rsid w:val="00D152AA"/>
    <w:rsid w:val="00D15487"/>
    <w:rsid w:val="00D15846"/>
    <w:rsid w:val="00D16180"/>
    <w:rsid w:val="00D161C4"/>
    <w:rsid w:val="00D177D6"/>
    <w:rsid w:val="00D214F1"/>
    <w:rsid w:val="00D22457"/>
    <w:rsid w:val="00D22830"/>
    <w:rsid w:val="00D2495B"/>
    <w:rsid w:val="00D2566E"/>
    <w:rsid w:val="00D30B01"/>
    <w:rsid w:val="00D30FC2"/>
    <w:rsid w:val="00D35572"/>
    <w:rsid w:val="00D35717"/>
    <w:rsid w:val="00D37E8F"/>
    <w:rsid w:val="00D4164F"/>
    <w:rsid w:val="00D41BBC"/>
    <w:rsid w:val="00D44E69"/>
    <w:rsid w:val="00D50D23"/>
    <w:rsid w:val="00D518C0"/>
    <w:rsid w:val="00D55089"/>
    <w:rsid w:val="00D567AE"/>
    <w:rsid w:val="00D568E7"/>
    <w:rsid w:val="00D5707B"/>
    <w:rsid w:val="00D624F5"/>
    <w:rsid w:val="00D63FAC"/>
    <w:rsid w:val="00D65C53"/>
    <w:rsid w:val="00D66BBB"/>
    <w:rsid w:val="00D66DE3"/>
    <w:rsid w:val="00D72881"/>
    <w:rsid w:val="00D73F52"/>
    <w:rsid w:val="00D746C3"/>
    <w:rsid w:val="00D753A9"/>
    <w:rsid w:val="00D77763"/>
    <w:rsid w:val="00D8019C"/>
    <w:rsid w:val="00D8048D"/>
    <w:rsid w:val="00D8309D"/>
    <w:rsid w:val="00D8570B"/>
    <w:rsid w:val="00D86544"/>
    <w:rsid w:val="00D91355"/>
    <w:rsid w:val="00D91CFE"/>
    <w:rsid w:val="00D92ABC"/>
    <w:rsid w:val="00D93DA5"/>
    <w:rsid w:val="00D95D45"/>
    <w:rsid w:val="00DA2181"/>
    <w:rsid w:val="00DA37DE"/>
    <w:rsid w:val="00DA4F23"/>
    <w:rsid w:val="00DA52E9"/>
    <w:rsid w:val="00DA59A6"/>
    <w:rsid w:val="00DA606E"/>
    <w:rsid w:val="00DA6A79"/>
    <w:rsid w:val="00DA77F5"/>
    <w:rsid w:val="00DB283F"/>
    <w:rsid w:val="00DB2FC9"/>
    <w:rsid w:val="00DB5577"/>
    <w:rsid w:val="00DB743F"/>
    <w:rsid w:val="00DC020B"/>
    <w:rsid w:val="00DC10AF"/>
    <w:rsid w:val="00DC1DFE"/>
    <w:rsid w:val="00DC2BDE"/>
    <w:rsid w:val="00DC3997"/>
    <w:rsid w:val="00DC3C63"/>
    <w:rsid w:val="00DC794F"/>
    <w:rsid w:val="00DC7FC6"/>
    <w:rsid w:val="00DD564D"/>
    <w:rsid w:val="00DD6A28"/>
    <w:rsid w:val="00DE029A"/>
    <w:rsid w:val="00DE0AF3"/>
    <w:rsid w:val="00DE3357"/>
    <w:rsid w:val="00DE34D1"/>
    <w:rsid w:val="00DE3DD5"/>
    <w:rsid w:val="00DE42F7"/>
    <w:rsid w:val="00DE58F3"/>
    <w:rsid w:val="00DE5A79"/>
    <w:rsid w:val="00DE5FC2"/>
    <w:rsid w:val="00DF1528"/>
    <w:rsid w:val="00DF1D02"/>
    <w:rsid w:val="00DF33DC"/>
    <w:rsid w:val="00DF5867"/>
    <w:rsid w:val="00DF641E"/>
    <w:rsid w:val="00DF79E2"/>
    <w:rsid w:val="00E001FB"/>
    <w:rsid w:val="00E05F02"/>
    <w:rsid w:val="00E10835"/>
    <w:rsid w:val="00E13481"/>
    <w:rsid w:val="00E15E41"/>
    <w:rsid w:val="00E1720F"/>
    <w:rsid w:val="00E17542"/>
    <w:rsid w:val="00E20492"/>
    <w:rsid w:val="00E204DE"/>
    <w:rsid w:val="00E2367E"/>
    <w:rsid w:val="00E25334"/>
    <w:rsid w:val="00E269F3"/>
    <w:rsid w:val="00E30AFD"/>
    <w:rsid w:val="00E31DB4"/>
    <w:rsid w:val="00E3536B"/>
    <w:rsid w:val="00E35A14"/>
    <w:rsid w:val="00E36121"/>
    <w:rsid w:val="00E41B4A"/>
    <w:rsid w:val="00E41BF0"/>
    <w:rsid w:val="00E4415B"/>
    <w:rsid w:val="00E4544B"/>
    <w:rsid w:val="00E45E41"/>
    <w:rsid w:val="00E46122"/>
    <w:rsid w:val="00E478BD"/>
    <w:rsid w:val="00E500D2"/>
    <w:rsid w:val="00E50755"/>
    <w:rsid w:val="00E5083E"/>
    <w:rsid w:val="00E52BF5"/>
    <w:rsid w:val="00E546E7"/>
    <w:rsid w:val="00E55091"/>
    <w:rsid w:val="00E557ED"/>
    <w:rsid w:val="00E569DF"/>
    <w:rsid w:val="00E56DC5"/>
    <w:rsid w:val="00E5708D"/>
    <w:rsid w:val="00E61F21"/>
    <w:rsid w:val="00E622CE"/>
    <w:rsid w:val="00E6264C"/>
    <w:rsid w:val="00E63007"/>
    <w:rsid w:val="00E63450"/>
    <w:rsid w:val="00E63F3B"/>
    <w:rsid w:val="00E66F2A"/>
    <w:rsid w:val="00E71E9A"/>
    <w:rsid w:val="00E72A69"/>
    <w:rsid w:val="00E75305"/>
    <w:rsid w:val="00E75406"/>
    <w:rsid w:val="00E765F1"/>
    <w:rsid w:val="00E7669F"/>
    <w:rsid w:val="00E77AC3"/>
    <w:rsid w:val="00E77C82"/>
    <w:rsid w:val="00E81E0D"/>
    <w:rsid w:val="00E825C5"/>
    <w:rsid w:val="00E83216"/>
    <w:rsid w:val="00E83304"/>
    <w:rsid w:val="00E86E97"/>
    <w:rsid w:val="00E875C8"/>
    <w:rsid w:val="00E90389"/>
    <w:rsid w:val="00E9073B"/>
    <w:rsid w:val="00E9130E"/>
    <w:rsid w:val="00E929A7"/>
    <w:rsid w:val="00E9358E"/>
    <w:rsid w:val="00E9394D"/>
    <w:rsid w:val="00E95705"/>
    <w:rsid w:val="00E97137"/>
    <w:rsid w:val="00E97318"/>
    <w:rsid w:val="00EA0438"/>
    <w:rsid w:val="00EA27D7"/>
    <w:rsid w:val="00EA3C18"/>
    <w:rsid w:val="00EA43BB"/>
    <w:rsid w:val="00EA4E55"/>
    <w:rsid w:val="00EA5865"/>
    <w:rsid w:val="00EA62FE"/>
    <w:rsid w:val="00EA65EB"/>
    <w:rsid w:val="00EB1717"/>
    <w:rsid w:val="00EB5366"/>
    <w:rsid w:val="00EB6884"/>
    <w:rsid w:val="00EB715E"/>
    <w:rsid w:val="00EC06E3"/>
    <w:rsid w:val="00EC1CD3"/>
    <w:rsid w:val="00EC1F60"/>
    <w:rsid w:val="00EC24E4"/>
    <w:rsid w:val="00EC4E38"/>
    <w:rsid w:val="00EC5472"/>
    <w:rsid w:val="00ED0422"/>
    <w:rsid w:val="00ED1A27"/>
    <w:rsid w:val="00ED26C2"/>
    <w:rsid w:val="00ED304F"/>
    <w:rsid w:val="00ED3314"/>
    <w:rsid w:val="00ED549C"/>
    <w:rsid w:val="00ED5D0F"/>
    <w:rsid w:val="00ED6C24"/>
    <w:rsid w:val="00ED7048"/>
    <w:rsid w:val="00EE24F0"/>
    <w:rsid w:val="00EE2E24"/>
    <w:rsid w:val="00EE43DA"/>
    <w:rsid w:val="00EE5B6C"/>
    <w:rsid w:val="00EE6FBA"/>
    <w:rsid w:val="00EE78CA"/>
    <w:rsid w:val="00EF05D4"/>
    <w:rsid w:val="00EF2429"/>
    <w:rsid w:val="00EF4772"/>
    <w:rsid w:val="00EF784D"/>
    <w:rsid w:val="00F00A5D"/>
    <w:rsid w:val="00F016AA"/>
    <w:rsid w:val="00F01CD6"/>
    <w:rsid w:val="00F04AC1"/>
    <w:rsid w:val="00F05F2E"/>
    <w:rsid w:val="00F073E8"/>
    <w:rsid w:val="00F07445"/>
    <w:rsid w:val="00F07C51"/>
    <w:rsid w:val="00F1072C"/>
    <w:rsid w:val="00F14695"/>
    <w:rsid w:val="00F14A05"/>
    <w:rsid w:val="00F178AB"/>
    <w:rsid w:val="00F23DD0"/>
    <w:rsid w:val="00F24576"/>
    <w:rsid w:val="00F26484"/>
    <w:rsid w:val="00F267C0"/>
    <w:rsid w:val="00F3146D"/>
    <w:rsid w:val="00F34953"/>
    <w:rsid w:val="00F35DD6"/>
    <w:rsid w:val="00F35F8A"/>
    <w:rsid w:val="00F37B9A"/>
    <w:rsid w:val="00F4068C"/>
    <w:rsid w:val="00F40C4E"/>
    <w:rsid w:val="00F440A5"/>
    <w:rsid w:val="00F45066"/>
    <w:rsid w:val="00F468AC"/>
    <w:rsid w:val="00F50778"/>
    <w:rsid w:val="00F5115F"/>
    <w:rsid w:val="00F52CFD"/>
    <w:rsid w:val="00F53E46"/>
    <w:rsid w:val="00F53F1D"/>
    <w:rsid w:val="00F543AE"/>
    <w:rsid w:val="00F5540B"/>
    <w:rsid w:val="00F55C6E"/>
    <w:rsid w:val="00F55EC3"/>
    <w:rsid w:val="00F57543"/>
    <w:rsid w:val="00F61320"/>
    <w:rsid w:val="00F6195B"/>
    <w:rsid w:val="00F61F11"/>
    <w:rsid w:val="00F62A4D"/>
    <w:rsid w:val="00F64FCE"/>
    <w:rsid w:val="00F65EF5"/>
    <w:rsid w:val="00F66289"/>
    <w:rsid w:val="00F66565"/>
    <w:rsid w:val="00F66739"/>
    <w:rsid w:val="00F67BB0"/>
    <w:rsid w:val="00F70C0A"/>
    <w:rsid w:val="00F722F4"/>
    <w:rsid w:val="00F72F80"/>
    <w:rsid w:val="00F741C3"/>
    <w:rsid w:val="00F74E2F"/>
    <w:rsid w:val="00F75D05"/>
    <w:rsid w:val="00F7689F"/>
    <w:rsid w:val="00F77DAD"/>
    <w:rsid w:val="00F82D10"/>
    <w:rsid w:val="00F86658"/>
    <w:rsid w:val="00F86DC9"/>
    <w:rsid w:val="00F9066F"/>
    <w:rsid w:val="00F914C8"/>
    <w:rsid w:val="00F91E17"/>
    <w:rsid w:val="00F92831"/>
    <w:rsid w:val="00F96830"/>
    <w:rsid w:val="00F979DA"/>
    <w:rsid w:val="00F97D62"/>
    <w:rsid w:val="00FA1077"/>
    <w:rsid w:val="00FA10BE"/>
    <w:rsid w:val="00FA12BB"/>
    <w:rsid w:val="00FA33FA"/>
    <w:rsid w:val="00FA38E9"/>
    <w:rsid w:val="00FA44B4"/>
    <w:rsid w:val="00FA4516"/>
    <w:rsid w:val="00FA4E9A"/>
    <w:rsid w:val="00FA505D"/>
    <w:rsid w:val="00FA58CE"/>
    <w:rsid w:val="00FA7237"/>
    <w:rsid w:val="00FA78CC"/>
    <w:rsid w:val="00FB0FF0"/>
    <w:rsid w:val="00FB3968"/>
    <w:rsid w:val="00FB3D71"/>
    <w:rsid w:val="00FB407F"/>
    <w:rsid w:val="00FB4186"/>
    <w:rsid w:val="00FB67A9"/>
    <w:rsid w:val="00FB7316"/>
    <w:rsid w:val="00FB76A3"/>
    <w:rsid w:val="00FB7709"/>
    <w:rsid w:val="00FB793A"/>
    <w:rsid w:val="00FC242A"/>
    <w:rsid w:val="00FC27DA"/>
    <w:rsid w:val="00FC2E8B"/>
    <w:rsid w:val="00FC4FC9"/>
    <w:rsid w:val="00FD0271"/>
    <w:rsid w:val="00FD2B66"/>
    <w:rsid w:val="00FD3A04"/>
    <w:rsid w:val="00FD6BAB"/>
    <w:rsid w:val="00FD7AEE"/>
    <w:rsid w:val="00FE1DD4"/>
    <w:rsid w:val="00FE261D"/>
    <w:rsid w:val="00FE4A0F"/>
    <w:rsid w:val="00FE4D82"/>
    <w:rsid w:val="00FE65B0"/>
    <w:rsid w:val="00FE7381"/>
    <w:rsid w:val="00FE78B0"/>
    <w:rsid w:val="00FF0B1A"/>
    <w:rsid w:val="00FF4F7D"/>
    <w:rsid w:val="00FF5696"/>
    <w:rsid w:val="040F1247"/>
    <w:rsid w:val="07240258"/>
    <w:rsid w:val="2FF344B8"/>
    <w:rsid w:val="471F1CD7"/>
    <w:rsid w:val="6435296A"/>
    <w:rsid w:val="74E2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numPr>
        <w:ilvl w:val="0"/>
        <w:numId w:val="1"/>
      </w:numPr>
      <w:spacing w:after="50" w:afterLines="50" w:line="240" w:lineRule="auto"/>
      <w:ind w:firstLineChars="0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unhideWhenUsed/>
    <w:qFormat/>
    <w:uiPriority w:val="9"/>
    <w:pPr>
      <w:numPr>
        <w:ilvl w:val="1"/>
        <w:numId w:val="1"/>
      </w:numPr>
      <w:spacing w:before="381" w:beforeLines="100" w:line="240" w:lineRule="auto"/>
      <w:ind w:firstLineChars="0"/>
      <w:outlineLvl w:val="1"/>
    </w:pPr>
    <w:rPr>
      <w:rFonts w:eastAsia="黑体" w:cstheme="majorBidi"/>
      <w:b/>
      <w:bCs/>
      <w:kern w:val="44"/>
      <w:sz w:val="36"/>
      <w:szCs w:val="32"/>
    </w:rPr>
  </w:style>
  <w:style w:type="paragraph" w:styleId="4">
    <w:name w:val="heading 3"/>
    <w:basedOn w:val="3"/>
    <w:next w:val="1"/>
    <w:link w:val="36"/>
    <w:unhideWhenUsed/>
    <w:qFormat/>
    <w:uiPriority w:val="9"/>
    <w:pPr>
      <w:numPr>
        <w:ilvl w:val="2"/>
      </w:numPr>
      <w:outlineLvl w:val="2"/>
    </w:pPr>
    <w:rPr>
      <w:bCs w:val="0"/>
    </w:rPr>
  </w:style>
  <w:style w:type="paragraph" w:styleId="5">
    <w:name w:val="heading 4"/>
    <w:basedOn w:val="4"/>
    <w:next w:val="1"/>
    <w:link w:val="40"/>
    <w:unhideWhenUsed/>
    <w:qFormat/>
    <w:uiPriority w:val="9"/>
    <w:pPr>
      <w:numPr>
        <w:ilvl w:val="3"/>
      </w:numPr>
      <w:spacing w:before="50" w:beforeLines="50"/>
      <w:outlineLvl w:val="3"/>
    </w:pPr>
    <w:rPr>
      <w:bCs/>
      <w:sz w:val="32"/>
      <w:szCs w:val="28"/>
    </w:rPr>
  </w:style>
  <w:style w:type="paragraph" w:styleId="6">
    <w:name w:val="heading 5"/>
    <w:basedOn w:val="5"/>
    <w:next w:val="1"/>
    <w:link w:val="22"/>
    <w:unhideWhenUsed/>
    <w:qFormat/>
    <w:uiPriority w:val="9"/>
    <w:pPr>
      <w:numPr>
        <w:ilvl w:val="4"/>
      </w:numPr>
      <w:outlineLvl w:val="4"/>
    </w:pPr>
    <w:rPr>
      <w:b w:val="0"/>
      <w:bCs w:val="0"/>
    </w:rPr>
  </w:style>
  <w:style w:type="paragraph" w:styleId="7">
    <w:name w:val="heading 6"/>
    <w:basedOn w:val="6"/>
    <w:next w:val="1"/>
    <w:link w:val="24"/>
    <w:unhideWhenUsed/>
    <w:qFormat/>
    <w:uiPriority w:val="9"/>
    <w:pPr>
      <w:numPr>
        <w:ilvl w:val="5"/>
      </w:numPr>
      <w:outlineLvl w:val="5"/>
    </w:pPr>
    <w:rPr>
      <w:bCs/>
      <w:sz w:val="30"/>
      <w:szCs w:val="24"/>
    </w:rPr>
  </w:style>
  <w:style w:type="paragraph" w:styleId="8">
    <w:name w:val="heading 7"/>
    <w:basedOn w:val="7"/>
    <w:next w:val="1"/>
    <w:link w:val="26"/>
    <w:unhideWhenUsed/>
    <w:qFormat/>
    <w:uiPriority w:val="9"/>
    <w:pPr>
      <w:numPr>
        <w:ilvl w:val="6"/>
      </w:numPr>
      <w:outlineLvl w:val="6"/>
    </w:pPr>
    <w:rPr>
      <w:bCs w:val="0"/>
    </w:rPr>
  </w:style>
  <w:style w:type="paragraph" w:styleId="9">
    <w:name w:val="heading 8"/>
    <w:basedOn w:val="8"/>
    <w:next w:val="1"/>
    <w:link w:val="29"/>
    <w:unhideWhenUsed/>
    <w:qFormat/>
    <w:uiPriority w:val="9"/>
    <w:pPr>
      <w:numPr>
        <w:ilvl w:val="7"/>
      </w:numPr>
      <w:spacing w:before="0" w:beforeLines="0"/>
      <w:outlineLvl w:val="7"/>
    </w:pPr>
    <w:rPr>
      <w:sz w:val="28"/>
    </w:rPr>
  </w:style>
  <w:style w:type="paragraph" w:styleId="10">
    <w:name w:val="heading 9"/>
    <w:basedOn w:val="9"/>
    <w:next w:val="1"/>
    <w:link w:val="30"/>
    <w:unhideWhenUsed/>
    <w:qFormat/>
    <w:uiPriority w:val="9"/>
    <w:pPr>
      <w:numPr>
        <w:ilvl w:val="8"/>
      </w:numPr>
      <w:outlineLvl w:val="8"/>
    </w:pPr>
    <w:rPr>
      <w:szCs w:val="21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pPr>
      <w:spacing w:before="50" w:beforeLines="50" w:after="50" w:afterLines="50" w:line="240" w:lineRule="auto"/>
      <w:ind w:firstLine="0" w:firstLineChars="0"/>
      <w:jc w:val="center"/>
    </w:pPr>
    <w:rPr>
      <w:rFonts w:eastAsia="黑体" w:cstheme="majorBidi"/>
      <w:sz w:val="24"/>
      <w:szCs w:val="20"/>
    </w:rPr>
  </w:style>
  <w:style w:type="paragraph" w:styleId="12">
    <w:name w:val="toc 3"/>
    <w:basedOn w:val="1"/>
    <w:next w:val="1"/>
    <w:autoRedefine/>
    <w:unhideWhenUsed/>
    <w:uiPriority w:val="39"/>
    <w:pPr>
      <w:tabs>
        <w:tab w:val="right" w:leader="dot" w:pos="8210"/>
      </w:tabs>
      <w:spacing w:line="240" w:lineRule="auto"/>
      <w:ind w:left="560" w:leftChars="200" w:firstLine="0" w:firstLineChars="0"/>
    </w:pPr>
    <w:rPr>
      <w:sz w:val="21"/>
    </w:rPr>
  </w:style>
  <w:style w:type="paragraph" w:styleId="13">
    <w:name w:val="footer"/>
    <w:basedOn w:val="1"/>
    <w:link w:val="31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4">
    <w:name w:val="header"/>
    <w:basedOn w:val="1"/>
    <w:link w:val="32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autoRedefine/>
    <w:unhideWhenUsed/>
    <w:uiPriority w:val="39"/>
    <w:pPr>
      <w:spacing w:line="240" w:lineRule="auto"/>
      <w:ind w:firstLine="0" w:firstLineChars="0"/>
    </w:pPr>
    <w:rPr>
      <w:sz w:val="21"/>
    </w:rPr>
  </w:style>
  <w:style w:type="paragraph" w:styleId="16">
    <w:name w:val="table of figures"/>
    <w:basedOn w:val="1"/>
    <w:next w:val="1"/>
    <w:unhideWhenUsed/>
    <w:qFormat/>
    <w:uiPriority w:val="99"/>
    <w:pPr>
      <w:spacing w:line="240" w:lineRule="auto"/>
      <w:ind w:firstLine="0" w:firstLineChars="0"/>
    </w:pPr>
  </w:style>
  <w:style w:type="paragraph" w:styleId="17">
    <w:name w:val="toc 2"/>
    <w:basedOn w:val="1"/>
    <w:next w:val="1"/>
    <w:autoRedefine/>
    <w:unhideWhenUsed/>
    <w:uiPriority w:val="39"/>
    <w:pPr>
      <w:spacing w:line="240" w:lineRule="auto"/>
      <w:ind w:left="100" w:leftChars="100" w:firstLine="0" w:firstLineChars="0"/>
    </w:pPr>
    <w:rPr>
      <w:sz w:val="21"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basedOn w:val="20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2">
    <w:name w:val="标题 5 字符"/>
    <w:basedOn w:val="20"/>
    <w:link w:val="6"/>
    <w:uiPriority w:val="9"/>
    <w:rPr>
      <w:rFonts w:ascii="Times New Roman" w:hAnsi="Times New Roman" w:eastAsia="黑体" w:cstheme="majorBidi"/>
      <w:kern w:val="44"/>
      <w:sz w:val="32"/>
      <w:szCs w:val="28"/>
    </w:rPr>
  </w:style>
  <w:style w:type="paragraph" w:styleId="23">
    <w:name w:val="List Paragraph"/>
    <w:basedOn w:val="1"/>
    <w:qFormat/>
    <w:uiPriority w:val="99"/>
    <w:pPr>
      <w:ind w:firstLine="420"/>
    </w:pPr>
  </w:style>
  <w:style w:type="character" w:customStyle="1" w:styleId="24">
    <w:name w:val="标题 6 字符"/>
    <w:basedOn w:val="20"/>
    <w:link w:val="7"/>
    <w:uiPriority w:val="9"/>
    <w:rPr>
      <w:rFonts w:ascii="Times New Roman" w:hAnsi="Times New Roman" w:eastAsia="黑体" w:cstheme="majorBidi"/>
      <w:bCs/>
      <w:kern w:val="44"/>
      <w:sz w:val="30"/>
      <w:szCs w:val="24"/>
    </w:rPr>
  </w:style>
  <w:style w:type="paragraph" w:customStyle="1" w:styleId="25">
    <w:name w:val="其他标题"/>
    <w:basedOn w:val="1"/>
    <w:link w:val="27"/>
    <w:qFormat/>
    <w:uiPriority w:val="0"/>
    <w:pPr>
      <w:spacing w:line="240" w:lineRule="auto"/>
      <w:ind w:firstLine="0" w:firstLineChars="0"/>
      <w:jc w:val="center"/>
    </w:pPr>
    <w:rPr>
      <w:rFonts w:eastAsia="黑体"/>
      <w:b/>
      <w:sz w:val="36"/>
    </w:rPr>
  </w:style>
  <w:style w:type="character" w:customStyle="1" w:styleId="26">
    <w:name w:val="标题 7 字符"/>
    <w:basedOn w:val="20"/>
    <w:link w:val="8"/>
    <w:uiPriority w:val="9"/>
    <w:rPr>
      <w:rFonts w:ascii="Times New Roman" w:hAnsi="Times New Roman" w:eastAsia="黑体" w:cstheme="majorBidi"/>
      <w:kern w:val="44"/>
      <w:sz w:val="30"/>
      <w:szCs w:val="24"/>
    </w:rPr>
  </w:style>
  <w:style w:type="character" w:customStyle="1" w:styleId="27">
    <w:name w:val="其他标题 字符"/>
    <w:basedOn w:val="20"/>
    <w:link w:val="25"/>
    <w:uiPriority w:val="0"/>
    <w:rPr>
      <w:rFonts w:ascii="Times New Roman" w:hAnsi="Times New Roman" w:eastAsia="黑体"/>
      <w:b/>
      <w:kern w:val="2"/>
      <w:sz w:val="36"/>
      <w:szCs w:val="22"/>
    </w:rPr>
  </w:style>
  <w:style w:type="character" w:customStyle="1" w:styleId="28">
    <w:name w:val="标题 2 字符"/>
    <w:basedOn w:val="20"/>
    <w:link w:val="3"/>
    <w:qFormat/>
    <w:uiPriority w:val="9"/>
    <w:rPr>
      <w:rFonts w:ascii="Times New Roman" w:hAnsi="Times New Roman" w:eastAsia="黑体" w:cstheme="majorBidi"/>
      <w:b/>
      <w:bCs/>
      <w:kern w:val="44"/>
      <w:sz w:val="36"/>
      <w:szCs w:val="32"/>
    </w:rPr>
  </w:style>
  <w:style w:type="character" w:customStyle="1" w:styleId="29">
    <w:name w:val="标题 8 字符"/>
    <w:basedOn w:val="20"/>
    <w:link w:val="9"/>
    <w:qFormat/>
    <w:uiPriority w:val="9"/>
    <w:rPr>
      <w:rFonts w:ascii="Times New Roman" w:hAnsi="Times New Roman" w:eastAsia="黑体" w:cstheme="majorBidi"/>
      <w:kern w:val="44"/>
      <w:sz w:val="28"/>
      <w:szCs w:val="24"/>
    </w:rPr>
  </w:style>
  <w:style w:type="character" w:customStyle="1" w:styleId="30">
    <w:name w:val="标题 9 字符"/>
    <w:basedOn w:val="20"/>
    <w:link w:val="10"/>
    <w:uiPriority w:val="9"/>
    <w:rPr>
      <w:rFonts w:ascii="Times New Roman" w:hAnsi="Times New Roman" w:eastAsia="黑体" w:cstheme="majorBidi"/>
      <w:kern w:val="44"/>
      <w:sz w:val="28"/>
      <w:szCs w:val="21"/>
    </w:rPr>
  </w:style>
  <w:style w:type="character" w:customStyle="1" w:styleId="31">
    <w:name w:val="页脚 字符"/>
    <w:basedOn w:val="20"/>
    <w:link w:val="13"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32">
    <w:name w:val="页眉 字符"/>
    <w:basedOn w:val="20"/>
    <w:link w:val="14"/>
    <w:uiPriority w:val="99"/>
    <w:rPr>
      <w:rFonts w:ascii="Times New Roman" w:hAnsi="Times New Roman" w:eastAsia="宋体"/>
      <w:kern w:val="2"/>
      <w:sz w:val="18"/>
      <w:szCs w:val="18"/>
    </w:rPr>
  </w:style>
  <w:style w:type="paragraph" w:customStyle="1" w:styleId="33">
    <w:name w:val="图表文字"/>
    <w:basedOn w:val="1"/>
    <w:link w:val="34"/>
    <w:qFormat/>
    <w:uiPriority w:val="0"/>
    <w:pPr>
      <w:ind w:firstLine="0" w:firstLineChars="0"/>
      <w:jc w:val="center"/>
    </w:pPr>
    <w:rPr>
      <w:sz w:val="24"/>
    </w:rPr>
  </w:style>
  <w:style w:type="character" w:customStyle="1" w:styleId="34">
    <w:name w:val="图表文字 字符"/>
    <w:basedOn w:val="20"/>
    <w:link w:val="33"/>
    <w:uiPriority w:val="0"/>
    <w:rPr>
      <w:rFonts w:ascii="Times New Roman" w:hAnsi="Times New Roman" w:eastAsia="宋体"/>
      <w:kern w:val="2"/>
      <w:sz w:val="24"/>
      <w:szCs w:val="22"/>
    </w:rPr>
  </w:style>
  <w:style w:type="character" w:customStyle="1" w:styleId="35">
    <w:name w:val="标题 1 字符"/>
    <w:basedOn w:val="20"/>
    <w:link w:val="2"/>
    <w:uiPriority w:val="9"/>
    <w:rPr>
      <w:rFonts w:ascii="Times New Roman" w:hAnsi="Times New Roman" w:eastAsia="黑体"/>
      <w:b/>
      <w:bCs/>
      <w:kern w:val="44"/>
      <w:sz w:val="44"/>
      <w:szCs w:val="44"/>
    </w:rPr>
  </w:style>
  <w:style w:type="character" w:customStyle="1" w:styleId="36">
    <w:name w:val="标题 3 字符"/>
    <w:basedOn w:val="20"/>
    <w:link w:val="4"/>
    <w:uiPriority w:val="9"/>
    <w:rPr>
      <w:rFonts w:ascii="Times New Roman" w:hAnsi="Times New Roman" w:eastAsia="黑体" w:cstheme="majorBidi"/>
      <w:b/>
      <w:kern w:val="44"/>
      <w:sz w:val="36"/>
      <w:szCs w:val="32"/>
    </w:rPr>
  </w:style>
  <w:style w:type="paragraph" w:customStyle="1" w:styleId="37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8">
    <w:name w:val="图"/>
    <w:basedOn w:val="1"/>
    <w:next w:val="11"/>
    <w:link w:val="39"/>
    <w:qFormat/>
    <w:uiPriority w:val="0"/>
    <w:pPr>
      <w:ind w:firstLine="0" w:firstLineChars="0"/>
      <w:jc w:val="center"/>
    </w:pPr>
  </w:style>
  <w:style w:type="character" w:customStyle="1" w:styleId="39">
    <w:name w:val="图 字符"/>
    <w:basedOn w:val="20"/>
    <w:link w:val="38"/>
    <w:uiPriority w:val="0"/>
    <w:rPr>
      <w:rFonts w:ascii="Times New Roman" w:hAnsi="Times New Roman" w:eastAsia="宋体"/>
      <w:kern w:val="2"/>
      <w:sz w:val="28"/>
      <w:szCs w:val="22"/>
    </w:rPr>
  </w:style>
  <w:style w:type="character" w:customStyle="1" w:styleId="40">
    <w:name w:val="标题 4 字符"/>
    <w:basedOn w:val="20"/>
    <w:link w:val="5"/>
    <w:uiPriority w:val="9"/>
    <w:rPr>
      <w:rFonts w:ascii="Times New Roman" w:hAnsi="Times New Roman" w:eastAsia="黑体" w:cstheme="majorBidi"/>
      <w:b/>
      <w:bCs/>
      <w:kern w:val="44"/>
      <w:sz w:val="32"/>
      <w:szCs w:val="28"/>
    </w:rPr>
  </w:style>
  <w:style w:type="paragraph" w:customStyle="1" w:styleId="41">
    <w:name w:val="表头"/>
    <w:basedOn w:val="33"/>
    <w:link w:val="42"/>
    <w:qFormat/>
    <w:uiPriority w:val="0"/>
    <w:rPr>
      <w:b/>
    </w:rPr>
  </w:style>
  <w:style w:type="character" w:customStyle="1" w:styleId="42">
    <w:name w:val="表头 字符"/>
    <w:basedOn w:val="34"/>
    <w:link w:val="41"/>
    <w:qFormat/>
    <w:uiPriority w:val="0"/>
    <w:rPr>
      <w:rFonts w:ascii="Times New Roman" w:hAnsi="Times New Roman" w:eastAsia="宋体"/>
      <w:b/>
      <w:kern w:val="2"/>
      <w:sz w:val="24"/>
      <w:szCs w:val="22"/>
    </w:rPr>
  </w:style>
  <w:style w:type="paragraph" w:customStyle="1" w:styleId="43">
    <w:name w:val="MTDisplayEquation"/>
    <w:basedOn w:val="1"/>
    <w:next w:val="1"/>
    <w:link w:val="44"/>
    <w:uiPriority w:val="0"/>
    <w:pPr>
      <w:tabs>
        <w:tab w:val="center" w:pos="4120"/>
        <w:tab w:val="right" w:pos="8220"/>
      </w:tabs>
      <w:ind w:firstLine="560"/>
    </w:pPr>
  </w:style>
  <w:style w:type="character" w:customStyle="1" w:styleId="44">
    <w:name w:val="MTDisplayEquation 字符"/>
    <w:basedOn w:val="20"/>
    <w:link w:val="43"/>
    <w:qFormat/>
    <w:uiPriority w:val="0"/>
    <w:rPr>
      <w:rFonts w:ascii="Times New Roman" w:hAnsi="Times New Roman" w:eastAsia="宋体"/>
      <w:kern w:val="2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numbering" Target="numbering.xml"/><Relationship Id="rId43" Type="http://schemas.openxmlformats.org/officeDocument/2006/relationships/image" Target="media/image15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4.wmf"/><Relationship Id="rId40" Type="http://schemas.openxmlformats.org/officeDocument/2006/relationships/oleObject" Target="embeddings/oleObject14.bin"/><Relationship Id="rId4" Type="http://schemas.openxmlformats.org/officeDocument/2006/relationships/endnotes" Target="endnotes.xml"/><Relationship Id="rId39" Type="http://schemas.openxmlformats.org/officeDocument/2006/relationships/image" Target="media/image13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2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1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0.wmf"/><Relationship Id="rId32" Type="http://schemas.openxmlformats.org/officeDocument/2006/relationships/oleObject" Target="embeddings/oleObject10.bin"/><Relationship Id="rId31" Type="http://schemas.openxmlformats.org/officeDocument/2006/relationships/image" Target="media/image9.wmf"/><Relationship Id="rId30" Type="http://schemas.openxmlformats.org/officeDocument/2006/relationships/oleObject" Target="embeddings/oleObject9.bin"/><Relationship Id="rId3" Type="http://schemas.openxmlformats.org/officeDocument/2006/relationships/footnotes" Target="footnotes.xml"/><Relationship Id="rId29" Type="http://schemas.openxmlformats.org/officeDocument/2006/relationships/image" Target="media/image8.wmf"/><Relationship Id="rId28" Type="http://schemas.openxmlformats.org/officeDocument/2006/relationships/oleObject" Target="embeddings/oleObject8.bin"/><Relationship Id="rId27" Type="http://schemas.openxmlformats.org/officeDocument/2006/relationships/image" Target="media/image7.wmf"/><Relationship Id="rId26" Type="http://schemas.openxmlformats.org/officeDocument/2006/relationships/oleObject" Target="embeddings/oleObject7.bin"/><Relationship Id="rId25" Type="http://schemas.openxmlformats.org/officeDocument/2006/relationships/image" Target="media/image6.wmf"/><Relationship Id="rId24" Type="http://schemas.openxmlformats.org/officeDocument/2006/relationships/oleObject" Target="embeddings/oleObject6.bin"/><Relationship Id="rId23" Type="http://schemas.openxmlformats.org/officeDocument/2006/relationships/image" Target="media/image5.wmf"/><Relationship Id="rId22" Type="http://schemas.openxmlformats.org/officeDocument/2006/relationships/oleObject" Target="embeddings/oleObject5.bin"/><Relationship Id="rId21" Type="http://schemas.openxmlformats.org/officeDocument/2006/relationships/image" Target="media/image4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3.wmf"/><Relationship Id="rId18" Type="http://schemas.openxmlformats.org/officeDocument/2006/relationships/oleObject" Target="embeddings/oleObject3.bin"/><Relationship Id="rId17" Type="http://schemas.openxmlformats.org/officeDocument/2006/relationships/image" Target="media/image2.wmf"/><Relationship Id="rId16" Type="http://schemas.openxmlformats.org/officeDocument/2006/relationships/oleObject" Target="embeddings/oleObject2.bin"/><Relationship Id="rId15" Type="http://schemas.openxmlformats.org/officeDocument/2006/relationships/image" Target="media/image1.wmf"/><Relationship Id="rId14" Type="http://schemas.openxmlformats.org/officeDocument/2006/relationships/oleObject" Target="embeddings/oleObject1.bin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77657-5081-49D8-AB00-A5DAF82A7D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1602</Words>
  <Characters>2171</Characters>
  <Lines>44</Lines>
  <Paragraphs>12</Paragraphs>
  <TotalTime>724</TotalTime>
  <ScaleCrop>false</ScaleCrop>
  <LinksUpToDate>false</LinksUpToDate>
  <CharactersWithSpaces>2277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2024-02-23T05:39:00Z</dcterms:created>
  <dc:creator>张 育闻</dc:creator>
  <cp:lastModifiedBy>WPS_266446521</cp:lastModifiedBy>
  <cp:lastPrinted>2026-07-20T07:06:00Z</cp:lastPrinted>
  <dcterms:modified xsi:type="dcterms:W3CDTF">2026-07-22T05:06:22Z</dcterms:modified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2052-12.1.0.26895</vt:lpwstr>
  </property>
  <property fmtid="{D5CDD505-2E9C-101B-9397-08002B2CF9AE}" pid="4" name="ICV">
    <vt:lpwstr>4F3F6B88CE9F41ADB117702819F31628_12</vt:lpwstr>
  </property>
  <property fmtid="{D5CDD505-2E9C-101B-9397-08002B2CF9AE}" pid="5" name="MTEquationSection">
    <vt:lpwstr>1</vt:lpwstr>
  </property>
  <property fmtid="{D5CDD505-2E9C-101B-9397-08002B2CF9AE}" pid="6" name="MTEquationNumber2">
    <vt:lpwstr>(#E1)</vt:lpwstr>
  </property>
  <property fmtid="{D5CDD505-2E9C-101B-9397-08002B2CF9AE}" pid="7" name="KSOTemplateDocerSaveRecord">
    <vt:lpwstr>eyJoZGlkIjoiZThlMzA4MjIzMjJhMTA2OWMxNGE5MzJiOWRhM2YwZGYiLCJ1c2VySWQiOiIyNjY0NDY1MjEifQ==</vt:lpwstr>
  </property>
</Properties>
</file>