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eastAsia="黑体"/>
          <w:sz w:val="28"/>
          <w:szCs w:val="28"/>
        </w:rPr>
      </w:pPr>
      <w:bookmarkStart w:id="15" w:name="_GoBack"/>
      <w:bookmarkEnd w:id="15"/>
    </w:p>
    <w:p/>
    <w:p/>
    <w:p/>
    <w:p/>
    <w:p>
      <w:pPr>
        <w:jc w:val="center"/>
        <w:rPr>
          <w:rFonts w:eastAsia="黑体"/>
          <w:sz w:val="44"/>
          <w:szCs w:val="44"/>
        </w:rPr>
      </w:pPr>
      <w:r>
        <w:rPr>
          <w:rFonts w:hint="eastAsia" w:ascii="黑体" w:hAnsi="黑体" w:eastAsia="黑体" w:cs="黑体"/>
          <w:b w:val="0"/>
          <w:bCs/>
          <w:sz w:val="48"/>
          <w:szCs w:val="48"/>
          <w:lang w:val="en-US" w:eastAsia="zh-CN"/>
        </w:rPr>
        <w:t>恒定加力速度建筑材料</w:t>
      </w:r>
      <w:r>
        <w:rPr>
          <w:rFonts w:hint="eastAsia" w:ascii="黑体" w:hAnsi="黑体" w:eastAsia="黑体" w:cs="黑体"/>
          <w:b w:val="0"/>
          <w:bCs/>
          <w:sz w:val="48"/>
          <w:szCs w:val="48"/>
        </w:rPr>
        <w:t>试验机</w:t>
      </w:r>
      <w:r>
        <w:rPr>
          <w:rFonts w:eastAsia="黑体"/>
          <w:sz w:val="44"/>
          <w:szCs w:val="44"/>
        </w:rPr>
        <w:t>校准规范</w:t>
      </w:r>
    </w:p>
    <w:p>
      <w:pPr>
        <w:jc w:val="center"/>
        <w:rPr>
          <w:rFonts w:eastAsia="黑体"/>
          <w:sz w:val="44"/>
          <w:szCs w:val="44"/>
        </w:rPr>
      </w:pPr>
      <w:r>
        <w:rPr>
          <w:rFonts w:eastAsia="黑体"/>
          <w:sz w:val="44"/>
          <w:szCs w:val="44"/>
        </w:rPr>
        <w:t>编 制 说 明</w:t>
      </w:r>
    </w:p>
    <w:p>
      <w:pPr>
        <w:jc w:val="center"/>
        <w:rPr>
          <w:rFonts w:eastAsia="黑体"/>
          <w:sz w:val="44"/>
          <w:szCs w:val="44"/>
        </w:rPr>
      </w:pPr>
    </w:p>
    <w:p>
      <w:pPr>
        <w:jc w:val="center"/>
        <w:rPr>
          <w:rFonts w:eastAsia="黑体"/>
          <w:sz w:val="28"/>
          <w:szCs w:val="28"/>
        </w:rPr>
      </w:pPr>
    </w:p>
    <w:p>
      <w:pPr>
        <w:jc w:val="center"/>
        <w:rPr>
          <w:rFonts w:eastAsia="黑体"/>
          <w:sz w:val="30"/>
          <w:szCs w:val="30"/>
        </w:rPr>
      </w:pPr>
      <w:r>
        <w:rPr>
          <w:rFonts w:eastAsia="黑体"/>
          <w:sz w:val="30"/>
          <w:szCs w:val="30"/>
        </w:rPr>
        <w:t>（</w:t>
      </w:r>
      <w:r>
        <w:rPr>
          <w:rFonts w:hint="eastAsia" w:eastAsia="黑体"/>
          <w:sz w:val="30"/>
          <w:szCs w:val="30"/>
        </w:rPr>
        <w:t>征求意见</w:t>
      </w:r>
      <w:r>
        <w:rPr>
          <w:rFonts w:eastAsia="黑体"/>
          <w:sz w:val="30"/>
          <w:szCs w:val="30"/>
        </w:rPr>
        <w:t>稿）</w:t>
      </w:r>
    </w:p>
    <w:p>
      <w:pPr>
        <w:rPr>
          <w:rFonts w:eastAsia="黑体"/>
          <w:sz w:val="52"/>
          <w:szCs w:val="52"/>
        </w:rPr>
      </w:pPr>
    </w:p>
    <w:p>
      <w:pPr>
        <w:jc w:val="center"/>
      </w:pPr>
    </w:p>
    <w:p>
      <w:pPr>
        <w:jc w:val="center"/>
      </w:pPr>
    </w:p>
    <w:p>
      <w:pPr>
        <w:jc w:val="center"/>
      </w:pPr>
    </w:p>
    <w:p>
      <w:pPr>
        <w:jc w:val="center"/>
      </w:pPr>
    </w:p>
    <w:p>
      <w:pPr>
        <w:jc w:val="center"/>
      </w:pPr>
    </w:p>
    <w:p>
      <w:pPr>
        <w:jc w:val="center"/>
      </w:pPr>
    </w:p>
    <w:p>
      <w:pPr>
        <w:jc w:val="center"/>
      </w:pPr>
    </w:p>
    <w:p>
      <w:pPr>
        <w:ind w:firstLine="843" w:firstLineChars="300"/>
        <w:jc w:val="both"/>
        <w:rPr>
          <w:rFonts w:hint="eastAsia" w:ascii="宋体" w:hAnsi="宋体"/>
          <w:sz w:val="32"/>
          <w:szCs w:val="32"/>
          <w:lang w:val="en-US" w:eastAsia="zh-CN"/>
        </w:rPr>
      </w:pPr>
      <w:r>
        <w:rPr>
          <w:rFonts w:eastAsia="黑体"/>
          <w:b/>
          <w:sz w:val="28"/>
          <w:szCs w:val="28"/>
        </w:rPr>
        <w:t>主要起草单位：</w:t>
      </w:r>
    </w:p>
    <w:p>
      <w:pPr>
        <w:rPr>
          <w:rFonts w:hint="eastAsia" w:eastAsia="黑体"/>
          <w:sz w:val="28"/>
          <w:szCs w:val="28"/>
        </w:rPr>
      </w:pPr>
      <w:r>
        <w:rPr>
          <w:rFonts w:eastAsia="黑体"/>
          <w:sz w:val="28"/>
          <w:szCs w:val="28"/>
        </w:rPr>
        <w:t xml:space="preserve">                    </w:t>
      </w:r>
    </w:p>
    <w:p>
      <w:pPr>
        <w:rPr>
          <w:rFonts w:hint="eastAsia" w:eastAsia="黑体"/>
          <w:sz w:val="28"/>
          <w:szCs w:val="28"/>
        </w:rPr>
      </w:pPr>
      <w:r>
        <w:rPr>
          <w:rFonts w:eastAsia="黑体"/>
          <w:b/>
          <w:sz w:val="28"/>
          <w:szCs w:val="28"/>
        </w:rPr>
        <w:t xml:space="preserve">      参加起草单位：</w:t>
      </w:r>
    </w:p>
    <w:p>
      <w:pPr>
        <w:ind w:firstLine="2800" w:firstLineChars="1000"/>
        <w:rPr>
          <w:rFonts w:eastAsia="黑体"/>
          <w:sz w:val="28"/>
          <w:szCs w:val="28"/>
        </w:rPr>
      </w:pPr>
    </w:p>
    <w:p>
      <w:pPr>
        <w:ind w:firstLine="1960" w:firstLineChars="700"/>
        <w:rPr>
          <w:rFonts w:eastAsia="黑体"/>
          <w:kern w:val="0"/>
          <w:position w:val="-14"/>
          <w:sz w:val="28"/>
          <w:szCs w:val="28"/>
        </w:rPr>
      </w:pPr>
      <w:r>
        <w:rPr>
          <w:rFonts w:hAnsi="黑体" w:eastAsia="黑体"/>
          <w:kern w:val="0"/>
          <w:position w:val="-14"/>
          <w:sz w:val="28"/>
          <w:szCs w:val="28"/>
        </w:rPr>
        <w:t>审查：全国力值硬度</w:t>
      </w:r>
      <w:r>
        <w:rPr>
          <w:rFonts w:hint="eastAsia" w:hAnsi="黑体" w:eastAsia="黑体"/>
          <w:kern w:val="0"/>
          <w:position w:val="-14"/>
          <w:sz w:val="28"/>
          <w:szCs w:val="28"/>
        </w:rPr>
        <w:t>重力</w:t>
      </w:r>
      <w:r>
        <w:rPr>
          <w:rFonts w:hAnsi="黑体" w:eastAsia="黑体"/>
          <w:kern w:val="0"/>
          <w:position w:val="-14"/>
          <w:sz w:val="28"/>
          <w:szCs w:val="28"/>
        </w:rPr>
        <w:t>计量技术委员会</w:t>
      </w:r>
    </w:p>
    <w:p>
      <w:pPr>
        <w:pStyle w:val="2"/>
        <w:numPr>
          <w:ilvl w:val="0"/>
          <w:numId w:val="3"/>
        </w:numPr>
        <w:tabs>
          <w:tab w:val="left" w:pos="425"/>
        </w:tabs>
        <w:spacing w:before="120" w:after="120" w:line="360" w:lineRule="auto"/>
        <w:ind w:left="0" w:firstLine="0"/>
        <w:rPr>
          <w:rFonts w:ascii="Times New Roman" w:hAnsi="Times New Roman" w:eastAsia="黑体"/>
          <w:b w:val="0"/>
          <w:sz w:val="24"/>
          <w:szCs w:val="24"/>
        </w:rPr>
      </w:pPr>
      <w:bookmarkStart w:id="0" w:name="_Toc283297382"/>
      <w:bookmarkStart w:id="1" w:name="_Toc283297383"/>
      <w:bookmarkStart w:id="2" w:name="_Toc283297384"/>
      <w:bookmarkStart w:id="3" w:name="_Toc283297385"/>
      <w:bookmarkStart w:id="4" w:name="_Toc283297386"/>
      <w:bookmarkStart w:id="5" w:name="_Toc283297387"/>
      <w:bookmarkStart w:id="6" w:name="_Toc283297388"/>
      <w:bookmarkStart w:id="7" w:name="_Toc283297389"/>
      <w:bookmarkStart w:id="8" w:name="_Toc283297390"/>
      <w:bookmarkStart w:id="9" w:name="_Toc283297392"/>
      <w:bookmarkStart w:id="10" w:name="_Toc283297393"/>
      <w:bookmarkStart w:id="11" w:name="_Toc283297391"/>
      <w:bookmarkStart w:id="12" w:name="_Toc283127527"/>
      <w:r>
        <w:rPr>
          <w:rFonts w:ascii="Times New Roman" w:hAnsi="Times New Roman" w:eastAsia="黑体"/>
          <w:b w:val="0"/>
          <w:sz w:val="24"/>
          <w:szCs w:val="24"/>
        </w:rPr>
        <w:br w:type="page"/>
      </w:r>
      <w:r>
        <w:rPr>
          <w:rFonts w:ascii="Times New Roman" w:hAnsi="Times New Roman" w:eastAsia="黑体"/>
          <w:b w:val="0"/>
          <w:sz w:val="24"/>
          <w:szCs w:val="24"/>
        </w:rPr>
        <w:t>任务来源</w:t>
      </w:r>
      <w:bookmarkEnd w:id="0"/>
    </w:p>
    <w:p>
      <w:pPr>
        <w:spacing w:before="50"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根据国家市场监督管理总局</w:t>
      </w:r>
      <w:r>
        <w:rPr>
          <w:rFonts w:hint="default" w:ascii="Times New Roman" w:hAnsi="Times New Roman" w:cs="Times New Roman"/>
          <w:sz w:val="24"/>
          <w:lang w:val="en-US" w:eastAsia="zh-CN"/>
        </w:rPr>
        <w:t>市监计量发[2024]6月13日所发通知公告“市场监管总局办公厅关于印发2024年国家计量技术规范项目制定、修订及宣贯计划的通知”，</w:t>
      </w:r>
      <w:r>
        <w:rPr>
          <w:rFonts w:hint="default" w:ascii="Times New Roman" w:hAnsi="Times New Roman" w:cs="Times New Roman"/>
          <w:sz w:val="24"/>
        </w:rPr>
        <w:t>《</w:t>
      </w:r>
      <w:r>
        <w:rPr>
          <w:rFonts w:hint="default" w:ascii="Times New Roman" w:hAnsi="Times New Roman" w:cs="Times New Roman"/>
          <w:sz w:val="24"/>
          <w:lang w:val="en-US" w:eastAsia="zh-CN"/>
        </w:rPr>
        <w:t>恒定加力速度建筑材料试验机校准规范</w:t>
      </w:r>
      <w:r>
        <w:rPr>
          <w:rFonts w:hint="default" w:ascii="Times New Roman" w:hAnsi="Times New Roman" w:cs="Times New Roman"/>
          <w:sz w:val="24"/>
        </w:rPr>
        <w:t>》列入202</w:t>
      </w:r>
      <w:r>
        <w:rPr>
          <w:rFonts w:hint="default" w:ascii="Times New Roman" w:hAnsi="Times New Roman" w:cs="Times New Roman"/>
          <w:sz w:val="24"/>
          <w:lang w:val="en-US" w:eastAsia="zh-CN"/>
        </w:rPr>
        <w:t>4</w:t>
      </w:r>
      <w:r>
        <w:rPr>
          <w:rFonts w:hint="default" w:ascii="Times New Roman" w:hAnsi="Times New Roman" w:cs="Times New Roman"/>
          <w:sz w:val="24"/>
        </w:rPr>
        <w:t>年制订计划</w:t>
      </w:r>
      <w:r>
        <w:rPr>
          <w:rFonts w:hint="default" w:ascii="Times New Roman" w:hAnsi="Times New Roman" w:cs="Times New Roman"/>
          <w:sz w:val="24"/>
          <w:lang w:eastAsia="zh-CN"/>
        </w:rPr>
        <w:t>，</w:t>
      </w:r>
      <w:r>
        <w:rPr>
          <w:rFonts w:hint="default" w:ascii="Times New Roman" w:hAnsi="Times New Roman" w:cs="Times New Roman"/>
          <w:sz w:val="24"/>
          <w:lang w:val="en-US" w:eastAsia="zh-CN"/>
        </w:rPr>
        <w:t>计划项目编号为MTC7-2024-02</w:t>
      </w:r>
      <w:r>
        <w:rPr>
          <w:rFonts w:hint="default" w:ascii="Times New Roman" w:hAnsi="Times New Roman" w:cs="Times New Roman"/>
          <w:sz w:val="24"/>
        </w:rPr>
        <w:t>，在归口单位全国力值硬度重力计量技术委员会的领导下，由河南省计量测试科学研究院、</w:t>
      </w:r>
      <w:r>
        <w:rPr>
          <w:rFonts w:hint="default" w:ascii="Times New Roman" w:hAnsi="Times New Roman" w:cs="Times New Roman"/>
          <w:sz w:val="24"/>
          <w:lang w:val="en-US" w:eastAsia="zh-CN"/>
        </w:rPr>
        <w:t>绍兴市肯特机械电子有限公司</w:t>
      </w:r>
      <w:r>
        <w:rPr>
          <w:rFonts w:hint="default" w:ascii="Times New Roman" w:hAnsi="Times New Roman" w:cs="Times New Roman"/>
          <w:sz w:val="24"/>
        </w:rPr>
        <w:t>等单位组成规范起草小组制定本项计量技术规范。</w:t>
      </w:r>
    </w:p>
    <w:p>
      <w:pPr>
        <w:pStyle w:val="2"/>
        <w:numPr>
          <w:ilvl w:val="0"/>
          <w:numId w:val="3"/>
        </w:numPr>
        <w:tabs>
          <w:tab w:val="left" w:pos="425"/>
        </w:tabs>
        <w:spacing w:before="120" w:after="120" w:line="360" w:lineRule="auto"/>
        <w:ind w:left="0" w:firstLine="0"/>
        <w:rPr>
          <w:rFonts w:ascii="Times New Roman" w:hAnsi="Times New Roman" w:eastAsia="黑体"/>
          <w:b w:val="0"/>
          <w:sz w:val="24"/>
          <w:szCs w:val="24"/>
        </w:rPr>
      </w:pPr>
      <w:r>
        <w:rPr>
          <w:rFonts w:ascii="Times New Roman" w:hAnsi="Times New Roman" w:eastAsia="黑体"/>
          <w:b w:val="0"/>
          <w:sz w:val="24"/>
          <w:szCs w:val="24"/>
        </w:rPr>
        <w:t>制订依据</w:t>
      </w:r>
      <w:bookmarkEnd w:id="1"/>
      <w:r>
        <w:rPr>
          <w:rFonts w:ascii="Times New Roman" w:hAnsi="Times New Roman" w:eastAsia="黑体"/>
          <w:b w:val="0"/>
          <w:sz w:val="24"/>
          <w:szCs w:val="24"/>
        </w:rPr>
        <w:t>与过程</w:t>
      </w:r>
    </w:p>
    <w:p>
      <w:pPr>
        <w:numPr>
          <w:ilvl w:val="0"/>
          <w:numId w:val="0"/>
        </w:numPr>
        <w:spacing w:before="50" w:line="360" w:lineRule="auto"/>
        <w:ind w:firstLine="480" w:firstLineChars="200"/>
        <w:rPr>
          <w:rFonts w:hint="default" w:eastAsia="宋体"/>
          <w:sz w:val="24"/>
          <w:lang w:val="en-US" w:eastAsia="zh-CN"/>
        </w:rPr>
      </w:pPr>
      <w:r>
        <w:rPr>
          <w:rFonts w:hint="eastAsia"/>
          <w:sz w:val="24"/>
          <w:lang w:val="en-US" w:eastAsia="zh-CN"/>
        </w:rPr>
        <w:t>恒定加力速度建筑材料试验机是以恒定的加力速度把试验力施加到试样上</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lang w:val="en-US" w:eastAsia="zh-CN"/>
        </w:rPr>
      </w:pPr>
      <w:r>
        <w:rPr>
          <w:rFonts w:hint="eastAsia" w:ascii="黑体" w:hAnsi="宋体"/>
          <w:b w:val="0"/>
          <w:sz w:val="24"/>
          <w:szCs w:val="24"/>
          <w:lang w:val="en-US" w:eastAsia="zh-CN"/>
        </w:rPr>
        <w:t>通过传感器，经信号放大和模数转换器传输到计算机上，根据需要，由计算机控制和显示试验力值，加力速度、时间和力值曲线等参数。是建筑、建材、交通等行业检测水泥、混凝土强度等力学性能的计量仪器。</w:t>
      </w:r>
    </w:p>
    <w:p>
      <w:pPr>
        <w:numPr>
          <w:ilvl w:val="0"/>
          <w:numId w:val="0"/>
        </w:numPr>
        <w:spacing w:before="50" w:line="360" w:lineRule="auto"/>
        <w:ind w:firstLine="480" w:firstLineChars="200"/>
        <w:rPr>
          <w:rFonts w:hint="eastAsia" w:ascii="宋体" w:hAnsi="宋体"/>
          <w:sz w:val="24"/>
          <w:lang w:val="en-US" w:eastAsia="zh-CN"/>
        </w:rPr>
      </w:pPr>
      <w:r>
        <w:rPr>
          <w:rFonts w:hint="eastAsia"/>
          <w:sz w:val="24"/>
          <w:lang w:val="en-US" w:eastAsia="zh-CN"/>
        </w:rPr>
        <w:t>在水泥或混凝土的抗压试验过程中，试验机的加荷速率是影响水泥和混凝土强度测量的主要因素，在GB/T 17671-2021《水泥胶砂强度检验方法》中有明确的规定，需依据JC/T 960-2022《水泥胶砂强度自动压力试验机》中加荷速度的规定，应在（2.4kN±0.2kN）范围内，对在用压力机的加荷速度合格率应大于98%；而在GB/T 50081-2019《混凝土物理力学性能试验方法标准》中，也明确规定试验机应具有加荷速度指示装置或加荷速度控制装置，并能均匀连续地加荷。加荷速度应在</w:t>
      </w:r>
      <w:r>
        <w:rPr>
          <w:rFonts w:hint="default" w:ascii="Times New Roman" w:hAnsi="Times New Roman" w:cs="Times New Roman"/>
          <w:sz w:val="24"/>
          <w:lang w:val="en-US" w:eastAsia="zh-CN"/>
        </w:rPr>
        <w:t>0.3MPa</w:t>
      </w:r>
      <w:r>
        <w:rPr>
          <w:rFonts w:hint="default" w:ascii="Times New Roman" w:hAnsi="Times New Roman" w:cs="Times New Roman"/>
          <w:sz w:val="24"/>
        </w:rPr>
        <w:t>～</w:t>
      </w:r>
      <w:r>
        <w:rPr>
          <w:rFonts w:hint="default" w:ascii="Times New Roman" w:hAnsi="Times New Roman" w:cs="Times New Roman"/>
          <w:sz w:val="24"/>
          <w:lang w:val="en-US" w:eastAsia="zh-CN"/>
        </w:rPr>
        <w:t>1.0Mpa</w:t>
      </w:r>
      <w:r>
        <w:rPr>
          <w:rFonts w:hint="eastAsia" w:ascii="宋体" w:hAnsi="宋体"/>
          <w:sz w:val="24"/>
          <w:lang w:val="en-US" w:eastAsia="zh-CN"/>
        </w:rPr>
        <w:t>范围内，而混凝土的试件的尺寸如下表1所示：</w:t>
      </w:r>
    </w:p>
    <w:p>
      <w:pPr>
        <w:numPr>
          <w:ilvl w:val="0"/>
          <w:numId w:val="0"/>
        </w:numPr>
        <w:spacing w:before="50" w:line="360" w:lineRule="auto"/>
        <w:jc w:val="center"/>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表1 混凝土试件的尺寸类型</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restart"/>
            <w:noWrap w:val="0"/>
            <w:vAlign w:val="top"/>
          </w:tcPr>
          <w:p>
            <w:pPr>
              <w:numPr>
                <w:ilvl w:val="0"/>
                <w:numId w:val="0"/>
              </w:numPr>
              <w:spacing w:before="50" w:line="360" w:lineRule="auto"/>
              <w:jc w:val="center"/>
              <w:rPr>
                <w:rFonts w:hint="eastAsia" w:eastAsia="宋体"/>
                <w:sz w:val="21"/>
                <w:szCs w:val="21"/>
                <w:vertAlign w:val="baseline"/>
                <w:lang w:val="en-US" w:eastAsia="zh-CN"/>
              </w:rPr>
            </w:pPr>
            <w:r>
              <w:rPr>
                <w:rFonts w:hint="eastAsia"/>
                <w:sz w:val="21"/>
                <w:szCs w:val="21"/>
                <w:vertAlign w:val="baseline"/>
                <w:lang w:val="en-US" w:eastAsia="zh-CN"/>
              </w:rPr>
              <w:t>混凝土试件尺寸（立方体）</w:t>
            </w:r>
          </w:p>
        </w:tc>
        <w:tc>
          <w:tcPr>
            <w:tcW w:w="6392" w:type="dxa"/>
            <w:gridSpan w:val="3"/>
            <w:noWrap w:val="0"/>
            <w:vAlign w:val="top"/>
          </w:tcPr>
          <w:p>
            <w:pPr>
              <w:numPr>
                <w:ilvl w:val="0"/>
                <w:numId w:val="0"/>
              </w:numPr>
              <w:spacing w:before="50" w:line="360" w:lineRule="auto"/>
              <w:jc w:val="center"/>
              <w:rPr>
                <w:rFonts w:hint="eastAsia" w:eastAsia="宋体"/>
                <w:sz w:val="21"/>
                <w:szCs w:val="21"/>
                <w:vertAlign w:val="baseline"/>
                <w:lang w:val="en-US" w:eastAsia="zh-CN"/>
              </w:rPr>
            </w:pPr>
            <w:r>
              <w:rPr>
                <w:rFonts w:hint="eastAsia"/>
                <w:sz w:val="21"/>
                <w:szCs w:val="21"/>
                <w:vertAlign w:val="baseline"/>
                <w:lang w:val="en-US" w:eastAsia="zh-CN"/>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noWrap w:val="0"/>
            <w:vAlign w:val="top"/>
          </w:tcPr>
          <w:p>
            <w:pPr>
              <w:numPr>
                <w:ilvl w:val="0"/>
                <w:numId w:val="0"/>
              </w:numPr>
              <w:spacing w:before="50" w:line="360" w:lineRule="auto"/>
              <w:rPr>
                <w:rFonts w:hint="eastAsia"/>
                <w:sz w:val="21"/>
                <w:szCs w:val="21"/>
                <w:vertAlign w:val="baseline"/>
              </w:rPr>
            </w:pPr>
          </w:p>
        </w:tc>
        <w:tc>
          <w:tcPr>
            <w:tcW w:w="2130" w:type="dxa"/>
            <w:noWrap w:val="0"/>
            <w:vAlign w:val="top"/>
          </w:tcPr>
          <w:p>
            <w:pPr>
              <w:numPr>
                <w:ilvl w:val="0"/>
                <w:numId w:val="0"/>
              </w:numPr>
              <w:spacing w:before="50" w:line="360" w:lineRule="auto"/>
              <w:jc w:val="center"/>
              <w:rPr>
                <w:rFonts w:hint="default" w:eastAsia="宋体"/>
                <w:sz w:val="21"/>
                <w:szCs w:val="21"/>
                <w:vertAlign w:val="baseline"/>
                <w:lang w:val="en-US" w:eastAsia="zh-CN"/>
              </w:rPr>
            </w:pPr>
            <w:r>
              <w:rPr>
                <w:rFonts w:hint="eastAsia"/>
                <w:sz w:val="21"/>
                <w:szCs w:val="21"/>
                <w:vertAlign w:val="baseline"/>
                <w:lang w:val="en-US" w:eastAsia="zh-CN"/>
              </w:rPr>
              <w:t>标准件</w:t>
            </w:r>
          </w:p>
        </w:tc>
        <w:tc>
          <w:tcPr>
            <w:tcW w:w="2131" w:type="dxa"/>
            <w:noWrap w:val="0"/>
            <w:vAlign w:val="top"/>
          </w:tcPr>
          <w:p>
            <w:pPr>
              <w:numPr>
                <w:ilvl w:val="0"/>
                <w:numId w:val="0"/>
              </w:numPr>
              <w:spacing w:before="50" w:line="360" w:lineRule="auto"/>
              <w:jc w:val="center"/>
              <w:rPr>
                <w:rFonts w:hint="default" w:eastAsia="宋体"/>
                <w:sz w:val="21"/>
                <w:szCs w:val="21"/>
                <w:vertAlign w:val="baseline"/>
                <w:lang w:val="en-US" w:eastAsia="zh-CN"/>
              </w:rPr>
            </w:pPr>
            <w:r>
              <w:rPr>
                <w:rFonts w:hint="eastAsia"/>
                <w:sz w:val="21"/>
                <w:szCs w:val="21"/>
                <w:vertAlign w:val="baseline"/>
                <w:lang w:val="en-US" w:eastAsia="zh-CN"/>
              </w:rPr>
              <w:t>非标准件1</w:t>
            </w:r>
          </w:p>
        </w:tc>
        <w:tc>
          <w:tcPr>
            <w:tcW w:w="2131" w:type="dxa"/>
            <w:noWrap w:val="0"/>
            <w:vAlign w:val="top"/>
          </w:tcPr>
          <w:p>
            <w:pPr>
              <w:numPr>
                <w:ilvl w:val="0"/>
                <w:numId w:val="0"/>
              </w:numPr>
              <w:spacing w:before="50" w:line="360" w:lineRule="auto"/>
              <w:jc w:val="center"/>
              <w:rPr>
                <w:rFonts w:hint="default" w:eastAsia="宋体"/>
                <w:sz w:val="21"/>
                <w:szCs w:val="21"/>
                <w:vertAlign w:val="baseline"/>
                <w:lang w:val="en-US" w:eastAsia="zh-CN"/>
              </w:rPr>
            </w:pPr>
            <w:r>
              <w:rPr>
                <w:rFonts w:hint="eastAsia"/>
                <w:sz w:val="21"/>
                <w:szCs w:val="21"/>
                <w:vertAlign w:val="baseline"/>
                <w:lang w:val="en-US" w:eastAsia="zh-CN"/>
              </w:rPr>
              <w:t>非标准件2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0"/>
            <w:vAlign w:val="top"/>
          </w:tcPr>
          <w:p>
            <w:pPr>
              <w:numPr>
                <w:ilvl w:val="0"/>
                <w:numId w:val="0"/>
              </w:numPr>
              <w:spacing w:before="50" w:line="360" w:lineRule="auto"/>
              <w:jc w:val="center"/>
              <w:rPr>
                <w:rFonts w:hint="eastAsia" w:eastAsia="宋体"/>
                <w:sz w:val="21"/>
                <w:szCs w:val="21"/>
                <w:vertAlign w:val="baseline"/>
                <w:lang w:val="en-US" w:eastAsia="zh-CN"/>
              </w:rPr>
            </w:pPr>
            <w:r>
              <w:rPr>
                <w:rFonts w:hint="eastAsia"/>
                <w:sz w:val="21"/>
                <w:szCs w:val="21"/>
                <w:vertAlign w:val="baseline"/>
                <w:lang w:val="en-US" w:eastAsia="zh-CN"/>
              </w:rPr>
              <w:t>边长</w:t>
            </w:r>
          </w:p>
        </w:tc>
        <w:tc>
          <w:tcPr>
            <w:tcW w:w="2130" w:type="dxa"/>
            <w:noWrap w:val="0"/>
            <w:vAlign w:val="top"/>
          </w:tcPr>
          <w:p>
            <w:pPr>
              <w:numPr>
                <w:ilvl w:val="0"/>
                <w:numId w:val="0"/>
              </w:numPr>
              <w:spacing w:before="50" w:line="360" w:lineRule="auto"/>
              <w:jc w:val="center"/>
              <w:rPr>
                <w:rFonts w:hint="default" w:eastAsia="宋体"/>
                <w:sz w:val="21"/>
                <w:szCs w:val="21"/>
                <w:vertAlign w:val="baseline"/>
                <w:lang w:val="en-US" w:eastAsia="zh-CN"/>
              </w:rPr>
            </w:pPr>
            <w:r>
              <w:rPr>
                <w:rFonts w:hint="eastAsia"/>
                <w:sz w:val="21"/>
                <w:szCs w:val="21"/>
                <w:vertAlign w:val="baseline"/>
                <w:lang w:val="en-US" w:eastAsia="zh-CN"/>
              </w:rPr>
              <w:t>150mm</w:t>
            </w:r>
          </w:p>
        </w:tc>
        <w:tc>
          <w:tcPr>
            <w:tcW w:w="2131" w:type="dxa"/>
            <w:noWrap w:val="0"/>
            <w:vAlign w:val="top"/>
          </w:tcPr>
          <w:p>
            <w:pPr>
              <w:numPr>
                <w:ilvl w:val="0"/>
                <w:numId w:val="0"/>
              </w:numPr>
              <w:spacing w:before="50" w:line="360" w:lineRule="auto"/>
              <w:jc w:val="center"/>
              <w:rPr>
                <w:rFonts w:hint="eastAsia"/>
                <w:sz w:val="21"/>
                <w:szCs w:val="21"/>
                <w:vertAlign w:val="baseline"/>
              </w:rPr>
            </w:pPr>
            <w:r>
              <w:rPr>
                <w:rFonts w:hint="eastAsia"/>
                <w:sz w:val="21"/>
                <w:szCs w:val="21"/>
                <w:vertAlign w:val="baseline"/>
                <w:lang w:val="en-US" w:eastAsia="zh-CN"/>
              </w:rPr>
              <w:t>100mm</w:t>
            </w:r>
          </w:p>
        </w:tc>
        <w:tc>
          <w:tcPr>
            <w:tcW w:w="2131" w:type="dxa"/>
            <w:noWrap w:val="0"/>
            <w:vAlign w:val="top"/>
          </w:tcPr>
          <w:p>
            <w:pPr>
              <w:numPr>
                <w:ilvl w:val="0"/>
                <w:numId w:val="0"/>
              </w:numPr>
              <w:spacing w:before="50" w:line="360" w:lineRule="auto"/>
              <w:jc w:val="center"/>
              <w:rPr>
                <w:rFonts w:hint="eastAsia"/>
                <w:sz w:val="21"/>
                <w:szCs w:val="21"/>
                <w:vertAlign w:val="baseline"/>
              </w:rPr>
            </w:pPr>
            <w:r>
              <w:rPr>
                <w:rFonts w:hint="eastAsia"/>
                <w:sz w:val="21"/>
                <w:szCs w:val="21"/>
                <w:vertAlign w:val="baseline"/>
                <w:lang w:val="en-US" w:eastAsia="zh-CN"/>
              </w:rPr>
              <w:t>200mm</w:t>
            </w:r>
          </w:p>
        </w:tc>
      </w:tr>
    </w:tbl>
    <w:p>
      <w:pPr>
        <w:numPr>
          <w:ilvl w:val="0"/>
          <w:numId w:val="0"/>
        </w:numPr>
        <w:spacing w:before="50" w:line="360" w:lineRule="auto"/>
        <w:rPr>
          <w:rFonts w:hint="eastAsia"/>
          <w:sz w:val="24"/>
          <w:lang w:val="en-US" w:eastAsia="zh-CN"/>
        </w:rPr>
      </w:pPr>
      <w:r>
        <w:rPr>
          <w:rFonts w:hint="eastAsia"/>
          <w:sz w:val="24"/>
          <w:lang w:val="en-US" w:eastAsia="zh-CN"/>
        </w:rPr>
        <w:t>根据GB/T 50081-2019中要求的加荷速度范围，可计算出对应的加力速度的范围</w:t>
      </w:r>
    </w:p>
    <w:p>
      <w:pPr>
        <w:numPr>
          <w:ilvl w:val="0"/>
          <w:numId w:val="0"/>
        </w:numPr>
        <w:spacing w:before="50" w:line="360" w:lineRule="auto"/>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表2 混凝土试件的加荷速率范围</w:t>
      </w:r>
    </w:p>
    <w:p>
      <w:pPr>
        <w:numPr>
          <w:ilvl w:val="0"/>
          <w:numId w:val="0"/>
        </w:numPr>
        <w:spacing w:before="50" w:line="360" w:lineRule="auto"/>
        <w:jc w:val="center"/>
        <w:rPr>
          <w:rFonts w:hint="eastAsia" w:ascii="黑体" w:hAnsi="黑体" w:eastAsia="黑体" w:cs="黑体"/>
          <w:sz w:val="21"/>
          <w:szCs w:val="21"/>
          <w:lang w:val="en-US" w:eastAsia="zh-CN"/>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restart"/>
            <w:noWrap w:val="0"/>
            <w:vAlign w:val="top"/>
          </w:tcPr>
          <w:p>
            <w:pPr>
              <w:numPr>
                <w:ilvl w:val="0"/>
                <w:numId w:val="0"/>
              </w:numPr>
              <w:spacing w:before="50" w:line="360" w:lineRule="auto"/>
              <w:jc w:val="center"/>
              <w:rPr>
                <w:rFonts w:hint="eastAsia" w:eastAsia="宋体"/>
                <w:sz w:val="21"/>
                <w:szCs w:val="21"/>
                <w:vertAlign w:val="baseline"/>
                <w:lang w:val="en-US" w:eastAsia="zh-CN"/>
              </w:rPr>
            </w:pPr>
            <w:r>
              <w:rPr>
                <w:rFonts w:hint="eastAsia"/>
                <w:sz w:val="21"/>
                <w:szCs w:val="21"/>
                <w:vertAlign w:val="baseline"/>
                <w:lang w:val="en-US" w:eastAsia="zh-CN"/>
              </w:rPr>
              <w:t>混凝土试件尺寸（立方体）</w:t>
            </w:r>
          </w:p>
        </w:tc>
        <w:tc>
          <w:tcPr>
            <w:tcW w:w="6392" w:type="dxa"/>
            <w:gridSpan w:val="3"/>
            <w:noWrap w:val="0"/>
            <w:vAlign w:val="top"/>
          </w:tcPr>
          <w:p>
            <w:pPr>
              <w:numPr>
                <w:ilvl w:val="0"/>
                <w:numId w:val="0"/>
              </w:numPr>
              <w:spacing w:before="50" w:line="360" w:lineRule="auto"/>
              <w:jc w:val="center"/>
              <w:rPr>
                <w:rFonts w:hint="eastAsia" w:eastAsia="宋体"/>
                <w:sz w:val="21"/>
                <w:szCs w:val="21"/>
                <w:vertAlign w:val="baseline"/>
                <w:lang w:val="en-US" w:eastAsia="zh-CN"/>
              </w:rPr>
            </w:pPr>
            <w:r>
              <w:rPr>
                <w:rFonts w:hint="eastAsia"/>
                <w:sz w:val="21"/>
                <w:szCs w:val="21"/>
                <w:vertAlign w:val="baseline"/>
                <w:lang w:val="en-US" w:eastAsia="zh-CN"/>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noWrap w:val="0"/>
            <w:vAlign w:val="top"/>
          </w:tcPr>
          <w:p>
            <w:pPr>
              <w:numPr>
                <w:ilvl w:val="0"/>
                <w:numId w:val="0"/>
              </w:numPr>
              <w:spacing w:before="50" w:line="360" w:lineRule="auto"/>
              <w:rPr>
                <w:rFonts w:hint="eastAsia"/>
                <w:sz w:val="21"/>
                <w:szCs w:val="21"/>
                <w:vertAlign w:val="baseline"/>
              </w:rPr>
            </w:pPr>
          </w:p>
        </w:tc>
        <w:tc>
          <w:tcPr>
            <w:tcW w:w="2130" w:type="dxa"/>
            <w:noWrap w:val="0"/>
            <w:vAlign w:val="top"/>
          </w:tcPr>
          <w:p>
            <w:pPr>
              <w:numPr>
                <w:ilvl w:val="0"/>
                <w:numId w:val="0"/>
              </w:numPr>
              <w:spacing w:before="50" w:line="360" w:lineRule="auto"/>
              <w:jc w:val="center"/>
              <w:rPr>
                <w:rFonts w:hint="default" w:eastAsia="宋体"/>
                <w:sz w:val="21"/>
                <w:szCs w:val="21"/>
                <w:vertAlign w:val="baseline"/>
                <w:lang w:val="en-US" w:eastAsia="zh-CN"/>
              </w:rPr>
            </w:pPr>
            <w:r>
              <w:rPr>
                <w:rFonts w:hint="eastAsia"/>
                <w:sz w:val="21"/>
                <w:szCs w:val="21"/>
                <w:vertAlign w:val="baseline"/>
                <w:lang w:val="en-US" w:eastAsia="zh-CN"/>
              </w:rPr>
              <w:t>标准件</w:t>
            </w:r>
          </w:p>
        </w:tc>
        <w:tc>
          <w:tcPr>
            <w:tcW w:w="2131" w:type="dxa"/>
            <w:noWrap w:val="0"/>
            <w:vAlign w:val="top"/>
          </w:tcPr>
          <w:p>
            <w:pPr>
              <w:numPr>
                <w:ilvl w:val="0"/>
                <w:numId w:val="0"/>
              </w:numPr>
              <w:spacing w:before="50" w:line="360" w:lineRule="auto"/>
              <w:jc w:val="center"/>
              <w:rPr>
                <w:rFonts w:hint="default" w:eastAsia="宋体"/>
                <w:sz w:val="21"/>
                <w:szCs w:val="21"/>
                <w:vertAlign w:val="baseline"/>
                <w:lang w:val="en-US" w:eastAsia="zh-CN"/>
              </w:rPr>
            </w:pPr>
            <w:r>
              <w:rPr>
                <w:rFonts w:hint="eastAsia"/>
                <w:sz w:val="21"/>
                <w:szCs w:val="21"/>
                <w:vertAlign w:val="baseline"/>
                <w:lang w:val="en-US" w:eastAsia="zh-CN"/>
              </w:rPr>
              <w:t>非标准件1</w:t>
            </w:r>
          </w:p>
        </w:tc>
        <w:tc>
          <w:tcPr>
            <w:tcW w:w="2131" w:type="dxa"/>
            <w:noWrap w:val="0"/>
            <w:vAlign w:val="top"/>
          </w:tcPr>
          <w:p>
            <w:pPr>
              <w:numPr>
                <w:ilvl w:val="0"/>
                <w:numId w:val="0"/>
              </w:numPr>
              <w:spacing w:before="50" w:line="360" w:lineRule="auto"/>
              <w:jc w:val="center"/>
              <w:rPr>
                <w:rFonts w:hint="default" w:eastAsia="宋体"/>
                <w:sz w:val="21"/>
                <w:szCs w:val="21"/>
                <w:vertAlign w:val="baseline"/>
                <w:lang w:val="en-US" w:eastAsia="zh-CN"/>
              </w:rPr>
            </w:pPr>
            <w:r>
              <w:rPr>
                <w:rFonts w:hint="eastAsia"/>
                <w:sz w:val="21"/>
                <w:szCs w:val="21"/>
                <w:vertAlign w:val="baseline"/>
                <w:lang w:val="en-US" w:eastAsia="zh-CN"/>
              </w:rPr>
              <w:t>非标准件2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0"/>
            <w:vAlign w:val="center"/>
          </w:tcPr>
          <w:p>
            <w:pPr>
              <w:numPr>
                <w:ilvl w:val="0"/>
                <w:numId w:val="0"/>
              </w:numPr>
              <w:spacing w:before="50" w:line="360" w:lineRule="auto"/>
              <w:jc w:val="center"/>
              <w:rPr>
                <w:rFonts w:hint="eastAsia" w:eastAsia="宋体"/>
                <w:sz w:val="21"/>
                <w:szCs w:val="21"/>
                <w:vertAlign w:val="baseline"/>
                <w:lang w:val="en-US" w:eastAsia="zh-CN"/>
              </w:rPr>
            </w:pPr>
            <w:r>
              <w:rPr>
                <w:rFonts w:hint="eastAsia"/>
                <w:sz w:val="21"/>
                <w:szCs w:val="21"/>
                <w:vertAlign w:val="baseline"/>
                <w:lang w:val="en-US" w:eastAsia="zh-CN"/>
              </w:rPr>
              <w:t>边长</w:t>
            </w:r>
          </w:p>
        </w:tc>
        <w:tc>
          <w:tcPr>
            <w:tcW w:w="2130" w:type="dxa"/>
            <w:noWrap w:val="0"/>
            <w:vAlign w:val="top"/>
          </w:tcPr>
          <w:p>
            <w:pPr>
              <w:numPr>
                <w:ilvl w:val="0"/>
                <w:numId w:val="0"/>
              </w:numPr>
              <w:spacing w:before="50" w:line="360" w:lineRule="auto"/>
              <w:jc w:val="center"/>
              <w:rPr>
                <w:rFonts w:hint="default" w:eastAsia="宋体"/>
                <w:sz w:val="21"/>
                <w:szCs w:val="21"/>
                <w:vertAlign w:val="baseline"/>
                <w:lang w:val="en-US" w:eastAsia="zh-CN"/>
              </w:rPr>
            </w:pPr>
            <w:r>
              <w:rPr>
                <w:rFonts w:hint="eastAsia"/>
                <w:sz w:val="21"/>
                <w:szCs w:val="21"/>
                <w:vertAlign w:val="baseline"/>
                <w:lang w:val="en-US" w:eastAsia="zh-CN"/>
              </w:rPr>
              <w:t>150mm</w:t>
            </w:r>
          </w:p>
        </w:tc>
        <w:tc>
          <w:tcPr>
            <w:tcW w:w="2131" w:type="dxa"/>
            <w:noWrap w:val="0"/>
            <w:vAlign w:val="top"/>
          </w:tcPr>
          <w:p>
            <w:pPr>
              <w:numPr>
                <w:ilvl w:val="0"/>
                <w:numId w:val="0"/>
              </w:numPr>
              <w:spacing w:before="50" w:line="360" w:lineRule="auto"/>
              <w:jc w:val="center"/>
              <w:rPr>
                <w:rFonts w:hint="eastAsia"/>
                <w:sz w:val="21"/>
                <w:szCs w:val="21"/>
                <w:vertAlign w:val="baseline"/>
              </w:rPr>
            </w:pPr>
            <w:r>
              <w:rPr>
                <w:rFonts w:hint="eastAsia"/>
                <w:sz w:val="21"/>
                <w:szCs w:val="21"/>
                <w:vertAlign w:val="baseline"/>
                <w:lang w:val="en-US" w:eastAsia="zh-CN"/>
              </w:rPr>
              <w:t>100mm</w:t>
            </w:r>
          </w:p>
        </w:tc>
        <w:tc>
          <w:tcPr>
            <w:tcW w:w="2131" w:type="dxa"/>
            <w:noWrap w:val="0"/>
            <w:vAlign w:val="top"/>
          </w:tcPr>
          <w:p>
            <w:pPr>
              <w:numPr>
                <w:ilvl w:val="0"/>
                <w:numId w:val="0"/>
              </w:numPr>
              <w:spacing w:before="50" w:line="360" w:lineRule="auto"/>
              <w:jc w:val="center"/>
              <w:rPr>
                <w:rFonts w:hint="eastAsia"/>
                <w:sz w:val="21"/>
                <w:szCs w:val="21"/>
                <w:vertAlign w:val="baseline"/>
              </w:rPr>
            </w:pPr>
            <w:r>
              <w:rPr>
                <w:rFonts w:hint="eastAsia"/>
                <w:sz w:val="21"/>
                <w:szCs w:val="21"/>
                <w:vertAlign w:val="baseline"/>
                <w:lang w:val="en-US" w:eastAsia="zh-CN"/>
              </w:rPr>
              <w:t>200mm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0"/>
            <w:vAlign w:val="center"/>
          </w:tcPr>
          <w:p>
            <w:pPr>
              <w:numPr>
                <w:ilvl w:val="0"/>
                <w:numId w:val="0"/>
              </w:numPr>
              <w:spacing w:before="50" w:line="360" w:lineRule="auto"/>
              <w:jc w:val="center"/>
              <w:rPr>
                <w:rFonts w:hint="default"/>
                <w:sz w:val="21"/>
                <w:szCs w:val="21"/>
                <w:vertAlign w:val="baseline"/>
                <w:lang w:val="en-US" w:eastAsia="zh-CN"/>
              </w:rPr>
            </w:pPr>
            <w:r>
              <w:rPr>
                <w:rFonts w:hint="eastAsia"/>
                <w:sz w:val="21"/>
                <w:szCs w:val="21"/>
                <w:vertAlign w:val="baseline"/>
                <w:lang w:val="en-US" w:eastAsia="zh-CN"/>
              </w:rPr>
              <w:t>加荷速率范围</w:t>
            </w:r>
          </w:p>
        </w:tc>
        <w:tc>
          <w:tcPr>
            <w:tcW w:w="2130" w:type="dxa"/>
            <w:noWrap w:val="0"/>
            <w:vAlign w:val="top"/>
          </w:tcPr>
          <w:p>
            <w:pPr>
              <w:numPr>
                <w:ilvl w:val="0"/>
                <w:numId w:val="0"/>
              </w:numPr>
              <w:spacing w:before="50" w:line="360" w:lineRule="auto"/>
              <w:jc w:val="center"/>
              <w:rPr>
                <w:rFonts w:hint="default" w:cs="Times New Roman"/>
                <w:sz w:val="21"/>
                <w:szCs w:val="21"/>
                <w:lang w:val="en-US" w:eastAsia="zh-CN"/>
              </w:rPr>
            </w:pPr>
            <w:bookmarkStart w:id="13" w:name="OLE_LINK2"/>
            <w:r>
              <w:rPr>
                <w:rFonts w:hint="eastAsia"/>
                <w:sz w:val="21"/>
                <w:szCs w:val="21"/>
                <w:vertAlign w:val="baseline"/>
                <w:lang w:val="en-US" w:eastAsia="zh-CN"/>
              </w:rPr>
              <w:t>6750N/s</w:t>
            </w:r>
            <w:r>
              <w:rPr>
                <w:rFonts w:hint="default" w:ascii="Times New Roman" w:hAnsi="Times New Roman" w:cs="Times New Roman"/>
                <w:sz w:val="21"/>
                <w:szCs w:val="21"/>
              </w:rPr>
              <w:t>～</w:t>
            </w:r>
            <w:r>
              <w:rPr>
                <w:rFonts w:hint="eastAsia" w:cs="Times New Roman"/>
                <w:sz w:val="21"/>
                <w:szCs w:val="21"/>
                <w:lang w:val="en-US" w:eastAsia="zh-CN"/>
              </w:rPr>
              <w:t>22500N/s</w:t>
            </w:r>
            <w:bookmarkEnd w:id="13"/>
          </w:p>
        </w:tc>
        <w:tc>
          <w:tcPr>
            <w:tcW w:w="2131" w:type="dxa"/>
            <w:noWrap w:val="0"/>
            <w:vAlign w:val="top"/>
          </w:tcPr>
          <w:p>
            <w:pPr>
              <w:numPr>
                <w:ilvl w:val="0"/>
                <w:numId w:val="0"/>
              </w:numPr>
              <w:spacing w:before="50" w:line="360" w:lineRule="auto"/>
              <w:jc w:val="center"/>
              <w:rPr>
                <w:rFonts w:hint="default"/>
                <w:sz w:val="21"/>
                <w:szCs w:val="21"/>
                <w:vertAlign w:val="baseline"/>
                <w:lang w:val="en-US" w:eastAsia="zh-CN"/>
              </w:rPr>
            </w:pPr>
            <w:r>
              <w:rPr>
                <w:rFonts w:hint="eastAsia"/>
                <w:sz w:val="21"/>
                <w:szCs w:val="21"/>
                <w:vertAlign w:val="baseline"/>
                <w:lang w:val="en-US" w:eastAsia="zh-CN"/>
              </w:rPr>
              <w:t>3000N/s</w:t>
            </w:r>
            <w:r>
              <w:rPr>
                <w:rFonts w:hint="default" w:ascii="Times New Roman" w:hAnsi="Times New Roman" w:cs="Times New Roman"/>
                <w:sz w:val="21"/>
                <w:szCs w:val="21"/>
              </w:rPr>
              <w:t>～</w:t>
            </w:r>
            <w:r>
              <w:rPr>
                <w:rFonts w:hint="eastAsia" w:cs="Times New Roman"/>
                <w:sz w:val="21"/>
                <w:szCs w:val="21"/>
                <w:lang w:val="en-US" w:eastAsia="zh-CN"/>
              </w:rPr>
              <w:t>10000N/s</w:t>
            </w:r>
          </w:p>
        </w:tc>
        <w:tc>
          <w:tcPr>
            <w:tcW w:w="2131" w:type="dxa"/>
            <w:noWrap w:val="0"/>
            <w:vAlign w:val="top"/>
          </w:tcPr>
          <w:p>
            <w:pPr>
              <w:numPr>
                <w:ilvl w:val="0"/>
                <w:numId w:val="0"/>
              </w:numPr>
              <w:spacing w:before="50" w:line="360" w:lineRule="auto"/>
              <w:jc w:val="center"/>
              <w:rPr>
                <w:rFonts w:hint="eastAsia"/>
                <w:sz w:val="21"/>
                <w:szCs w:val="21"/>
                <w:vertAlign w:val="baseline"/>
                <w:lang w:val="en-US" w:eastAsia="zh-CN"/>
              </w:rPr>
            </w:pPr>
            <w:r>
              <w:rPr>
                <w:rFonts w:hint="eastAsia"/>
                <w:sz w:val="21"/>
                <w:szCs w:val="21"/>
                <w:vertAlign w:val="baseline"/>
                <w:lang w:val="en-US" w:eastAsia="zh-CN"/>
              </w:rPr>
              <w:t>12000N/s</w:t>
            </w:r>
            <w:r>
              <w:rPr>
                <w:rFonts w:hint="default" w:ascii="Times New Roman" w:hAnsi="Times New Roman" w:cs="Times New Roman"/>
                <w:sz w:val="21"/>
                <w:szCs w:val="21"/>
              </w:rPr>
              <w:t>～</w:t>
            </w:r>
            <w:r>
              <w:rPr>
                <w:rFonts w:hint="eastAsia" w:cs="Times New Roman"/>
                <w:sz w:val="21"/>
                <w:szCs w:val="21"/>
                <w:lang w:val="en-US" w:eastAsia="zh-CN"/>
              </w:rPr>
              <w:t>22500N/s</w:t>
            </w:r>
          </w:p>
        </w:tc>
      </w:tr>
    </w:tbl>
    <w:p>
      <w:pPr>
        <w:spacing w:before="50" w:line="360" w:lineRule="auto"/>
        <w:ind w:firstLine="573"/>
        <w:jc w:val="left"/>
        <w:rPr>
          <w:rFonts w:hint="eastAsia"/>
          <w:sz w:val="24"/>
        </w:rPr>
      </w:pPr>
      <w:r>
        <w:rPr>
          <w:rFonts w:hint="eastAsia"/>
          <w:sz w:val="24"/>
        </w:rPr>
        <w:t>此规范的制定在全国层面上可以为此类设备的校准提供依据，通过规定的校准方法和规定的标准器对</w:t>
      </w:r>
      <w:r>
        <w:rPr>
          <w:rFonts w:hint="eastAsia"/>
          <w:sz w:val="24"/>
          <w:lang w:val="en-US" w:eastAsia="zh-CN"/>
        </w:rPr>
        <w:t>恒定加力速度建筑材料试验机</w:t>
      </w:r>
      <w:r>
        <w:rPr>
          <w:rFonts w:hint="eastAsia"/>
          <w:sz w:val="24"/>
        </w:rPr>
        <w:t>进行全方位的计量特性评价，确保此类设备得到正确评价，保证线材扭转试验机的检测质量，也能促使生产厂家提高生产质量。</w:t>
      </w:r>
    </w:p>
    <w:p>
      <w:pPr>
        <w:spacing w:before="50" w:line="360" w:lineRule="auto"/>
        <w:ind w:firstLine="480"/>
        <w:rPr>
          <w:rFonts w:hint="eastAsia"/>
          <w:sz w:val="24"/>
        </w:rPr>
      </w:pPr>
      <w:r>
        <w:rPr>
          <w:rFonts w:hint="eastAsia"/>
          <w:sz w:val="24"/>
        </w:rPr>
        <w:t>规范起草任务下达后，起草小组在原有申报项目时资料的基础上，重新对相应资料进行了检索，并与国内相关生产厂商进行沟通，详细了解国家标准、行业标准在生产过程中的工艺和计量参数具体实现。</w:t>
      </w:r>
    </w:p>
    <w:p>
      <w:pPr>
        <w:pStyle w:val="41"/>
        <w:spacing w:line="360" w:lineRule="auto"/>
        <w:ind w:firstLine="480"/>
        <w:rPr>
          <w:rFonts w:ascii="Times New Roman"/>
          <w:color w:val="000000"/>
          <w:sz w:val="24"/>
          <w:szCs w:val="24"/>
        </w:rPr>
      </w:pPr>
      <w:r>
        <w:rPr>
          <w:rFonts w:hint="eastAsia"/>
          <w:sz w:val="24"/>
        </w:rPr>
        <w:t>校准方法和标准器的选取是规范制订的重要部分，应该既有先进性，又有广泛性，</w:t>
      </w:r>
      <w:r>
        <w:rPr>
          <w:rFonts w:hint="eastAsia" w:ascii="Times New Roman"/>
          <w:color w:val="000000"/>
          <w:sz w:val="24"/>
          <w:szCs w:val="24"/>
        </w:rPr>
        <w:t xml:space="preserve">编制组在制定过程中，力求按照以下原则，完成规范的起草工作： </w:t>
      </w:r>
    </w:p>
    <w:p>
      <w:pPr>
        <w:spacing w:line="360" w:lineRule="auto"/>
        <w:ind w:firstLine="480" w:firstLineChars="200"/>
        <w:rPr>
          <w:rFonts w:ascii="宋体" w:hAnsi="宋体"/>
          <w:color w:val="000000"/>
          <w:sz w:val="24"/>
        </w:rPr>
      </w:pPr>
      <w:r>
        <w:rPr>
          <w:rFonts w:hint="eastAsia" w:ascii="宋体" w:hAnsi="宋体"/>
          <w:color w:val="000000"/>
          <w:sz w:val="24"/>
        </w:rPr>
        <w:t>a）力求与国家计量技术规范、国家标准、行业标准接轨，保证其具有先进性、法制性和一致性，国家标准和行业标准要求的制造工艺的参数方面，为了保证计量技术规范可操作性，也进行了一些参数的删减，</w:t>
      </w:r>
    </w:p>
    <w:p>
      <w:pPr>
        <w:spacing w:line="360" w:lineRule="auto"/>
        <w:ind w:firstLine="480" w:firstLineChars="200"/>
        <w:rPr>
          <w:rFonts w:ascii="宋体" w:hAnsi="宋体"/>
          <w:color w:val="000000"/>
          <w:sz w:val="24"/>
        </w:rPr>
      </w:pPr>
      <w:r>
        <w:rPr>
          <w:rFonts w:hint="eastAsia" w:ascii="宋体" w:hAnsi="宋体"/>
          <w:color w:val="000000"/>
          <w:sz w:val="24"/>
        </w:rPr>
        <w:t>b）在校准用计量标准器的选择上，综合考虑符合量值溯源要求、易于获取、便于量值溯源、经济实用、性能可靠等因素；</w:t>
      </w:r>
    </w:p>
    <w:p>
      <w:pPr>
        <w:spacing w:line="360" w:lineRule="auto"/>
        <w:ind w:firstLine="480" w:firstLineChars="200"/>
        <w:rPr>
          <w:rFonts w:ascii="宋体" w:hAnsi="宋体"/>
          <w:color w:val="000000"/>
          <w:sz w:val="24"/>
        </w:rPr>
      </w:pPr>
      <w:r>
        <w:rPr>
          <w:rFonts w:hint="eastAsia" w:ascii="宋体" w:hAnsi="宋体"/>
          <w:color w:val="000000"/>
          <w:sz w:val="24"/>
        </w:rPr>
        <w:t>c）在校准方法的设计上，既要能体现出主要的技术指标，又力求实用、操作简便、可行；</w:t>
      </w:r>
    </w:p>
    <w:p>
      <w:pPr>
        <w:tabs>
          <w:tab w:val="left" w:pos="1440"/>
        </w:tabs>
        <w:spacing w:line="360" w:lineRule="auto"/>
        <w:ind w:firstLine="480" w:firstLineChars="200"/>
        <w:rPr>
          <w:rFonts w:ascii="宋体" w:hAnsi="宋体"/>
          <w:color w:val="000000"/>
          <w:sz w:val="24"/>
        </w:rPr>
      </w:pPr>
      <w:r>
        <w:rPr>
          <w:rFonts w:ascii="宋体" w:hAnsi="宋体"/>
          <w:color w:val="000000"/>
          <w:sz w:val="24"/>
        </w:rPr>
        <w:t>本规范的编写格式是按照JJF</w:t>
      </w:r>
      <w:r>
        <w:rPr>
          <w:rFonts w:hint="eastAsia" w:ascii="宋体" w:hAnsi="宋体"/>
          <w:color w:val="000000"/>
          <w:sz w:val="24"/>
        </w:rPr>
        <w:t xml:space="preserve"> </w:t>
      </w:r>
      <w:r>
        <w:rPr>
          <w:rFonts w:ascii="宋体" w:hAnsi="宋体"/>
          <w:color w:val="000000"/>
          <w:sz w:val="24"/>
        </w:rPr>
        <w:t>1071-2010《国家计量校准规范编写规则》进行编写，并以JJF</w:t>
      </w:r>
      <w:r>
        <w:rPr>
          <w:rFonts w:hint="eastAsia" w:ascii="宋体" w:hAnsi="宋体"/>
          <w:color w:val="000000"/>
          <w:sz w:val="24"/>
        </w:rPr>
        <w:t xml:space="preserve"> </w:t>
      </w:r>
      <w:r>
        <w:rPr>
          <w:rFonts w:ascii="宋体" w:hAnsi="宋体"/>
          <w:color w:val="000000"/>
          <w:sz w:val="24"/>
        </w:rPr>
        <w:t>1001-2011《通用计量术语及定义》和JJF1059.1-2012《测量不确定度评定与表示》为基础性系列规范进行起草。本规范</w:t>
      </w:r>
      <w:r>
        <w:rPr>
          <w:rFonts w:hint="eastAsia" w:ascii="宋体" w:hAnsi="宋体"/>
          <w:color w:val="000000"/>
          <w:sz w:val="24"/>
        </w:rPr>
        <w:t>的计量特性要求主要参考了</w:t>
      </w:r>
      <w:r>
        <w:rPr>
          <w:rFonts w:hint="eastAsia"/>
          <w:sz w:val="24"/>
        </w:rPr>
        <w:t>GB/T 17671-</w:t>
      </w:r>
      <w:r>
        <w:rPr>
          <w:rFonts w:hint="eastAsia"/>
          <w:sz w:val="24"/>
          <w:lang w:val="en-US" w:eastAsia="zh-CN"/>
        </w:rPr>
        <w:t>2021</w:t>
      </w:r>
      <w:r>
        <w:rPr>
          <w:rFonts w:hint="eastAsia"/>
          <w:sz w:val="24"/>
        </w:rPr>
        <w:t xml:space="preserve"> </w:t>
      </w:r>
      <w:r>
        <w:rPr>
          <w:rFonts w:hint="eastAsia"/>
          <w:sz w:val="24"/>
          <w:lang w:eastAsia="zh-CN"/>
        </w:rPr>
        <w:t>《</w:t>
      </w:r>
      <w:r>
        <w:rPr>
          <w:rFonts w:hint="eastAsia"/>
          <w:sz w:val="24"/>
        </w:rPr>
        <w:t>水泥胶砂强度检验方法(ISO法)</w:t>
      </w:r>
      <w:r>
        <w:rPr>
          <w:rFonts w:hint="eastAsia"/>
          <w:sz w:val="24"/>
          <w:lang w:eastAsia="zh-CN"/>
        </w:rPr>
        <w:t>》、</w:t>
      </w:r>
      <w:r>
        <w:rPr>
          <w:rFonts w:hint="eastAsia"/>
          <w:sz w:val="24"/>
          <w:lang w:val="en-US" w:eastAsia="zh-CN"/>
        </w:rPr>
        <w:t>GB/T 《50081-2019 混凝土物理力学性能试验方法标准》、JC/T 960-2022 《水泥胶砂强度自动压力试验机》</w:t>
      </w:r>
    </w:p>
    <w:p>
      <w:pPr>
        <w:tabs>
          <w:tab w:val="left" w:pos="1440"/>
        </w:tabs>
        <w:spacing w:line="360" w:lineRule="auto"/>
        <w:ind w:firstLine="480" w:firstLineChars="200"/>
        <w:rPr>
          <w:rFonts w:hint="eastAsia"/>
          <w:sz w:val="24"/>
        </w:rPr>
      </w:pPr>
      <w:r>
        <w:rPr>
          <w:rFonts w:hint="eastAsia" w:ascii="宋体" w:hAnsi="宋体"/>
          <w:color w:val="000000"/>
          <w:sz w:val="24"/>
        </w:rPr>
        <w:t>需要重点说明的是，在近些年的规范编制中，很多专家都表述标准规定的一些工艺要求类的技术参数，是约束厂商的生产行为，没必要在计量技术规范编制中规定作为校准参数，或者在校准后破坏了被校设备，如硬度参数等，因此本规范与</w:t>
      </w:r>
      <w:r>
        <w:rPr>
          <w:rFonts w:hint="eastAsia"/>
          <w:sz w:val="24"/>
          <w:lang w:val="en-US" w:eastAsia="zh-CN"/>
        </w:rPr>
        <w:t>GB/T 《50081-2019 混凝土物理力学性能试验方法标准》、JC/T 960-2022 《水泥胶砂强度自动压力试验机》</w:t>
      </w:r>
      <w:r>
        <w:rPr>
          <w:rFonts w:hint="eastAsia" w:ascii="宋体" w:hAnsi="宋体"/>
          <w:color w:val="000000"/>
          <w:sz w:val="24"/>
        </w:rPr>
        <w:t>不一致的地方是，本规范删减了与计量性能无关的参数，如</w:t>
      </w:r>
      <w:r>
        <w:rPr>
          <w:rFonts w:hint="eastAsia" w:ascii="宋体" w:hAnsi="宋体"/>
          <w:color w:val="000000"/>
          <w:sz w:val="24"/>
          <w:lang w:val="en-US" w:eastAsia="zh-CN"/>
        </w:rPr>
        <w:t>试验机压板表面粗糙度，压板硬度，以及试验机附件（抗压试验专用压板）的参数要求</w:t>
      </w:r>
    </w:p>
    <w:p>
      <w:pPr>
        <w:pStyle w:val="2"/>
        <w:numPr>
          <w:ilvl w:val="0"/>
          <w:numId w:val="3"/>
        </w:numPr>
        <w:tabs>
          <w:tab w:val="left" w:pos="425"/>
        </w:tabs>
        <w:spacing w:before="120" w:after="120" w:line="360" w:lineRule="auto"/>
        <w:ind w:left="0" w:firstLine="0"/>
        <w:rPr>
          <w:rFonts w:ascii="Times New Roman" w:hAnsi="Times New Roman" w:eastAsia="黑体"/>
          <w:b w:val="0"/>
          <w:sz w:val="24"/>
          <w:szCs w:val="24"/>
        </w:rPr>
      </w:pPr>
      <w:r>
        <w:rPr>
          <w:rFonts w:ascii="Times New Roman" w:hAnsi="Times New Roman" w:eastAsia="黑体"/>
          <w:b w:val="0"/>
          <w:sz w:val="24"/>
          <w:szCs w:val="24"/>
        </w:rPr>
        <w:t>主要制订内容说明</w:t>
      </w:r>
      <w:bookmarkEnd w:id="2"/>
    </w:p>
    <w:p>
      <w:pPr>
        <w:pStyle w:val="4"/>
        <w:numPr>
          <w:ilvl w:val="1"/>
          <w:numId w:val="4"/>
        </w:numPr>
        <w:spacing w:before="0" w:after="0"/>
        <w:rPr>
          <w:b w:val="0"/>
          <w:sz w:val="24"/>
          <w:szCs w:val="24"/>
        </w:rPr>
      </w:pPr>
      <w:r>
        <w:rPr>
          <w:b w:val="0"/>
          <w:sz w:val="24"/>
          <w:szCs w:val="24"/>
        </w:rPr>
        <w:t>范围</w:t>
      </w:r>
    </w:p>
    <w:p>
      <w:pPr>
        <w:spacing w:line="360" w:lineRule="auto"/>
        <w:ind w:firstLine="480" w:firstLineChars="200"/>
        <w:rPr>
          <w:sz w:val="24"/>
        </w:rPr>
      </w:pPr>
      <w:r>
        <w:rPr>
          <w:rFonts w:hint="eastAsia"/>
          <w:sz w:val="24"/>
          <w:lang w:val="en-US" w:eastAsia="zh-CN"/>
        </w:rPr>
        <w:t>与国标不同的是，本规范除了适用于水泥胶砂强度自动压力试验机，也适用于混凝土压力试验机。</w:t>
      </w:r>
    </w:p>
    <w:p>
      <w:pPr>
        <w:pStyle w:val="4"/>
        <w:numPr>
          <w:ilvl w:val="1"/>
          <w:numId w:val="4"/>
        </w:numPr>
        <w:spacing w:before="0" w:after="0"/>
        <w:rPr>
          <w:b w:val="0"/>
          <w:sz w:val="24"/>
          <w:szCs w:val="24"/>
        </w:rPr>
      </w:pPr>
      <w:r>
        <w:rPr>
          <w:b w:val="0"/>
          <w:sz w:val="24"/>
          <w:szCs w:val="24"/>
        </w:rPr>
        <w:t>关于</w:t>
      </w:r>
      <w:bookmarkEnd w:id="3"/>
      <w:r>
        <w:rPr>
          <w:b w:val="0"/>
          <w:sz w:val="24"/>
          <w:szCs w:val="24"/>
        </w:rPr>
        <w:t>引用文件</w:t>
      </w:r>
      <w:bookmarkEnd w:id="4"/>
    </w:p>
    <w:p>
      <w:pPr>
        <w:spacing w:line="360" w:lineRule="auto"/>
        <w:ind w:left="359" w:leftChars="171" w:firstLine="120" w:firstLineChars="50"/>
        <w:rPr>
          <w:sz w:val="24"/>
        </w:rPr>
      </w:pPr>
      <w:r>
        <w:rPr>
          <w:rFonts w:hint="eastAsia"/>
          <w:sz w:val="24"/>
        </w:rPr>
        <w:t>本规范引用了下列文件：</w:t>
      </w:r>
      <w:r>
        <w:rPr>
          <w:sz w:val="24"/>
        </w:rPr>
        <w:t xml:space="preserve"> </w:t>
      </w:r>
    </w:p>
    <w:p>
      <w:pPr>
        <w:spacing w:before="50" w:line="360" w:lineRule="auto"/>
        <w:ind w:firstLine="480" w:firstLineChars="200"/>
        <w:rPr>
          <w:rFonts w:hint="eastAsia"/>
          <w:sz w:val="24"/>
        </w:rPr>
      </w:pPr>
      <w:r>
        <w:rPr>
          <w:rFonts w:hint="eastAsia"/>
          <w:sz w:val="24"/>
        </w:rPr>
        <w:t>本规范制订中，引用了国家标准及行业标准，详列如下：</w:t>
      </w:r>
    </w:p>
    <w:p>
      <w:pPr>
        <w:tabs>
          <w:tab w:val="left" w:pos="1440"/>
        </w:tabs>
        <w:spacing w:line="360" w:lineRule="auto"/>
        <w:ind w:firstLine="480" w:firstLineChars="200"/>
        <w:rPr>
          <w:sz w:val="24"/>
        </w:rPr>
      </w:pPr>
      <w:r>
        <w:rPr>
          <w:rFonts w:hint="eastAsia"/>
          <w:sz w:val="24"/>
        </w:rPr>
        <w:t xml:space="preserve">GB/T 2611 </w:t>
      </w:r>
      <w:r>
        <w:rPr>
          <w:sz w:val="24"/>
        </w:rPr>
        <w:t>试验机 通用技术要求</w:t>
      </w:r>
    </w:p>
    <w:p>
      <w:pPr>
        <w:tabs>
          <w:tab w:val="left" w:pos="1440"/>
        </w:tabs>
        <w:spacing w:line="360" w:lineRule="auto"/>
        <w:ind w:firstLine="480" w:firstLineChars="200"/>
        <w:rPr>
          <w:rFonts w:hint="eastAsia"/>
          <w:sz w:val="24"/>
        </w:rPr>
      </w:pPr>
      <w:r>
        <w:rPr>
          <w:rFonts w:hint="eastAsia"/>
          <w:sz w:val="24"/>
        </w:rPr>
        <w:t>GB/T 17671-</w:t>
      </w:r>
      <w:r>
        <w:rPr>
          <w:rFonts w:hint="eastAsia"/>
          <w:sz w:val="24"/>
          <w:lang w:val="en-US" w:eastAsia="zh-CN"/>
        </w:rPr>
        <w:t>2021</w:t>
      </w:r>
      <w:r>
        <w:rPr>
          <w:rFonts w:hint="eastAsia"/>
          <w:sz w:val="24"/>
        </w:rPr>
        <w:t xml:space="preserve"> 水泥胶砂强度检验方法(ISO法)</w:t>
      </w:r>
    </w:p>
    <w:p>
      <w:pPr>
        <w:tabs>
          <w:tab w:val="left" w:pos="1440"/>
        </w:tabs>
        <w:spacing w:line="360" w:lineRule="auto"/>
        <w:ind w:firstLine="480" w:firstLineChars="200"/>
        <w:rPr>
          <w:rFonts w:hint="default" w:eastAsia="宋体"/>
          <w:sz w:val="24"/>
          <w:lang w:val="en-US" w:eastAsia="zh-CN"/>
        </w:rPr>
      </w:pPr>
      <w:r>
        <w:rPr>
          <w:rFonts w:hint="eastAsia"/>
          <w:sz w:val="24"/>
          <w:lang w:val="en-US" w:eastAsia="zh-CN"/>
        </w:rPr>
        <w:t>GB/T 50081-2019 混凝土物理力学性能试验方法标准</w:t>
      </w:r>
    </w:p>
    <w:p>
      <w:pPr>
        <w:tabs>
          <w:tab w:val="left" w:pos="1440"/>
        </w:tabs>
        <w:spacing w:line="360" w:lineRule="auto"/>
        <w:ind w:firstLine="480" w:firstLineChars="200"/>
        <w:rPr>
          <w:rFonts w:hint="default" w:eastAsia="宋体"/>
          <w:sz w:val="24"/>
          <w:lang w:val="en-US" w:eastAsia="zh-CN"/>
        </w:rPr>
      </w:pPr>
      <w:bookmarkStart w:id="14" w:name="OLE_LINK3"/>
      <w:r>
        <w:rPr>
          <w:rFonts w:hint="eastAsia"/>
          <w:sz w:val="24"/>
          <w:lang w:val="en-US" w:eastAsia="zh-CN"/>
        </w:rPr>
        <w:t>JC/T 960-2022 水泥胶砂强度自动压力试验机</w:t>
      </w:r>
    </w:p>
    <w:bookmarkEnd w:id="14"/>
    <w:p>
      <w:pPr>
        <w:spacing w:line="360" w:lineRule="auto"/>
        <w:ind w:firstLine="480" w:firstLineChars="200"/>
        <w:rPr>
          <w:rFonts w:hint="eastAsia"/>
          <w:sz w:val="24"/>
        </w:rPr>
      </w:pPr>
      <w:r>
        <w:rPr>
          <w:rFonts w:hint="eastAsia"/>
          <w:sz w:val="24"/>
        </w:rPr>
        <w:t>凡是注日期的引用文件，仅注日期的版本适用于本规范；凡是不注日期的引用文件，其最新版本（包括所有的修改单）适用于本规范。</w:t>
      </w:r>
    </w:p>
    <w:p>
      <w:pPr>
        <w:spacing w:line="360" w:lineRule="auto"/>
        <w:ind w:firstLine="480" w:firstLineChars="200"/>
        <w:rPr>
          <w:rFonts w:hint="eastAsia"/>
          <w:sz w:val="24"/>
        </w:rPr>
      </w:pPr>
      <w:r>
        <w:rPr>
          <w:sz w:val="24"/>
        </w:rPr>
        <w:t>本</w:t>
      </w:r>
      <w:r>
        <w:rPr>
          <w:rFonts w:hint="eastAsia"/>
          <w:sz w:val="24"/>
        </w:rPr>
        <w:t>规范</w:t>
      </w:r>
      <w:r>
        <w:rPr>
          <w:sz w:val="24"/>
        </w:rPr>
        <w:t>的技术参数主要引用了</w:t>
      </w:r>
      <w:r>
        <w:rPr>
          <w:rFonts w:hint="eastAsia"/>
          <w:sz w:val="24"/>
          <w:lang w:val="en-US" w:eastAsia="zh-CN"/>
        </w:rPr>
        <w:t>JC/T 960-2022 水泥胶砂强度自动压力试验机</w:t>
      </w:r>
      <w:r>
        <w:rPr>
          <w:rFonts w:hint="eastAsia"/>
          <w:sz w:val="24"/>
        </w:rPr>
        <w:t>中的主要技术参数</w:t>
      </w:r>
      <w:r>
        <w:rPr>
          <w:rFonts w:hint="eastAsia"/>
          <w:sz w:val="24"/>
          <w:lang w:eastAsia="zh-CN"/>
        </w:rPr>
        <w:t>，</w:t>
      </w:r>
      <w:r>
        <w:rPr>
          <w:rFonts w:hint="eastAsia"/>
          <w:sz w:val="24"/>
          <w:lang w:val="en-US" w:eastAsia="zh-CN"/>
        </w:rPr>
        <w:t>且恒定加力速度建筑材料试验机在力学性能上还应符合试验机的通用技术要求。</w:t>
      </w:r>
    </w:p>
    <w:bookmarkEnd w:id="5"/>
    <w:p>
      <w:pPr>
        <w:pStyle w:val="4"/>
        <w:numPr>
          <w:ilvl w:val="1"/>
          <w:numId w:val="4"/>
        </w:numPr>
        <w:spacing w:before="0" w:after="0"/>
        <w:rPr>
          <w:b w:val="0"/>
          <w:sz w:val="24"/>
          <w:szCs w:val="24"/>
        </w:rPr>
      </w:pPr>
      <w:r>
        <w:rPr>
          <w:b w:val="0"/>
          <w:sz w:val="24"/>
          <w:szCs w:val="24"/>
        </w:rPr>
        <w:t>关于概述</w:t>
      </w:r>
      <w:bookmarkEnd w:id="6"/>
    </w:p>
    <w:p>
      <w:pPr>
        <w:spacing w:before="50" w:line="360" w:lineRule="auto"/>
        <w:ind w:firstLine="480" w:firstLineChars="200"/>
        <w:rPr>
          <w:rFonts w:hint="eastAsia" w:ascii="宋体" w:hAnsi="宋体" w:eastAsia="宋体"/>
          <w:color w:val="000000"/>
          <w:sz w:val="24"/>
          <w:lang w:eastAsia="zh-CN"/>
        </w:rPr>
      </w:pPr>
      <w:r>
        <w:rPr>
          <w:rFonts w:hint="eastAsia" w:ascii="宋体" w:hAnsi="宋体"/>
          <w:color w:val="000000"/>
          <w:sz w:val="24"/>
          <w:lang w:val="en-US" w:eastAsia="zh-CN"/>
        </w:rPr>
        <w:t>介绍了恒定加力速度建筑材料试验机</w:t>
      </w:r>
      <w:r>
        <w:rPr>
          <w:rFonts w:hint="eastAsia" w:ascii="宋体" w:hAnsi="宋体"/>
          <w:color w:val="000000"/>
          <w:sz w:val="24"/>
        </w:rPr>
        <w:t>的原理</w:t>
      </w:r>
      <w:r>
        <w:rPr>
          <w:rFonts w:hint="eastAsia" w:ascii="宋体" w:hAnsi="宋体"/>
          <w:color w:val="000000"/>
          <w:sz w:val="24"/>
          <w:lang w:eastAsia="zh-CN"/>
        </w:rPr>
        <w:t>、</w:t>
      </w:r>
      <w:r>
        <w:rPr>
          <w:rFonts w:hint="eastAsia" w:ascii="宋体" w:hAnsi="宋体"/>
          <w:color w:val="000000"/>
          <w:sz w:val="24"/>
        </w:rPr>
        <w:t>组成</w:t>
      </w:r>
      <w:r>
        <w:rPr>
          <w:rFonts w:hint="eastAsia" w:ascii="宋体" w:hAnsi="宋体"/>
          <w:color w:val="000000"/>
          <w:sz w:val="24"/>
          <w:lang w:val="en-US" w:eastAsia="zh-CN"/>
        </w:rPr>
        <w:t>和应用范围</w:t>
      </w:r>
      <w:r>
        <w:rPr>
          <w:rFonts w:hint="eastAsia" w:ascii="宋体" w:hAnsi="宋体"/>
          <w:color w:val="000000"/>
          <w:sz w:val="24"/>
          <w:lang w:eastAsia="zh-CN"/>
        </w:rPr>
        <w:t>。</w:t>
      </w:r>
    </w:p>
    <w:p>
      <w:pPr>
        <w:pStyle w:val="4"/>
        <w:numPr>
          <w:ilvl w:val="0"/>
          <w:numId w:val="0"/>
        </w:numPr>
        <w:spacing w:before="0" w:after="0"/>
        <w:ind w:leftChars="0"/>
        <w:rPr>
          <w:b w:val="0"/>
          <w:sz w:val="24"/>
          <w:szCs w:val="24"/>
        </w:rPr>
      </w:pPr>
      <w:r>
        <w:rPr>
          <w:rFonts w:hint="eastAsia"/>
          <w:b w:val="0"/>
          <w:sz w:val="24"/>
          <w:szCs w:val="24"/>
          <w:lang w:val="en-US" w:eastAsia="zh-CN"/>
        </w:rPr>
        <w:t>3.4</w:t>
      </w:r>
      <w:r>
        <w:rPr>
          <w:b w:val="0"/>
          <w:sz w:val="24"/>
          <w:szCs w:val="24"/>
        </w:rPr>
        <w:t>关于计量特性</w:t>
      </w:r>
      <w:bookmarkEnd w:id="7"/>
    </w:p>
    <w:p>
      <w:pPr>
        <w:spacing w:before="50" w:line="360" w:lineRule="auto"/>
        <w:ind w:firstLine="480" w:firstLineChars="200"/>
        <w:rPr>
          <w:rFonts w:hint="default" w:ascii="Times New Roman" w:hAnsi="Times New Roman" w:cs="Times New Roman"/>
          <w:color w:val="000000"/>
          <w:sz w:val="24"/>
        </w:rPr>
      </w:pPr>
      <w:r>
        <w:rPr>
          <w:rFonts w:hint="default" w:ascii="Times New Roman" w:hAnsi="Times New Roman" w:cs="Times New Roman"/>
          <w:color w:val="000000"/>
          <w:sz w:val="24"/>
        </w:rPr>
        <w:t>计量性能要求中主要引用了</w:t>
      </w:r>
      <w:r>
        <w:rPr>
          <w:rFonts w:hint="default" w:ascii="Times New Roman" w:hAnsi="Times New Roman" w:cs="Times New Roman"/>
          <w:color w:val="000000"/>
          <w:sz w:val="24"/>
          <w:lang w:val="en-US" w:eastAsia="zh-CN"/>
        </w:rPr>
        <w:t>JC/T960-2022 水泥胶砂强度自动压力试验机</w:t>
      </w:r>
      <w:r>
        <w:rPr>
          <w:rFonts w:hint="default" w:ascii="Times New Roman" w:hAnsi="Times New Roman" w:cs="Times New Roman"/>
          <w:color w:val="000000"/>
          <w:sz w:val="24"/>
        </w:rPr>
        <w:t>中的技术指标要求，并与标准的技术要求保持一致，删除了一些非必要技术参数。</w:t>
      </w:r>
    </w:p>
    <w:p>
      <w:pPr>
        <w:spacing w:line="360" w:lineRule="auto"/>
        <w:outlineLvl w:val="2"/>
        <w:rPr>
          <w:rFonts w:hint="default" w:ascii="宋体" w:hAnsi="宋体" w:eastAsia="宋体"/>
          <w:color w:val="000000"/>
          <w:sz w:val="24"/>
          <w:lang w:val="en-US" w:eastAsia="zh-CN"/>
        </w:rPr>
      </w:pPr>
      <w:r>
        <w:rPr>
          <w:rFonts w:hint="eastAsia" w:ascii="Times New Roman" w:hAnsi="Times New Roman" w:eastAsia="宋体" w:cs="Times New Roman"/>
          <w:b w:val="0"/>
          <w:bCs/>
          <w:kern w:val="2"/>
          <w:sz w:val="24"/>
          <w:szCs w:val="24"/>
          <w:lang w:val="en-US" w:eastAsia="zh-CN" w:bidi="ar-SA"/>
        </w:rPr>
        <w:t>3.4.1</w:t>
      </w:r>
      <w:r>
        <w:rPr>
          <w:rFonts w:hint="eastAsia" w:ascii="宋体" w:hAnsi="宋体"/>
          <w:color w:val="000000"/>
          <w:sz w:val="24"/>
        </w:rPr>
        <w:t xml:space="preserve">  </w:t>
      </w:r>
      <w:r>
        <w:rPr>
          <w:rFonts w:hint="eastAsia" w:ascii="宋体" w:hAnsi="宋体"/>
          <w:color w:val="000000"/>
          <w:sz w:val="24"/>
          <w:lang w:val="en-US" w:eastAsia="zh-CN"/>
        </w:rPr>
        <w:t>规定了零点漂移的技术要求，根据试验机通用技术要求，试验机的力值显示需要稳定，零点漂移误差不能太大，方可进行校准工作，因此添加了零点漂移的要求。</w:t>
      </w:r>
    </w:p>
    <w:p>
      <w:pPr>
        <w:spacing w:line="360" w:lineRule="auto"/>
        <w:outlineLvl w:val="2"/>
        <w:rPr>
          <w:rFonts w:hint="eastAsia" w:ascii="宋体" w:hAnsi="宋体" w:cs="宋体"/>
          <w:sz w:val="24"/>
          <w:szCs w:val="24"/>
          <w:lang w:val="en-US" w:eastAsia="zh-CN"/>
        </w:rPr>
      </w:pPr>
      <w:r>
        <w:rPr>
          <w:rFonts w:hint="eastAsia" w:ascii="Times New Roman" w:hAnsi="Times New Roman" w:eastAsia="宋体" w:cs="Times New Roman"/>
          <w:b w:val="0"/>
          <w:bCs/>
          <w:kern w:val="2"/>
          <w:sz w:val="24"/>
          <w:szCs w:val="24"/>
          <w:lang w:val="en-US" w:eastAsia="zh-CN" w:bidi="ar-SA"/>
        </w:rPr>
        <w:t>3.4.2</w:t>
      </w:r>
      <w:r>
        <w:rPr>
          <w:rFonts w:hint="eastAsia" w:ascii="宋体" w:hAnsi="宋体"/>
          <w:color w:val="000000"/>
          <w:sz w:val="24"/>
        </w:rPr>
        <w:t xml:space="preserve">  </w:t>
      </w:r>
      <w:r>
        <w:rPr>
          <w:rFonts w:hint="eastAsia" w:ascii="宋体" w:hAnsi="宋体"/>
          <w:color w:val="000000"/>
          <w:sz w:val="24"/>
          <w:lang w:val="en-US" w:eastAsia="zh-CN"/>
        </w:rPr>
        <w:t>规定了试验机力值示值相对误差、</w:t>
      </w:r>
      <w:r>
        <w:rPr>
          <w:rFonts w:hint="eastAsia" w:ascii="宋体" w:hAnsi="宋体" w:eastAsia="宋体" w:cs="宋体"/>
          <w:sz w:val="24"/>
          <w:szCs w:val="24"/>
          <w:lang w:val="en-US" w:eastAsia="zh-CN"/>
        </w:rPr>
        <w:t>重复性、示值进回程相对误差、零点相对误差、相对分辨力技术指标</w:t>
      </w:r>
      <w:r>
        <w:rPr>
          <w:rFonts w:hint="eastAsia" w:ascii="宋体" w:hAnsi="宋体" w:cs="宋体"/>
          <w:sz w:val="24"/>
          <w:szCs w:val="24"/>
          <w:lang w:val="en-US" w:eastAsia="zh-CN"/>
        </w:rPr>
        <w:t>。在调研过程中，发现0.5级的试验机越来越多，因此增加了0.5级试验机的技术参数。且根据国标修订的要求，试验机的力值的校准起始点应从10kN开始。</w:t>
      </w:r>
    </w:p>
    <w:p>
      <w:pPr>
        <w:tabs>
          <w:tab w:val="left" w:pos="1440"/>
        </w:tabs>
        <w:spacing w:line="360" w:lineRule="auto"/>
        <w:rPr>
          <w:rFonts w:hint="default" w:ascii="宋体" w:hAnsi="宋体" w:cs="宋体"/>
          <w:sz w:val="24"/>
          <w:szCs w:val="24"/>
          <w:lang w:val="en-US" w:eastAsia="zh-CN"/>
        </w:rPr>
      </w:pPr>
      <w:r>
        <w:rPr>
          <w:rFonts w:hint="eastAsia" w:ascii="Times New Roman" w:hAnsi="Times New Roman" w:eastAsia="宋体" w:cs="Times New Roman"/>
          <w:b w:val="0"/>
          <w:bCs/>
          <w:kern w:val="2"/>
          <w:sz w:val="24"/>
          <w:szCs w:val="24"/>
          <w:lang w:val="en-US" w:eastAsia="zh-CN" w:bidi="ar-SA"/>
        </w:rPr>
        <w:t>3.4.3</w:t>
      </w:r>
      <w:r>
        <w:rPr>
          <w:rFonts w:hint="eastAsia" w:ascii="宋体" w:hAnsi="宋体" w:cs="宋体"/>
          <w:sz w:val="24"/>
          <w:szCs w:val="24"/>
          <w:lang w:val="en-US" w:eastAsia="zh-CN"/>
        </w:rPr>
        <w:t xml:space="preserve">  规定了加荷速率的最大允许误差，加荷速率的测量点参考了</w:t>
      </w:r>
      <w:r>
        <w:rPr>
          <w:rFonts w:hint="eastAsia"/>
          <w:sz w:val="24"/>
          <w:lang w:val="en-US" w:eastAsia="zh-CN"/>
        </w:rPr>
        <w:t>JC/T 960-2022 《水泥胶砂强度自动压力试验机》以及GB/T 50081-2019 《混凝土物理力学性能试验方法标准》，确定了水泥胶砂强度的加力速度和混凝土强度试验的加力速度。</w:t>
      </w:r>
    </w:p>
    <w:p>
      <w:pPr>
        <w:spacing w:line="360" w:lineRule="auto"/>
        <w:ind w:firstLine="480" w:firstLineChars="200"/>
        <w:outlineLvl w:val="2"/>
        <w:rPr>
          <w:rFonts w:hint="eastAsia" w:ascii="宋体" w:hAnsi="宋体"/>
          <w:color w:val="000000"/>
          <w:sz w:val="24"/>
        </w:rPr>
      </w:pPr>
      <w:r>
        <w:rPr>
          <w:rFonts w:hint="eastAsia"/>
          <w:sz w:val="24"/>
          <w:lang w:val="en-US" w:eastAsia="zh-CN"/>
        </w:rPr>
        <w:t>JC/T 960-2022 《水泥胶砂强度自动压力试验机》中规定了试验机</w:t>
      </w:r>
      <w:r>
        <w:rPr>
          <w:rFonts w:hint="eastAsia" w:cs="Times New Roman"/>
          <w:sz w:val="24"/>
          <w:lang w:val="en-US" w:eastAsia="zh-CN"/>
        </w:rPr>
        <w:t>压板硬度不低于55HRC</w:t>
      </w:r>
      <w:r>
        <w:rPr>
          <w:rFonts w:hint="eastAsia" w:ascii="宋体" w:hAnsi="宋体"/>
          <w:color w:val="000000"/>
          <w:sz w:val="24"/>
        </w:rPr>
        <w:t>，结合JJG139、JJG475等试验机检定规程及试验机标准化委员会中专家的意见，</w:t>
      </w:r>
      <w:r>
        <w:rPr>
          <w:rFonts w:hint="eastAsia" w:ascii="宋体" w:hAnsi="宋体"/>
          <w:color w:val="000000"/>
          <w:sz w:val="24"/>
          <w:lang w:val="en-US" w:eastAsia="zh-CN"/>
        </w:rPr>
        <w:t>压板</w:t>
      </w:r>
      <w:r>
        <w:rPr>
          <w:rFonts w:hint="eastAsia" w:ascii="宋体" w:hAnsi="宋体"/>
          <w:color w:val="000000"/>
          <w:sz w:val="24"/>
        </w:rPr>
        <w:t>硬度属于标准规定厂商要达到的最基本要求，并且硬度检测要使用到洛氏硬度计，属于有损测量，本</w:t>
      </w:r>
      <w:r>
        <w:rPr>
          <w:rFonts w:hint="eastAsia" w:ascii="宋体" w:hAnsi="宋体"/>
          <w:color w:val="000000"/>
          <w:sz w:val="24"/>
          <w:lang w:val="en-US" w:eastAsia="zh-CN"/>
        </w:rPr>
        <w:t>规范</w:t>
      </w:r>
      <w:r>
        <w:rPr>
          <w:rFonts w:hint="eastAsia" w:ascii="宋体" w:hAnsi="宋体"/>
          <w:color w:val="000000"/>
          <w:sz w:val="24"/>
        </w:rPr>
        <w:t>未对试验机</w:t>
      </w:r>
      <w:r>
        <w:rPr>
          <w:rFonts w:hint="eastAsia" w:ascii="宋体" w:hAnsi="宋体"/>
          <w:color w:val="000000"/>
          <w:sz w:val="24"/>
          <w:lang w:val="en-US" w:eastAsia="zh-CN"/>
        </w:rPr>
        <w:t>压板</w:t>
      </w:r>
      <w:r>
        <w:rPr>
          <w:rFonts w:hint="eastAsia" w:ascii="宋体" w:hAnsi="宋体"/>
          <w:color w:val="000000"/>
          <w:sz w:val="24"/>
        </w:rPr>
        <w:t>硬度进行规定。</w:t>
      </w:r>
    </w:p>
    <w:p>
      <w:pPr>
        <w:spacing w:line="360" w:lineRule="auto"/>
        <w:outlineLvl w:val="2"/>
        <w:rPr>
          <w:rFonts w:hint="default" w:ascii="宋体" w:hAnsi="宋体"/>
          <w:color w:val="000000"/>
          <w:sz w:val="24"/>
          <w:lang w:val="en-US" w:eastAsia="zh-CN"/>
        </w:rPr>
      </w:pPr>
      <w:r>
        <w:rPr>
          <w:rFonts w:hint="eastAsia" w:ascii="Times New Roman" w:hAnsi="Times New Roman" w:eastAsia="宋体" w:cs="Times New Roman"/>
          <w:b w:val="0"/>
          <w:bCs/>
          <w:kern w:val="2"/>
          <w:sz w:val="24"/>
          <w:szCs w:val="24"/>
          <w:lang w:val="en-US" w:eastAsia="zh-CN" w:bidi="ar-SA"/>
        </w:rPr>
        <w:t>3.4.4</w:t>
      </w:r>
      <w:r>
        <w:rPr>
          <w:rFonts w:hint="eastAsia" w:ascii="宋体" w:hAnsi="宋体"/>
          <w:color w:val="000000"/>
          <w:sz w:val="24"/>
        </w:rPr>
        <w:t xml:space="preserve">  </w:t>
      </w:r>
      <w:r>
        <w:rPr>
          <w:rFonts w:hint="eastAsia" w:ascii="宋体" w:hAnsi="宋体"/>
          <w:color w:val="000000"/>
          <w:sz w:val="24"/>
          <w:lang w:val="en-US" w:eastAsia="zh-CN"/>
        </w:rPr>
        <w:t>删除了试验机压板表面粗糙度、试验机压板尺寸等长度参数，其对力值和加力速度的校准影响不大，属于对试验机产品本身的一个出厂要求，所以没有将其作为计量参数。</w:t>
      </w:r>
    </w:p>
    <w:p>
      <w:pPr>
        <w:pStyle w:val="4"/>
        <w:numPr>
          <w:ilvl w:val="0"/>
          <w:numId w:val="0"/>
        </w:numPr>
        <w:spacing w:before="0" w:after="0"/>
        <w:ind w:leftChars="0"/>
        <w:rPr>
          <w:b w:val="0"/>
          <w:sz w:val="24"/>
          <w:szCs w:val="24"/>
        </w:rPr>
      </w:pPr>
      <w:r>
        <w:rPr>
          <w:rFonts w:hint="eastAsia"/>
          <w:b w:val="0"/>
          <w:sz w:val="24"/>
          <w:szCs w:val="24"/>
          <w:lang w:val="en-US" w:eastAsia="zh-CN"/>
        </w:rPr>
        <w:t>3.5</w:t>
      </w:r>
      <w:r>
        <w:rPr>
          <w:b w:val="0"/>
          <w:sz w:val="24"/>
          <w:szCs w:val="24"/>
        </w:rPr>
        <w:t>关于校准条件</w:t>
      </w:r>
      <w:bookmarkEnd w:id="8"/>
    </w:p>
    <w:p>
      <w:pPr>
        <w:spacing w:line="360" w:lineRule="auto"/>
        <w:ind w:firstLine="420"/>
        <w:rPr>
          <w:rFonts w:hint="eastAsia" w:hAnsi="宋体"/>
          <w:sz w:val="24"/>
        </w:rPr>
      </w:pPr>
      <w:r>
        <w:rPr>
          <w:rFonts w:hAnsi="宋体"/>
          <w:sz w:val="24"/>
        </w:rPr>
        <w:t>本部分主要规定了</w:t>
      </w:r>
      <w:r>
        <w:rPr>
          <w:rFonts w:hint="eastAsia" w:hAnsi="宋体"/>
          <w:sz w:val="24"/>
          <w:lang w:val="en-US" w:eastAsia="zh-CN"/>
        </w:rPr>
        <w:t>恒定加力速度建筑材料试验机</w:t>
      </w:r>
      <w:r>
        <w:rPr>
          <w:rFonts w:hAnsi="宋体"/>
          <w:sz w:val="24"/>
        </w:rPr>
        <w:t>校准时需要满足的、的环境条件，校准所需的</w:t>
      </w:r>
      <w:r>
        <w:rPr>
          <w:rFonts w:hint="eastAsia" w:hAnsi="宋体"/>
          <w:sz w:val="24"/>
        </w:rPr>
        <w:t>标准器</w:t>
      </w:r>
      <w:r>
        <w:rPr>
          <w:rFonts w:hAnsi="宋体"/>
          <w:sz w:val="24"/>
        </w:rPr>
        <w:t>。</w:t>
      </w:r>
    </w:p>
    <w:p>
      <w:pPr>
        <w:spacing w:line="360" w:lineRule="auto"/>
        <w:ind w:firstLine="420"/>
        <w:rPr>
          <w:rFonts w:hint="eastAsia" w:hAnsi="宋体"/>
          <w:sz w:val="24"/>
        </w:rPr>
      </w:pPr>
      <w:r>
        <w:rPr>
          <w:rFonts w:hint="eastAsia" w:hAnsi="宋体"/>
          <w:sz w:val="24"/>
        </w:rPr>
        <w:t>标准器的要求主要依据</w:t>
      </w:r>
      <w:r>
        <w:rPr>
          <w:rFonts w:hint="eastAsia" w:hAnsi="宋体"/>
          <w:sz w:val="24"/>
          <w:lang w:val="en-US" w:eastAsia="zh-CN"/>
        </w:rPr>
        <w:t>恒定加力速度建筑材料试验机</w:t>
      </w:r>
      <w:r>
        <w:rPr>
          <w:rFonts w:hint="eastAsia" w:hAnsi="宋体"/>
          <w:sz w:val="24"/>
        </w:rPr>
        <w:t>的已经确认的计量特性，首先考虑标准器的准确度等级或最大允许误差或不确定优于被检参数的1/3，并且充分考虑了</w:t>
      </w:r>
      <w:r>
        <w:rPr>
          <w:rFonts w:hint="eastAsia" w:ascii="宋体" w:hAnsi="宋体"/>
          <w:sz w:val="24"/>
        </w:rPr>
        <w:t>现场可操作性性强、经济实用、性能可靠等因素。</w:t>
      </w:r>
      <w:r>
        <w:rPr>
          <w:rFonts w:hint="eastAsia" w:hAnsi="宋体"/>
          <w:sz w:val="24"/>
        </w:rPr>
        <w:t>标准器具体要求见表</w:t>
      </w:r>
      <w:r>
        <w:rPr>
          <w:rFonts w:hint="eastAsia" w:hAnsi="宋体"/>
          <w:sz w:val="24"/>
          <w:lang w:val="en-US" w:eastAsia="zh-CN"/>
        </w:rPr>
        <w:t>3</w:t>
      </w:r>
      <w:r>
        <w:rPr>
          <w:rFonts w:hint="eastAsia" w:hAnsi="宋体"/>
          <w:sz w:val="24"/>
        </w:rPr>
        <w:t>：</w:t>
      </w:r>
    </w:p>
    <w:p>
      <w:pPr>
        <w:spacing w:line="360" w:lineRule="auto"/>
        <w:ind w:firstLine="420"/>
        <w:jc w:val="center"/>
        <w:rPr>
          <w:rFonts w:hint="eastAsia" w:ascii="黑体" w:hAnsi="黑体" w:eastAsia="黑体"/>
          <w:szCs w:val="21"/>
        </w:rPr>
      </w:pPr>
      <w:r>
        <w:rPr>
          <w:rFonts w:hint="eastAsia" w:ascii="黑体" w:hAnsi="黑体" w:eastAsia="黑体"/>
          <w:szCs w:val="21"/>
        </w:rPr>
        <w:t>表</w:t>
      </w:r>
      <w:r>
        <w:rPr>
          <w:rFonts w:hint="eastAsia" w:ascii="黑体" w:hAnsi="黑体" w:eastAsia="黑体"/>
          <w:szCs w:val="21"/>
          <w:lang w:val="en-US" w:eastAsia="zh-CN"/>
        </w:rPr>
        <w:t>3</w:t>
      </w:r>
      <w:r>
        <w:rPr>
          <w:rFonts w:hint="eastAsia" w:ascii="黑体" w:hAnsi="黑体" w:eastAsia="黑体"/>
          <w:szCs w:val="21"/>
        </w:rPr>
        <w:t>校准项目和校准设备</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977"/>
        <w:gridCol w:w="46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序号</w:t>
            </w:r>
          </w:p>
        </w:tc>
        <w:tc>
          <w:tcPr>
            <w:tcW w:w="2977" w:type="dxa"/>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校准项目</w:t>
            </w:r>
          </w:p>
        </w:tc>
        <w:tc>
          <w:tcPr>
            <w:tcW w:w="4678" w:type="dxa"/>
            <w:noWrap w:val="0"/>
            <w:vAlign w:val="center"/>
          </w:tcPr>
          <w:p>
            <w:pPr>
              <w:keepNext/>
              <w:keepLines/>
              <w:spacing w:before="240" w:after="64" w:line="360" w:lineRule="auto"/>
              <w:jc w:val="center"/>
              <w:rPr>
                <w:rFonts w:hint="default" w:ascii="Times New Roman" w:hAnsi="Times New Roman" w:eastAsia="宋体" w:cs="Times New Roman"/>
                <w:color w:val="auto"/>
                <w:szCs w:val="21"/>
                <w:highlight w:val="none"/>
              </w:rPr>
            </w:pPr>
            <w:r>
              <w:rPr>
                <w:rFonts w:hint="default" w:ascii="Times New Roman" w:hAnsi="Times New Roman" w:cs="Times New Roman"/>
                <w:color w:val="auto"/>
                <w:szCs w:val="21"/>
                <w:highlight w:val="none"/>
              </w:rPr>
              <w:t>校准器具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1</w:t>
            </w:r>
          </w:p>
        </w:tc>
        <w:tc>
          <w:tcPr>
            <w:tcW w:w="2977" w:type="dxa"/>
            <w:noWrap w:val="0"/>
            <w:vAlign w:val="center"/>
          </w:tcPr>
          <w:p>
            <w:pPr>
              <w:spacing w:line="360" w:lineRule="auto"/>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零点漂移</w:t>
            </w:r>
          </w:p>
        </w:tc>
        <w:tc>
          <w:tcPr>
            <w:tcW w:w="4678" w:type="dxa"/>
            <w:noWrap w:val="0"/>
            <w:vAlign w:val="center"/>
          </w:tcPr>
          <w:p>
            <w:pPr>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秒表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noWrap w:val="0"/>
            <w:vAlign w:val="center"/>
          </w:tcPr>
          <w:p>
            <w:pPr>
              <w:spacing w:line="360" w:lineRule="auto"/>
              <w:jc w:val="center"/>
              <w:rPr>
                <w:rFonts w:hint="default" w:ascii="Times New Roman" w:hAnsi="Times New Roman" w:eastAsia="宋体" w:cs="Times New Roman"/>
                <w:szCs w:val="21"/>
                <w:lang w:eastAsia="zh-CN"/>
              </w:rPr>
            </w:pPr>
            <w:r>
              <w:rPr>
                <w:rFonts w:hint="default" w:ascii="Times New Roman" w:hAnsi="Times New Roman" w:cs="Times New Roman"/>
                <w:szCs w:val="21"/>
                <w:lang w:val="en-US" w:eastAsia="zh-CN"/>
              </w:rPr>
              <w:t>2</w:t>
            </w:r>
          </w:p>
        </w:tc>
        <w:tc>
          <w:tcPr>
            <w:tcW w:w="2977" w:type="dxa"/>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相对分辨力</w:t>
            </w:r>
          </w:p>
        </w:tc>
        <w:tc>
          <w:tcPr>
            <w:tcW w:w="4678" w:type="dxa"/>
            <w:noWrap w:val="0"/>
            <w:vAlign w:val="center"/>
          </w:tcPr>
          <w:p>
            <w:pPr>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noWrap w:val="0"/>
            <w:vAlign w:val="center"/>
          </w:tcPr>
          <w:p>
            <w:pPr>
              <w:spacing w:line="360" w:lineRule="auto"/>
              <w:jc w:val="center"/>
              <w:rPr>
                <w:rFonts w:hint="default" w:ascii="Times New Roman" w:hAnsi="Times New Roman" w:eastAsia="宋体" w:cs="Times New Roman"/>
                <w:szCs w:val="21"/>
                <w:lang w:eastAsia="zh-CN"/>
              </w:rPr>
            </w:pPr>
            <w:r>
              <w:rPr>
                <w:rFonts w:hint="default" w:ascii="Times New Roman" w:hAnsi="Times New Roman" w:cs="Times New Roman"/>
                <w:szCs w:val="21"/>
                <w:lang w:val="en-US" w:eastAsia="zh-CN"/>
              </w:rPr>
              <w:t>3</w:t>
            </w:r>
          </w:p>
        </w:tc>
        <w:tc>
          <w:tcPr>
            <w:tcW w:w="2977" w:type="dxa"/>
            <w:noWrap w:val="0"/>
            <w:vAlign w:val="center"/>
          </w:tcPr>
          <w:p>
            <w:pPr>
              <w:spacing w:line="360" w:lineRule="auto"/>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加荷</w:t>
            </w:r>
            <w:r>
              <w:rPr>
                <w:rFonts w:hint="eastAsia" w:cs="Times New Roman"/>
                <w:szCs w:val="21"/>
                <w:lang w:val="en-US" w:eastAsia="zh-CN"/>
              </w:rPr>
              <w:t>速度</w:t>
            </w:r>
          </w:p>
        </w:tc>
        <w:tc>
          <w:tcPr>
            <w:tcW w:w="4678" w:type="dxa"/>
            <w:noWrap w:val="0"/>
            <w:vAlign w:val="center"/>
          </w:tcPr>
          <w:p>
            <w:pPr>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lang w:val="en-US" w:eastAsia="zh-CN"/>
              </w:rPr>
              <w:t>加荷</w:t>
            </w:r>
            <w:r>
              <w:rPr>
                <w:rFonts w:hint="eastAsia" w:cs="Times New Roman"/>
                <w:color w:val="auto"/>
                <w:sz w:val="21"/>
                <w:szCs w:val="21"/>
                <w:highlight w:val="none"/>
                <w:lang w:val="en-US" w:eastAsia="zh-CN"/>
              </w:rPr>
              <w:t>速度</w:t>
            </w:r>
            <w:r>
              <w:rPr>
                <w:rFonts w:hint="default" w:ascii="Times New Roman" w:hAnsi="Times New Roman" w:cs="Times New Roman"/>
                <w:color w:val="auto"/>
                <w:sz w:val="21"/>
                <w:szCs w:val="21"/>
                <w:highlight w:val="none"/>
                <w:lang w:val="en-US" w:eastAsia="zh-CN"/>
              </w:rPr>
              <w:t>检测仪或</w:t>
            </w:r>
            <w:r>
              <w:rPr>
                <w:rFonts w:hint="default" w:ascii="Times New Roman" w:hAnsi="Times New Roman" w:cs="Times New Roman"/>
                <w:color w:val="auto"/>
                <w:szCs w:val="21"/>
                <w:highlight w:val="none"/>
              </w:rPr>
              <w:t>标准测力仪、秒表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noWrap w:val="0"/>
            <w:vAlign w:val="center"/>
          </w:tcPr>
          <w:p>
            <w:pPr>
              <w:spacing w:line="360" w:lineRule="auto"/>
              <w:jc w:val="center"/>
              <w:rPr>
                <w:rFonts w:hint="default" w:ascii="Times New Roman" w:hAnsi="Times New Roman" w:eastAsia="宋体" w:cs="Times New Roman"/>
                <w:szCs w:val="21"/>
                <w:lang w:eastAsia="zh-CN"/>
              </w:rPr>
            </w:pPr>
            <w:r>
              <w:rPr>
                <w:rFonts w:hint="default" w:ascii="Times New Roman" w:hAnsi="Times New Roman" w:cs="Times New Roman"/>
                <w:szCs w:val="21"/>
                <w:lang w:val="en-US" w:eastAsia="zh-CN"/>
              </w:rPr>
              <w:t>4</w:t>
            </w:r>
          </w:p>
        </w:tc>
        <w:tc>
          <w:tcPr>
            <w:tcW w:w="2977" w:type="dxa"/>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试验力示值相对误差</w:t>
            </w:r>
          </w:p>
        </w:tc>
        <w:tc>
          <w:tcPr>
            <w:tcW w:w="4678" w:type="dxa"/>
            <w:noWrap w:val="0"/>
            <w:vAlign w:val="center"/>
          </w:tcPr>
          <w:p>
            <w:pPr>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标准测力仪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noWrap w:val="0"/>
            <w:vAlign w:val="center"/>
          </w:tcPr>
          <w:p>
            <w:pPr>
              <w:spacing w:line="360" w:lineRule="auto"/>
              <w:jc w:val="center"/>
              <w:rPr>
                <w:rFonts w:hint="default" w:ascii="Times New Roman" w:hAnsi="Times New Roman" w:eastAsia="宋体" w:cs="Times New Roman"/>
                <w:szCs w:val="21"/>
                <w:lang w:eastAsia="zh-CN"/>
              </w:rPr>
            </w:pPr>
            <w:r>
              <w:rPr>
                <w:rFonts w:hint="default" w:ascii="Times New Roman" w:hAnsi="Times New Roman" w:cs="Times New Roman"/>
                <w:szCs w:val="21"/>
                <w:lang w:val="en-US" w:eastAsia="zh-CN"/>
              </w:rPr>
              <w:t>5</w:t>
            </w:r>
          </w:p>
        </w:tc>
        <w:tc>
          <w:tcPr>
            <w:tcW w:w="2977" w:type="dxa"/>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试验力示值重复性</w:t>
            </w:r>
          </w:p>
        </w:tc>
        <w:tc>
          <w:tcPr>
            <w:tcW w:w="4678" w:type="dxa"/>
            <w:noWrap w:val="0"/>
            <w:vAlign w:val="center"/>
          </w:tcPr>
          <w:p>
            <w:pPr>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标准测力仪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noWrap w:val="0"/>
            <w:vAlign w:val="center"/>
          </w:tcPr>
          <w:p>
            <w:pPr>
              <w:spacing w:line="360" w:lineRule="auto"/>
              <w:jc w:val="center"/>
              <w:rPr>
                <w:rFonts w:hint="default" w:ascii="Times New Roman" w:hAnsi="Times New Roman" w:eastAsia="宋体" w:cs="Times New Roman"/>
                <w:szCs w:val="21"/>
                <w:lang w:eastAsia="zh-CN"/>
              </w:rPr>
            </w:pPr>
            <w:r>
              <w:rPr>
                <w:rFonts w:hint="default" w:ascii="Times New Roman" w:hAnsi="Times New Roman" w:cs="Times New Roman"/>
                <w:szCs w:val="21"/>
                <w:lang w:val="en-US" w:eastAsia="zh-CN"/>
              </w:rPr>
              <w:t>6</w:t>
            </w:r>
          </w:p>
        </w:tc>
        <w:tc>
          <w:tcPr>
            <w:tcW w:w="2977" w:type="dxa"/>
            <w:noWrap w:val="0"/>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试验力示值零点相对误差</w:t>
            </w:r>
          </w:p>
        </w:tc>
        <w:tc>
          <w:tcPr>
            <w:tcW w:w="4678" w:type="dxa"/>
            <w:noWrap w:val="0"/>
            <w:vAlign w:val="center"/>
          </w:tcPr>
          <w:p>
            <w:pPr>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标准测力仪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noWrap w:val="0"/>
            <w:vAlign w:val="center"/>
          </w:tcPr>
          <w:p>
            <w:pPr>
              <w:spacing w:line="360" w:lineRule="auto"/>
              <w:jc w:val="center"/>
              <w:rPr>
                <w:rFonts w:hint="default" w:ascii="Times New Roman" w:hAnsi="Times New Roman" w:eastAsia="宋体" w:cs="Times New Roman"/>
                <w:szCs w:val="21"/>
                <w:lang w:eastAsia="zh-CN"/>
              </w:rPr>
            </w:pPr>
            <w:r>
              <w:rPr>
                <w:rFonts w:hint="default" w:ascii="Times New Roman" w:hAnsi="Times New Roman" w:cs="Times New Roman"/>
                <w:szCs w:val="21"/>
                <w:lang w:val="en-US" w:eastAsia="zh-CN"/>
              </w:rPr>
              <w:t>7</w:t>
            </w:r>
          </w:p>
        </w:tc>
        <w:tc>
          <w:tcPr>
            <w:tcW w:w="2977" w:type="dxa"/>
            <w:noWrap w:val="0"/>
            <w:vAlign w:val="center"/>
          </w:tcPr>
          <w:p>
            <w:pPr>
              <w:spacing w:line="360" w:lineRule="auto"/>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噪声</w:t>
            </w:r>
          </w:p>
        </w:tc>
        <w:tc>
          <w:tcPr>
            <w:tcW w:w="4678" w:type="dxa"/>
            <w:noWrap w:val="0"/>
            <w:vAlign w:val="center"/>
          </w:tcPr>
          <w:p>
            <w:pPr>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声级计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noWrap w:val="0"/>
            <w:vAlign w:val="center"/>
          </w:tcPr>
          <w:p>
            <w:pPr>
              <w:spacing w:line="360" w:lineRule="auto"/>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8</w:t>
            </w:r>
          </w:p>
        </w:tc>
        <w:tc>
          <w:tcPr>
            <w:tcW w:w="2977" w:type="dxa"/>
            <w:noWrap w:val="0"/>
            <w:vAlign w:val="center"/>
          </w:tcPr>
          <w:p>
            <w:pPr>
              <w:spacing w:line="36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绝缘电阻</w:t>
            </w:r>
          </w:p>
        </w:tc>
        <w:tc>
          <w:tcPr>
            <w:tcW w:w="4678" w:type="dxa"/>
            <w:noWrap w:val="0"/>
            <w:vAlign w:val="center"/>
          </w:tcPr>
          <w:p>
            <w:pPr>
              <w:spacing w:line="360" w:lineRule="auto"/>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绝缘电阻测试仪</w:t>
            </w:r>
          </w:p>
        </w:tc>
      </w:tr>
    </w:tbl>
    <w:p>
      <w:pPr>
        <w:pStyle w:val="4"/>
        <w:numPr>
          <w:ilvl w:val="0"/>
          <w:numId w:val="0"/>
        </w:numPr>
        <w:spacing w:before="0" w:after="0"/>
        <w:ind w:leftChars="0"/>
        <w:rPr>
          <w:b w:val="0"/>
          <w:sz w:val="24"/>
          <w:szCs w:val="24"/>
        </w:rPr>
      </w:pPr>
      <w:r>
        <w:rPr>
          <w:rFonts w:hint="eastAsia"/>
          <w:b w:val="0"/>
          <w:sz w:val="24"/>
          <w:szCs w:val="24"/>
          <w:lang w:val="en-US" w:eastAsia="zh-CN"/>
        </w:rPr>
        <w:t>3.6</w:t>
      </w:r>
      <w:r>
        <w:rPr>
          <w:b w:val="0"/>
          <w:sz w:val="24"/>
          <w:szCs w:val="24"/>
        </w:rPr>
        <w:t>关于校准方法</w:t>
      </w:r>
    </w:p>
    <w:bookmarkEnd w:id="9"/>
    <w:bookmarkEnd w:id="10"/>
    <w:bookmarkEnd w:id="11"/>
    <w:bookmarkEnd w:id="12"/>
    <w:p>
      <w:pPr>
        <w:numPr>
          <w:ilvl w:val="0"/>
          <w:numId w:val="0"/>
        </w:numPr>
        <w:spacing w:line="360" w:lineRule="auto"/>
        <w:ind w:leftChars="0"/>
        <w:rPr>
          <w:rFonts w:hint="eastAsia" w:hAnsi="宋体"/>
          <w:sz w:val="24"/>
          <w:lang w:val="en-US" w:eastAsia="zh-CN"/>
        </w:rPr>
      </w:pPr>
      <w:r>
        <w:rPr>
          <w:rFonts w:hint="eastAsia" w:hAnsi="宋体"/>
          <w:sz w:val="24"/>
          <w:lang w:val="en-US" w:eastAsia="zh-CN"/>
        </w:rPr>
        <w:t>3.6.1零点漂移的校准</w:t>
      </w:r>
    </w:p>
    <w:p>
      <w:pPr>
        <w:numPr>
          <w:ilvl w:val="0"/>
          <w:numId w:val="0"/>
        </w:numPr>
        <w:spacing w:line="360" w:lineRule="auto"/>
        <w:ind w:leftChars="0" w:firstLine="480" w:firstLineChars="200"/>
        <w:rPr>
          <w:rFonts w:hint="eastAsia" w:hAnsi="宋体"/>
          <w:sz w:val="24"/>
          <w:lang w:val="en-US" w:eastAsia="zh-CN"/>
        </w:rPr>
      </w:pPr>
      <w:r>
        <w:rPr>
          <w:rFonts w:hint="eastAsia" w:hAnsi="宋体"/>
          <w:sz w:val="24"/>
          <w:lang w:val="en-US" w:eastAsia="zh-CN"/>
        </w:rPr>
        <w:t>参考试验机通用技术要求中对零点漂移的校准方法。</w:t>
      </w:r>
    </w:p>
    <w:p>
      <w:pPr>
        <w:numPr>
          <w:ilvl w:val="0"/>
          <w:numId w:val="0"/>
        </w:numPr>
        <w:spacing w:line="360" w:lineRule="auto"/>
        <w:ind w:leftChars="0"/>
        <w:rPr>
          <w:rFonts w:hint="eastAsia" w:hAnsi="宋体"/>
          <w:sz w:val="24"/>
          <w:lang w:val="en-US" w:eastAsia="zh-CN"/>
        </w:rPr>
      </w:pPr>
      <w:r>
        <w:rPr>
          <w:rFonts w:hint="eastAsia" w:hAnsi="宋体"/>
          <w:sz w:val="24"/>
          <w:lang w:val="en-US" w:eastAsia="zh-CN"/>
        </w:rPr>
        <w:t>3.6.2相对分辨力的校准</w:t>
      </w:r>
    </w:p>
    <w:p>
      <w:pPr>
        <w:numPr>
          <w:ilvl w:val="0"/>
          <w:numId w:val="0"/>
        </w:numPr>
        <w:spacing w:line="360" w:lineRule="auto"/>
        <w:ind w:leftChars="0" w:firstLine="480" w:firstLineChars="200"/>
        <w:rPr>
          <w:rFonts w:hint="default" w:hAnsi="宋体"/>
          <w:sz w:val="24"/>
          <w:lang w:val="en-US" w:eastAsia="zh-CN"/>
        </w:rPr>
      </w:pPr>
      <w:r>
        <w:rPr>
          <w:rFonts w:hint="eastAsia" w:hAnsi="宋体"/>
          <w:sz w:val="24"/>
          <w:lang w:val="en-US" w:eastAsia="zh-CN"/>
        </w:rPr>
        <w:t>参考试验机通用技术要求中对零点漂移的校准方法。</w:t>
      </w:r>
    </w:p>
    <w:p>
      <w:pPr>
        <w:numPr>
          <w:ilvl w:val="0"/>
          <w:numId w:val="0"/>
        </w:numPr>
        <w:spacing w:line="360" w:lineRule="auto"/>
        <w:ind w:leftChars="0"/>
        <w:rPr>
          <w:rFonts w:hint="eastAsia" w:hAnsi="宋体"/>
          <w:sz w:val="24"/>
          <w:lang w:val="en-US" w:eastAsia="zh-CN"/>
        </w:rPr>
      </w:pPr>
      <w:r>
        <w:rPr>
          <w:rFonts w:hint="eastAsia" w:hAnsi="宋体"/>
          <w:sz w:val="24"/>
          <w:lang w:val="en-US" w:eastAsia="zh-CN"/>
        </w:rPr>
        <w:t>3.6.3加荷速率的校准</w:t>
      </w:r>
    </w:p>
    <w:p>
      <w:pPr>
        <w:numPr>
          <w:ilvl w:val="0"/>
          <w:numId w:val="0"/>
        </w:numPr>
        <w:spacing w:line="360" w:lineRule="auto"/>
        <w:ind w:leftChars="0" w:firstLine="480" w:firstLineChars="200"/>
        <w:rPr>
          <w:rFonts w:hint="default" w:hAnsi="宋体"/>
          <w:sz w:val="24"/>
          <w:lang w:val="en-US" w:eastAsia="zh-CN"/>
        </w:rPr>
      </w:pPr>
      <w:r>
        <w:rPr>
          <w:rFonts w:hint="eastAsia" w:hAnsi="宋体"/>
          <w:sz w:val="24"/>
          <w:lang w:val="en-US" w:eastAsia="zh-CN"/>
        </w:rPr>
        <w:t>使用加荷速率检测仪校准时，应配合抗压夹具以及水泥胶砂试体进行，启动试验机进行施压，在试体破坏之后，通过加荷速率检测仪自动记录的加荷速率数据，获得从10kN到试体破坏后的加荷速率曲线。此项参数没有选择计算三次试验结果的平均值满足规范要求，而是选择三次试验结果均应满足规范要求，如果三次试验有某一次加荷速率超过了最大允许误差，将会对该次抗压强度试验的结果影响较大，因此选择了三次测量结果均应满足要求。</w:t>
      </w:r>
    </w:p>
    <w:p>
      <w:pPr>
        <w:numPr>
          <w:ilvl w:val="0"/>
          <w:numId w:val="0"/>
        </w:numPr>
        <w:spacing w:line="360" w:lineRule="auto"/>
        <w:ind w:leftChars="0"/>
        <w:rPr>
          <w:rFonts w:hint="eastAsia" w:hAnsi="宋体"/>
          <w:sz w:val="24"/>
          <w:lang w:val="en-US" w:eastAsia="zh-CN"/>
        </w:rPr>
      </w:pPr>
      <w:r>
        <w:rPr>
          <w:rFonts w:hint="eastAsia" w:hAnsi="宋体"/>
          <w:sz w:val="24"/>
          <w:lang w:val="en-US" w:eastAsia="zh-CN"/>
        </w:rPr>
        <w:t>3.6.4试验力的校准</w:t>
      </w:r>
    </w:p>
    <w:p>
      <w:pPr>
        <w:numPr>
          <w:ilvl w:val="0"/>
          <w:numId w:val="0"/>
        </w:numPr>
        <w:spacing w:line="360" w:lineRule="auto"/>
        <w:ind w:firstLine="480" w:firstLineChars="200"/>
        <w:rPr>
          <w:rFonts w:hint="default" w:hAnsi="宋体"/>
          <w:sz w:val="24"/>
          <w:lang w:val="en-US" w:eastAsia="zh-CN"/>
        </w:rPr>
      </w:pPr>
      <w:r>
        <w:rPr>
          <w:rFonts w:hint="eastAsia" w:hAnsi="宋体"/>
          <w:sz w:val="24"/>
          <w:lang w:val="en-US" w:eastAsia="zh-CN"/>
        </w:rPr>
        <w:t>标准测力仪应能够放置足够的时间，且需要以最大载荷预压三次，测量点应从10kN开始到最大载荷，中间均匀选择5个测量点，测量三次，每次都要在试验力进程时进行读数，计算三次测量的平均值，并得到示值相对误差和示值重复性相对误差。</w:t>
      </w:r>
    </w:p>
    <w:p>
      <w:pPr>
        <w:pStyle w:val="4"/>
        <w:numPr>
          <w:ilvl w:val="0"/>
          <w:numId w:val="0"/>
        </w:numPr>
        <w:spacing w:before="0" w:after="0"/>
        <w:ind w:leftChars="0"/>
        <w:rPr>
          <w:b w:val="0"/>
          <w:sz w:val="24"/>
          <w:szCs w:val="24"/>
        </w:rPr>
      </w:pPr>
      <w:r>
        <w:rPr>
          <w:rFonts w:hint="eastAsia"/>
          <w:b w:val="0"/>
          <w:sz w:val="24"/>
          <w:szCs w:val="24"/>
          <w:lang w:val="en-US" w:eastAsia="zh-CN"/>
        </w:rPr>
        <w:t>3.7</w:t>
      </w:r>
      <w:r>
        <w:rPr>
          <w:rFonts w:hint="eastAsia"/>
          <w:b w:val="0"/>
          <w:sz w:val="24"/>
          <w:szCs w:val="24"/>
        </w:rPr>
        <w:t>关于校准结果表达</w:t>
      </w:r>
    </w:p>
    <w:p>
      <w:pPr>
        <w:spacing w:line="360" w:lineRule="auto"/>
        <w:ind w:firstLine="480" w:firstLineChars="200"/>
        <w:rPr>
          <w:rFonts w:hint="eastAsia" w:hAnsi="宋体"/>
          <w:sz w:val="24"/>
        </w:rPr>
      </w:pPr>
      <w:r>
        <w:rPr>
          <w:rFonts w:hint="eastAsia" w:ascii="宋体" w:hAnsi="宋体"/>
          <w:color w:val="000000"/>
          <w:sz w:val="24"/>
        </w:rPr>
        <w:t>校准结果的表达主要参考了JJF 1071-2010中5.12条要求。</w:t>
      </w:r>
    </w:p>
    <w:p>
      <w:pPr>
        <w:pStyle w:val="4"/>
        <w:numPr>
          <w:ilvl w:val="0"/>
          <w:numId w:val="0"/>
        </w:numPr>
        <w:spacing w:before="0" w:after="0"/>
        <w:ind w:leftChars="0"/>
        <w:rPr>
          <w:b w:val="0"/>
          <w:sz w:val="24"/>
          <w:szCs w:val="24"/>
        </w:rPr>
      </w:pPr>
      <w:r>
        <w:rPr>
          <w:rFonts w:hint="eastAsia"/>
          <w:b w:val="0"/>
          <w:sz w:val="24"/>
          <w:szCs w:val="24"/>
          <w:lang w:val="en-US" w:eastAsia="zh-CN"/>
        </w:rPr>
        <w:t>3.8</w:t>
      </w:r>
      <w:r>
        <w:rPr>
          <w:b w:val="0"/>
          <w:sz w:val="24"/>
          <w:szCs w:val="24"/>
        </w:rPr>
        <w:t>关于附录</w:t>
      </w:r>
    </w:p>
    <w:p>
      <w:pPr>
        <w:tabs>
          <w:tab w:val="left" w:pos="720"/>
        </w:tabs>
        <w:autoSpaceDE w:val="0"/>
        <w:autoSpaceDN w:val="0"/>
        <w:adjustRightInd w:val="0"/>
        <w:spacing w:line="360" w:lineRule="auto"/>
        <w:ind w:firstLine="480" w:firstLineChars="200"/>
        <w:rPr>
          <w:rFonts w:hint="eastAsia"/>
          <w:color w:val="000000"/>
          <w:sz w:val="24"/>
        </w:rPr>
      </w:pPr>
      <w:r>
        <w:rPr>
          <w:rFonts w:hint="eastAsia"/>
          <w:color w:val="000000"/>
          <w:sz w:val="24"/>
        </w:rPr>
        <w:t>本部分列举了</w:t>
      </w:r>
      <w:r>
        <w:rPr>
          <w:rFonts w:hint="eastAsia" w:hAnsi="宋体"/>
          <w:color w:val="000000"/>
          <w:sz w:val="24"/>
          <w:lang w:val="en-US" w:eastAsia="zh-CN"/>
        </w:rPr>
        <w:t>恒定加力速度建筑材料试验机</w:t>
      </w:r>
      <w:r>
        <w:rPr>
          <w:rFonts w:hint="eastAsia" w:hAnsi="宋体"/>
          <w:color w:val="000000"/>
          <w:sz w:val="24"/>
        </w:rPr>
        <w:t>各项计量特性</w:t>
      </w:r>
      <w:r>
        <w:rPr>
          <w:rFonts w:hint="eastAsia"/>
          <w:color w:val="000000"/>
          <w:sz w:val="24"/>
        </w:rPr>
        <w:t>测量结果的不确定度评定示例、校准证书信息及校准记录（证书）参考格式、推荐原始记录格式、校准证书内页格式等。</w:t>
      </w:r>
    </w:p>
    <w:p>
      <w:pPr>
        <w:spacing w:line="360" w:lineRule="auto"/>
        <w:ind w:firstLine="480" w:firstLineChars="200"/>
        <w:rPr>
          <w:rFonts w:hint="eastAsia"/>
          <w:sz w:val="24"/>
        </w:rPr>
      </w:pPr>
    </w:p>
    <w:sectPr>
      <w:footerReference r:id="rId3" w:type="default"/>
      <w:pgSz w:w="11906" w:h="16838"/>
      <w:pgMar w:top="1440" w:right="1800" w:bottom="1440" w:left="1800" w:header="851" w:footer="992"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4</w:t>
    </w:r>
    <w:r>
      <w:rPr>
        <w:sz w:val="21"/>
        <w:szCs w:val="21"/>
      </w:rPr>
      <w:fldChar w:fldCharType="end"/>
    </w:r>
  </w:p>
  <w:p>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604503"/>
    <w:multiLevelType w:val="multilevel"/>
    <w:tmpl w:val="23604503"/>
    <w:lvl w:ilvl="0" w:tentative="0">
      <w:start w:val="1"/>
      <w:numFmt w:val="decimal"/>
      <w:lvlText w:val="%1"/>
      <w:lvlJc w:val="left"/>
      <w:pPr>
        <w:ind w:left="495" w:hanging="49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D6A4DF8"/>
    <w:multiLevelType w:val="multilevel"/>
    <w:tmpl w:val="3D6A4DF8"/>
    <w:lvl w:ilvl="0" w:tentative="0">
      <w:start w:val="1"/>
      <w:numFmt w:val="decimal"/>
      <w:pStyle w:val="40"/>
      <w:lvlText w:val="[%1]"/>
      <w:lvlJc w:val="left"/>
      <w:pPr>
        <w:tabs>
          <w:tab w:val="left" w:pos="360"/>
        </w:tabs>
        <w:ind w:left="360" w:hanging="360"/>
      </w:pPr>
      <w:rPr>
        <w:rFonts w:hint="default"/>
        <w:vertAlign w:val="superscrip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
    <w:nsid w:val="6CEA2025"/>
    <w:multiLevelType w:val="multilevel"/>
    <w:tmpl w:val="6CEA2025"/>
    <w:lvl w:ilvl="0" w:tentative="0">
      <w:start w:val="1"/>
      <w:numFmt w:val="none"/>
      <w:pStyle w:val="36"/>
      <w:suff w:val="nothing"/>
      <w:lvlText w:val="%1"/>
      <w:lvlJc w:val="left"/>
      <w:pPr>
        <w:ind w:left="0" w:firstLine="0"/>
      </w:pPr>
      <w:rPr>
        <w:rFonts w:hint="default" w:ascii="Times New Roman" w:hAnsi="Times New Roman"/>
        <w:b/>
        <w:i w:val="0"/>
        <w:sz w:val="21"/>
      </w:rPr>
    </w:lvl>
    <w:lvl w:ilvl="1" w:tentative="0">
      <w:start w:val="7"/>
      <w:numFmt w:val="decimal"/>
      <w:pStyle w:val="33"/>
      <w:suff w:val="nothing"/>
      <w:lvlText w:val="%1%2　"/>
      <w:lvlJc w:val="left"/>
      <w:pPr>
        <w:ind w:left="0" w:firstLine="0"/>
      </w:pPr>
      <w:rPr>
        <w:rFonts w:hint="eastAsia" w:ascii="黑体" w:hAnsi="Times New Roman" w:eastAsia="黑体"/>
        <w:b w:val="0"/>
        <w:i w:val="0"/>
        <w:sz w:val="21"/>
      </w:rPr>
    </w:lvl>
    <w:lvl w:ilvl="2" w:tentative="0">
      <w:start w:val="1"/>
      <w:numFmt w:val="decimal"/>
      <w:pStyle w:val="34"/>
      <w:suff w:val="nothing"/>
      <w:lvlText w:val="%1%2.%3　"/>
      <w:lvlJc w:val="left"/>
      <w:pPr>
        <w:ind w:left="0" w:firstLine="0"/>
      </w:pPr>
      <w:rPr>
        <w:rFonts w:hint="eastAsia" w:ascii="黑体" w:hAnsi="Times New Roman" w:eastAsia="黑体"/>
        <w:b w:val="0"/>
        <w:i w:val="0"/>
        <w:sz w:val="21"/>
      </w:rPr>
    </w:lvl>
    <w:lvl w:ilvl="3" w:tentative="0">
      <w:start w:val="4"/>
      <w:numFmt w:val="none"/>
      <w:pStyle w:val="35"/>
      <w:suff w:val="nothing"/>
      <w:lvlText w:val="7.4.1　"/>
      <w:lvlJc w:val="left"/>
      <w:pPr>
        <w:ind w:left="0" w:firstLine="0"/>
      </w:pPr>
      <w:rPr>
        <w:rFonts w:hint="eastAsia" w:ascii="黑体" w:hAnsi="Times New Roman" w:eastAsia="黑体"/>
        <w:b w:val="0"/>
        <w:i w:val="0"/>
        <w:sz w:val="21"/>
      </w:rPr>
    </w:lvl>
    <w:lvl w:ilvl="4" w:tentative="0">
      <w:start w:val="1"/>
      <w:numFmt w:val="decimal"/>
      <w:pStyle w:val="37"/>
      <w:suff w:val="nothing"/>
      <w:lvlText w:val="%1%2.%3.%4.%5　"/>
      <w:lvlJc w:val="left"/>
      <w:pPr>
        <w:ind w:left="0" w:firstLine="0"/>
      </w:pPr>
      <w:rPr>
        <w:rFonts w:hint="eastAsia" w:ascii="黑体" w:hAnsi="Times New Roman" w:eastAsia="黑体"/>
        <w:b w:val="0"/>
        <w:i w:val="0"/>
        <w:sz w:val="21"/>
      </w:rPr>
    </w:lvl>
    <w:lvl w:ilvl="5" w:tentative="0">
      <w:start w:val="1"/>
      <w:numFmt w:val="decimal"/>
      <w:pStyle w:val="38"/>
      <w:suff w:val="nothing"/>
      <w:lvlText w:val="%1%2.%3.%4.%5.%6　"/>
      <w:lvlJc w:val="left"/>
      <w:pPr>
        <w:ind w:left="0" w:firstLine="0"/>
      </w:pPr>
      <w:rPr>
        <w:rFonts w:hint="eastAsia" w:ascii="黑体" w:hAnsi="Times New Roman" w:eastAsia="黑体"/>
        <w:b w:val="0"/>
        <w:i w:val="0"/>
        <w:sz w:val="21"/>
      </w:rPr>
    </w:lvl>
    <w:lvl w:ilvl="6" w:tentative="0">
      <w:start w:val="1"/>
      <w:numFmt w:val="decimal"/>
      <w:pStyle w:val="3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7D99290A"/>
    <w:multiLevelType w:val="multilevel"/>
    <w:tmpl w:val="7D99290A"/>
    <w:lvl w:ilvl="0" w:tentative="0">
      <w:start w:val="3"/>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1.%2.%3"/>
      <w:lvlJc w:val="left"/>
      <w:pPr>
        <w:ind w:left="709" w:hanging="709"/>
      </w:pPr>
      <w:rPr>
        <w:rFonts w:hint="default" w:ascii="Times New Roman" w:hAnsi="Times New Roman" w:cs="Times New Roman"/>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jZDlkMmY5MDYwYTU1MzIzOTZlNGE4MjQ5ZTkwMmIifQ=="/>
  </w:docVars>
  <w:rsids>
    <w:rsidRoot w:val="00CA6C0C"/>
    <w:rsid w:val="0000499B"/>
    <w:rsid w:val="0000562A"/>
    <w:rsid w:val="00007BB7"/>
    <w:rsid w:val="00012CF5"/>
    <w:rsid w:val="00016A57"/>
    <w:rsid w:val="00021B45"/>
    <w:rsid w:val="00032E59"/>
    <w:rsid w:val="00035331"/>
    <w:rsid w:val="0004702D"/>
    <w:rsid w:val="00055F34"/>
    <w:rsid w:val="00060B45"/>
    <w:rsid w:val="0006141A"/>
    <w:rsid w:val="00071BFC"/>
    <w:rsid w:val="000746C8"/>
    <w:rsid w:val="00076D5A"/>
    <w:rsid w:val="0008112C"/>
    <w:rsid w:val="0008350F"/>
    <w:rsid w:val="00083E0E"/>
    <w:rsid w:val="00084400"/>
    <w:rsid w:val="00086CC2"/>
    <w:rsid w:val="00086E9D"/>
    <w:rsid w:val="00095193"/>
    <w:rsid w:val="000A3E7C"/>
    <w:rsid w:val="000C120C"/>
    <w:rsid w:val="000D4991"/>
    <w:rsid w:val="000E2531"/>
    <w:rsid w:val="000E28AC"/>
    <w:rsid w:val="00102B55"/>
    <w:rsid w:val="00103BDD"/>
    <w:rsid w:val="00113BE1"/>
    <w:rsid w:val="00114CEC"/>
    <w:rsid w:val="00117D59"/>
    <w:rsid w:val="0012748F"/>
    <w:rsid w:val="00130520"/>
    <w:rsid w:val="00131157"/>
    <w:rsid w:val="00133C45"/>
    <w:rsid w:val="00133F82"/>
    <w:rsid w:val="001477E7"/>
    <w:rsid w:val="00154D49"/>
    <w:rsid w:val="001620FA"/>
    <w:rsid w:val="00170ED1"/>
    <w:rsid w:val="001766BE"/>
    <w:rsid w:val="00176E46"/>
    <w:rsid w:val="00182C55"/>
    <w:rsid w:val="00186117"/>
    <w:rsid w:val="00186515"/>
    <w:rsid w:val="0019497C"/>
    <w:rsid w:val="00197CFC"/>
    <w:rsid w:val="001A0AC7"/>
    <w:rsid w:val="001A20DC"/>
    <w:rsid w:val="001A4FD1"/>
    <w:rsid w:val="001B019D"/>
    <w:rsid w:val="001B49FF"/>
    <w:rsid w:val="001B4AFD"/>
    <w:rsid w:val="001D6E8B"/>
    <w:rsid w:val="001E0395"/>
    <w:rsid w:val="001E11C1"/>
    <w:rsid w:val="00205976"/>
    <w:rsid w:val="00211164"/>
    <w:rsid w:val="00211427"/>
    <w:rsid w:val="002233A9"/>
    <w:rsid w:val="00231EC7"/>
    <w:rsid w:val="002345C3"/>
    <w:rsid w:val="00236140"/>
    <w:rsid w:val="00243722"/>
    <w:rsid w:val="00256BBC"/>
    <w:rsid w:val="00260702"/>
    <w:rsid w:val="002648C1"/>
    <w:rsid w:val="0026748A"/>
    <w:rsid w:val="00272288"/>
    <w:rsid w:val="002769B4"/>
    <w:rsid w:val="00282FE6"/>
    <w:rsid w:val="0028733D"/>
    <w:rsid w:val="002921FA"/>
    <w:rsid w:val="00297AD8"/>
    <w:rsid w:val="002A1D3C"/>
    <w:rsid w:val="002A3730"/>
    <w:rsid w:val="002B3951"/>
    <w:rsid w:val="002B7691"/>
    <w:rsid w:val="002C252D"/>
    <w:rsid w:val="002D7908"/>
    <w:rsid w:val="002F1CBF"/>
    <w:rsid w:val="002F4863"/>
    <w:rsid w:val="002F6B07"/>
    <w:rsid w:val="003228AA"/>
    <w:rsid w:val="003259B4"/>
    <w:rsid w:val="0033104B"/>
    <w:rsid w:val="00334A0C"/>
    <w:rsid w:val="00335690"/>
    <w:rsid w:val="00340A52"/>
    <w:rsid w:val="00344A32"/>
    <w:rsid w:val="003478FC"/>
    <w:rsid w:val="00361FA6"/>
    <w:rsid w:val="00375124"/>
    <w:rsid w:val="00384D7F"/>
    <w:rsid w:val="003918D0"/>
    <w:rsid w:val="003951B9"/>
    <w:rsid w:val="00395B2F"/>
    <w:rsid w:val="003A14CC"/>
    <w:rsid w:val="003A4F68"/>
    <w:rsid w:val="003A6924"/>
    <w:rsid w:val="003B23B7"/>
    <w:rsid w:val="003B719C"/>
    <w:rsid w:val="003C4028"/>
    <w:rsid w:val="003C43B0"/>
    <w:rsid w:val="003C693E"/>
    <w:rsid w:val="003D0383"/>
    <w:rsid w:val="003D1CD6"/>
    <w:rsid w:val="003D3CF8"/>
    <w:rsid w:val="003D40C7"/>
    <w:rsid w:val="003D7942"/>
    <w:rsid w:val="003E0E3F"/>
    <w:rsid w:val="003E1162"/>
    <w:rsid w:val="003E35A6"/>
    <w:rsid w:val="003E4603"/>
    <w:rsid w:val="003E612A"/>
    <w:rsid w:val="003F26C7"/>
    <w:rsid w:val="003F6189"/>
    <w:rsid w:val="0040197D"/>
    <w:rsid w:val="00402D7E"/>
    <w:rsid w:val="00410DDF"/>
    <w:rsid w:val="00412125"/>
    <w:rsid w:val="00415A68"/>
    <w:rsid w:val="00416A22"/>
    <w:rsid w:val="00426733"/>
    <w:rsid w:val="00430703"/>
    <w:rsid w:val="00431E1C"/>
    <w:rsid w:val="00434FAF"/>
    <w:rsid w:val="00437C0F"/>
    <w:rsid w:val="0044462F"/>
    <w:rsid w:val="00445E84"/>
    <w:rsid w:val="004556FE"/>
    <w:rsid w:val="0046190A"/>
    <w:rsid w:val="004639A0"/>
    <w:rsid w:val="004643EF"/>
    <w:rsid w:val="004666C9"/>
    <w:rsid w:val="004720BE"/>
    <w:rsid w:val="00482873"/>
    <w:rsid w:val="004852BC"/>
    <w:rsid w:val="00490FFB"/>
    <w:rsid w:val="00491995"/>
    <w:rsid w:val="00495CA3"/>
    <w:rsid w:val="004A0EAC"/>
    <w:rsid w:val="004A1E6E"/>
    <w:rsid w:val="004A2DDC"/>
    <w:rsid w:val="004B5C08"/>
    <w:rsid w:val="004B6F81"/>
    <w:rsid w:val="004C09AC"/>
    <w:rsid w:val="004C5BFC"/>
    <w:rsid w:val="004D3DC9"/>
    <w:rsid w:val="004E3641"/>
    <w:rsid w:val="004E662B"/>
    <w:rsid w:val="004F3E1D"/>
    <w:rsid w:val="004F654E"/>
    <w:rsid w:val="005053DF"/>
    <w:rsid w:val="00510DD0"/>
    <w:rsid w:val="00512F54"/>
    <w:rsid w:val="00516989"/>
    <w:rsid w:val="005169B2"/>
    <w:rsid w:val="00520E0F"/>
    <w:rsid w:val="00524A79"/>
    <w:rsid w:val="0052580E"/>
    <w:rsid w:val="005260A7"/>
    <w:rsid w:val="00527F5D"/>
    <w:rsid w:val="00540334"/>
    <w:rsid w:val="00541898"/>
    <w:rsid w:val="005645FF"/>
    <w:rsid w:val="00572D6A"/>
    <w:rsid w:val="005736C3"/>
    <w:rsid w:val="00576F7A"/>
    <w:rsid w:val="005879C7"/>
    <w:rsid w:val="005958F1"/>
    <w:rsid w:val="005A338F"/>
    <w:rsid w:val="005A4628"/>
    <w:rsid w:val="005C0DC6"/>
    <w:rsid w:val="005C3951"/>
    <w:rsid w:val="005C4C24"/>
    <w:rsid w:val="005C5AE6"/>
    <w:rsid w:val="005D1721"/>
    <w:rsid w:val="005D3A9D"/>
    <w:rsid w:val="005D74A0"/>
    <w:rsid w:val="005E3E22"/>
    <w:rsid w:val="005F6C12"/>
    <w:rsid w:val="006022AE"/>
    <w:rsid w:val="00604C09"/>
    <w:rsid w:val="006069F1"/>
    <w:rsid w:val="00606A2B"/>
    <w:rsid w:val="006145FB"/>
    <w:rsid w:val="006159A3"/>
    <w:rsid w:val="00622ACD"/>
    <w:rsid w:val="006300FB"/>
    <w:rsid w:val="006311C1"/>
    <w:rsid w:val="00632614"/>
    <w:rsid w:val="006416D5"/>
    <w:rsid w:val="006425EE"/>
    <w:rsid w:val="00643901"/>
    <w:rsid w:val="00647018"/>
    <w:rsid w:val="00651F84"/>
    <w:rsid w:val="006669CA"/>
    <w:rsid w:val="006713FA"/>
    <w:rsid w:val="00675A72"/>
    <w:rsid w:val="00680B67"/>
    <w:rsid w:val="00687257"/>
    <w:rsid w:val="00691398"/>
    <w:rsid w:val="006A1CE2"/>
    <w:rsid w:val="006A5C6B"/>
    <w:rsid w:val="006B4099"/>
    <w:rsid w:val="006B49BF"/>
    <w:rsid w:val="006B5C34"/>
    <w:rsid w:val="006C0FB7"/>
    <w:rsid w:val="006C45F5"/>
    <w:rsid w:val="006D57A2"/>
    <w:rsid w:val="006E016B"/>
    <w:rsid w:val="006E0B03"/>
    <w:rsid w:val="006E3532"/>
    <w:rsid w:val="006E4732"/>
    <w:rsid w:val="006F2C97"/>
    <w:rsid w:val="006F5E2B"/>
    <w:rsid w:val="0070101A"/>
    <w:rsid w:val="00707DAB"/>
    <w:rsid w:val="00710AB2"/>
    <w:rsid w:val="00722023"/>
    <w:rsid w:val="00724B4E"/>
    <w:rsid w:val="00724CD7"/>
    <w:rsid w:val="007251A4"/>
    <w:rsid w:val="00725664"/>
    <w:rsid w:val="00730F92"/>
    <w:rsid w:val="00732B3C"/>
    <w:rsid w:val="00735A1D"/>
    <w:rsid w:val="00745867"/>
    <w:rsid w:val="00750AAC"/>
    <w:rsid w:val="00751E07"/>
    <w:rsid w:val="00762187"/>
    <w:rsid w:val="00763FA5"/>
    <w:rsid w:val="00770F98"/>
    <w:rsid w:val="007738F1"/>
    <w:rsid w:val="007759C7"/>
    <w:rsid w:val="007771CC"/>
    <w:rsid w:val="0078446C"/>
    <w:rsid w:val="007961A6"/>
    <w:rsid w:val="0079746F"/>
    <w:rsid w:val="007A22FD"/>
    <w:rsid w:val="007B07C8"/>
    <w:rsid w:val="007B2C01"/>
    <w:rsid w:val="007C0B2E"/>
    <w:rsid w:val="007C1114"/>
    <w:rsid w:val="007D13DC"/>
    <w:rsid w:val="007E30AF"/>
    <w:rsid w:val="007F1109"/>
    <w:rsid w:val="007F137D"/>
    <w:rsid w:val="007F3921"/>
    <w:rsid w:val="00801732"/>
    <w:rsid w:val="008059D6"/>
    <w:rsid w:val="0081286F"/>
    <w:rsid w:val="00814E69"/>
    <w:rsid w:val="008232F2"/>
    <w:rsid w:val="00826F94"/>
    <w:rsid w:val="0082781C"/>
    <w:rsid w:val="00835AA1"/>
    <w:rsid w:val="00837C93"/>
    <w:rsid w:val="00846CB2"/>
    <w:rsid w:val="00870DBD"/>
    <w:rsid w:val="00872903"/>
    <w:rsid w:val="00877A55"/>
    <w:rsid w:val="00881F78"/>
    <w:rsid w:val="00886856"/>
    <w:rsid w:val="00887623"/>
    <w:rsid w:val="00896BDD"/>
    <w:rsid w:val="008A0510"/>
    <w:rsid w:val="008A3599"/>
    <w:rsid w:val="008A4603"/>
    <w:rsid w:val="008B5FDF"/>
    <w:rsid w:val="008C24A7"/>
    <w:rsid w:val="008C2939"/>
    <w:rsid w:val="008D6656"/>
    <w:rsid w:val="008E0B06"/>
    <w:rsid w:val="008F1285"/>
    <w:rsid w:val="00900606"/>
    <w:rsid w:val="00903C7E"/>
    <w:rsid w:val="009107AB"/>
    <w:rsid w:val="00912E83"/>
    <w:rsid w:val="00913A43"/>
    <w:rsid w:val="009144A7"/>
    <w:rsid w:val="00915DBA"/>
    <w:rsid w:val="009215F0"/>
    <w:rsid w:val="00924215"/>
    <w:rsid w:val="00927DCA"/>
    <w:rsid w:val="00930367"/>
    <w:rsid w:val="00937D5D"/>
    <w:rsid w:val="00943C30"/>
    <w:rsid w:val="009448A3"/>
    <w:rsid w:val="0096278F"/>
    <w:rsid w:val="009659C6"/>
    <w:rsid w:val="00970613"/>
    <w:rsid w:val="0097197A"/>
    <w:rsid w:val="009810CC"/>
    <w:rsid w:val="00986046"/>
    <w:rsid w:val="00987668"/>
    <w:rsid w:val="00987B17"/>
    <w:rsid w:val="0099067F"/>
    <w:rsid w:val="0099637C"/>
    <w:rsid w:val="00997201"/>
    <w:rsid w:val="009A2E54"/>
    <w:rsid w:val="009A6526"/>
    <w:rsid w:val="009A6D6C"/>
    <w:rsid w:val="009B1269"/>
    <w:rsid w:val="009C483A"/>
    <w:rsid w:val="009D2C6A"/>
    <w:rsid w:val="009D33A5"/>
    <w:rsid w:val="009D73DD"/>
    <w:rsid w:val="009E64EA"/>
    <w:rsid w:val="009E66D6"/>
    <w:rsid w:val="009F78B9"/>
    <w:rsid w:val="00A07120"/>
    <w:rsid w:val="00A07E01"/>
    <w:rsid w:val="00A11CD3"/>
    <w:rsid w:val="00A1321F"/>
    <w:rsid w:val="00A16DC0"/>
    <w:rsid w:val="00A22F25"/>
    <w:rsid w:val="00A271A7"/>
    <w:rsid w:val="00A274D2"/>
    <w:rsid w:val="00A3669C"/>
    <w:rsid w:val="00A426D8"/>
    <w:rsid w:val="00A455A7"/>
    <w:rsid w:val="00A47A4D"/>
    <w:rsid w:val="00A50E59"/>
    <w:rsid w:val="00A5272E"/>
    <w:rsid w:val="00A529ED"/>
    <w:rsid w:val="00A54152"/>
    <w:rsid w:val="00A62592"/>
    <w:rsid w:val="00A65872"/>
    <w:rsid w:val="00A662B9"/>
    <w:rsid w:val="00A66395"/>
    <w:rsid w:val="00A75EFD"/>
    <w:rsid w:val="00A84744"/>
    <w:rsid w:val="00A8504C"/>
    <w:rsid w:val="00A9247D"/>
    <w:rsid w:val="00A97D5C"/>
    <w:rsid w:val="00AA51D3"/>
    <w:rsid w:val="00AA5B34"/>
    <w:rsid w:val="00AA69CE"/>
    <w:rsid w:val="00AB03DB"/>
    <w:rsid w:val="00AC0E41"/>
    <w:rsid w:val="00AC6808"/>
    <w:rsid w:val="00AD42F3"/>
    <w:rsid w:val="00AD52F0"/>
    <w:rsid w:val="00AD771F"/>
    <w:rsid w:val="00AE1CAD"/>
    <w:rsid w:val="00AE2B5F"/>
    <w:rsid w:val="00AF4D4C"/>
    <w:rsid w:val="00B01686"/>
    <w:rsid w:val="00B01B58"/>
    <w:rsid w:val="00B0221F"/>
    <w:rsid w:val="00B127B7"/>
    <w:rsid w:val="00B17ED9"/>
    <w:rsid w:val="00B21F20"/>
    <w:rsid w:val="00B3388A"/>
    <w:rsid w:val="00B35E16"/>
    <w:rsid w:val="00B3653B"/>
    <w:rsid w:val="00B40174"/>
    <w:rsid w:val="00B47D86"/>
    <w:rsid w:val="00B53064"/>
    <w:rsid w:val="00B73EA1"/>
    <w:rsid w:val="00B760BB"/>
    <w:rsid w:val="00B82995"/>
    <w:rsid w:val="00BA01AD"/>
    <w:rsid w:val="00BA0CCF"/>
    <w:rsid w:val="00BA7C6A"/>
    <w:rsid w:val="00BB6173"/>
    <w:rsid w:val="00BB6B6C"/>
    <w:rsid w:val="00BC1B47"/>
    <w:rsid w:val="00BC313B"/>
    <w:rsid w:val="00BC5090"/>
    <w:rsid w:val="00BD1244"/>
    <w:rsid w:val="00BD2D87"/>
    <w:rsid w:val="00BD496B"/>
    <w:rsid w:val="00BE3065"/>
    <w:rsid w:val="00BE3E05"/>
    <w:rsid w:val="00BE426C"/>
    <w:rsid w:val="00BE64D5"/>
    <w:rsid w:val="00BF324F"/>
    <w:rsid w:val="00BF642D"/>
    <w:rsid w:val="00C00269"/>
    <w:rsid w:val="00C046A5"/>
    <w:rsid w:val="00C0502B"/>
    <w:rsid w:val="00C050C4"/>
    <w:rsid w:val="00C115E3"/>
    <w:rsid w:val="00C13343"/>
    <w:rsid w:val="00C1681A"/>
    <w:rsid w:val="00C20702"/>
    <w:rsid w:val="00C2399C"/>
    <w:rsid w:val="00C24492"/>
    <w:rsid w:val="00C301BB"/>
    <w:rsid w:val="00C409CA"/>
    <w:rsid w:val="00C500EA"/>
    <w:rsid w:val="00C520DD"/>
    <w:rsid w:val="00C5650B"/>
    <w:rsid w:val="00C6112F"/>
    <w:rsid w:val="00C6513F"/>
    <w:rsid w:val="00C6530C"/>
    <w:rsid w:val="00C66676"/>
    <w:rsid w:val="00C71502"/>
    <w:rsid w:val="00C806FB"/>
    <w:rsid w:val="00C861D4"/>
    <w:rsid w:val="00C94D17"/>
    <w:rsid w:val="00CA0344"/>
    <w:rsid w:val="00CA1DD4"/>
    <w:rsid w:val="00CA296E"/>
    <w:rsid w:val="00CA320A"/>
    <w:rsid w:val="00CA34D2"/>
    <w:rsid w:val="00CA56C1"/>
    <w:rsid w:val="00CA56F4"/>
    <w:rsid w:val="00CA6C0C"/>
    <w:rsid w:val="00CC287F"/>
    <w:rsid w:val="00CC2D2B"/>
    <w:rsid w:val="00CC6896"/>
    <w:rsid w:val="00CC7C3E"/>
    <w:rsid w:val="00CD00FE"/>
    <w:rsid w:val="00CD036D"/>
    <w:rsid w:val="00CE0165"/>
    <w:rsid w:val="00CF1582"/>
    <w:rsid w:val="00CF7503"/>
    <w:rsid w:val="00D00B7A"/>
    <w:rsid w:val="00D1210E"/>
    <w:rsid w:val="00D122B6"/>
    <w:rsid w:val="00D17B51"/>
    <w:rsid w:val="00D20831"/>
    <w:rsid w:val="00D22122"/>
    <w:rsid w:val="00D255BC"/>
    <w:rsid w:val="00D26245"/>
    <w:rsid w:val="00D2730E"/>
    <w:rsid w:val="00D35A9A"/>
    <w:rsid w:val="00D43B5F"/>
    <w:rsid w:val="00D44745"/>
    <w:rsid w:val="00D448C4"/>
    <w:rsid w:val="00D4772F"/>
    <w:rsid w:val="00D524E8"/>
    <w:rsid w:val="00D526B5"/>
    <w:rsid w:val="00D531A6"/>
    <w:rsid w:val="00D54D55"/>
    <w:rsid w:val="00D65E2C"/>
    <w:rsid w:val="00D74119"/>
    <w:rsid w:val="00D76565"/>
    <w:rsid w:val="00D83A0F"/>
    <w:rsid w:val="00D91569"/>
    <w:rsid w:val="00D91EEE"/>
    <w:rsid w:val="00D94E95"/>
    <w:rsid w:val="00D94FFD"/>
    <w:rsid w:val="00D96CEE"/>
    <w:rsid w:val="00DA3AE5"/>
    <w:rsid w:val="00DB5595"/>
    <w:rsid w:val="00DB6F62"/>
    <w:rsid w:val="00DC4DC7"/>
    <w:rsid w:val="00DE4DAF"/>
    <w:rsid w:val="00DF684D"/>
    <w:rsid w:val="00DF74D5"/>
    <w:rsid w:val="00E01FDC"/>
    <w:rsid w:val="00E07F47"/>
    <w:rsid w:val="00E258F9"/>
    <w:rsid w:val="00E31060"/>
    <w:rsid w:val="00E32227"/>
    <w:rsid w:val="00E32C76"/>
    <w:rsid w:val="00E33E2F"/>
    <w:rsid w:val="00E44927"/>
    <w:rsid w:val="00E46FDD"/>
    <w:rsid w:val="00E47CE8"/>
    <w:rsid w:val="00E51693"/>
    <w:rsid w:val="00E51F7F"/>
    <w:rsid w:val="00E65F62"/>
    <w:rsid w:val="00E8522F"/>
    <w:rsid w:val="00E85B7B"/>
    <w:rsid w:val="00E90C80"/>
    <w:rsid w:val="00E90DC0"/>
    <w:rsid w:val="00E915B1"/>
    <w:rsid w:val="00E945A5"/>
    <w:rsid w:val="00EA0B04"/>
    <w:rsid w:val="00EA51EB"/>
    <w:rsid w:val="00EB77B2"/>
    <w:rsid w:val="00EC2F38"/>
    <w:rsid w:val="00ED6EC2"/>
    <w:rsid w:val="00EE038B"/>
    <w:rsid w:val="00EE2D28"/>
    <w:rsid w:val="00EE2EA6"/>
    <w:rsid w:val="00F0319C"/>
    <w:rsid w:val="00F233D2"/>
    <w:rsid w:val="00F270E0"/>
    <w:rsid w:val="00F32783"/>
    <w:rsid w:val="00F33B5A"/>
    <w:rsid w:val="00F46F2C"/>
    <w:rsid w:val="00F5145D"/>
    <w:rsid w:val="00F51893"/>
    <w:rsid w:val="00F604D1"/>
    <w:rsid w:val="00F607B6"/>
    <w:rsid w:val="00F6647E"/>
    <w:rsid w:val="00F71D31"/>
    <w:rsid w:val="00F72738"/>
    <w:rsid w:val="00F72891"/>
    <w:rsid w:val="00F75453"/>
    <w:rsid w:val="00F75AD4"/>
    <w:rsid w:val="00F764E9"/>
    <w:rsid w:val="00F769F1"/>
    <w:rsid w:val="00F87513"/>
    <w:rsid w:val="00F927DB"/>
    <w:rsid w:val="00FA10AF"/>
    <w:rsid w:val="00FA422A"/>
    <w:rsid w:val="00FA4627"/>
    <w:rsid w:val="00FB1CB9"/>
    <w:rsid w:val="00FB3D85"/>
    <w:rsid w:val="00FC0F50"/>
    <w:rsid w:val="00FC39CE"/>
    <w:rsid w:val="00FC7996"/>
    <w:rsid w:val="00FD133A"/>
    <w:rsid w:val="00FE01E2"/>
    <w:rsid w:val="00FE0FA0"/>
    <w:rsid w:val="00FE331F"/>
    <w:rsid w:val="00FE447C"/>
    <w:rsid w:val="00FF0E9D"/>
    <w:rsid w:val="00FF2ACB"/>
    <w:rsid w:val="00FF3D27"/>
    <w:rsid w:val="16350F85"/>
    <w:rsid w:val="72D3105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kern w:val="2"/>
      <w:sz w:val="21"/>
      <w:szCs w:val="24"/>
      <w:lang w:val="en-US" w:eastAsia="zh-CN" w:bidi="ar-SA"/>
    </w:rPr>
  </w:style>
  <w:style w:type="paragraph" w:styleId="2">
    <w:name w:val="heading 1"/>
    <w:basedOn w:val="1"/>
    <w:next w:val="1"/>
    <w:link w:val="18"/>
    <w:qFormat/>
    <w:uiPriority w:val="9"/>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1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0"/>
    <w:qFormat/>
    <w:uiPriority w:val="0"/>
    <w:pPr>
      <w:keepNext/>
      <w:keepLines/>
      <w:spacing w:before="260" w:after="260" w:line="416" w:lineRule="auto"/>
      <w:outlineLvl w:val="2"/>
    </w:pPr>
    <w:rPr>
      <w:b/>
      <w:bCs/>
      <w:sz w:val="32"/>
      <w:szCs w:val="32"/>
    </w:rPr>
  </w:style>
  <w:style w:type="paragraph" w:styleId="5">
    <w:name w:val="heading 4"/>
    <w:basedOn w:val="1"/>
    <w:next w:val="1"/>
    <w:link w:val="2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6">
    <w:name w:val="Default Paragraph Font"/>
    <w:unhideWhenUsed/>
    <w:uiPriority w:val="1"/>
  </w:style>
  <w:style w:type="table" w:default="1" w:styleId="14">
    <w:name w:val="Normal Table"/>
    <w:unhideWhenUsed/>
    <w:qFormat/>
    <w:uiPriority w:val="99"/>
    <w:tblPr>
      <w:tblStyle w:val="14"/>
      <w:tblCellMar>
        <w:top w:w="0" w:type="dxa"/>
        <w:left w:w="108" w:type="dxa"/>
        <w:bottom w:w="0" w:type="dxa"/>
        <w:right w:w="108" w:type="dxa"/>
      </w:tblCellMar>
    </w:tblPr>
  </w:style>
  <w:style w:type="paragraph" w:styleId="6">
    <w:name w:val="Normal Indent"/>
    <w:basedOn w:val="1"/>
    <w:uiPriority w:val="0"/>
    <w:pPr>
      <w:ind w:firstLine="420"/>
    </w:pPr>
    <w:rPr>
      <w:rFonts w:ascii="Arial" w:hAnsi="Arial"/>
      <w:w w:val="98"/>
      <w:kern w:val="0"/>
      <w:sz w:val="24"/>
      <w:szCs w:val="20"/>
    </w:rPr>
  </w:style>
  <w:style w:type="paragraph" w:styleId="7">
    <w:name w:val="Document Map"/>
    <w:basedOn w:val="1"/>
    <w:link w:val="22"/>
    <w:unhideWhenUsed/>
    <w:uiPriority w:val="99"/>
    <w:rPr>
      <w:rFonts w:ascii="宋体"/>
      <w:sz w:val="18"/>
      <w:szCs w:val="18"/>
    </w:rPr>
  </w:style>
  <w:style w:type="paragraph" w:styleId="8">
    <w:name w:val="annotation text"/>
    <w:basedOn w:val="1"/>
    <w:link w:val="23"/>
    <w:unhideWhenUsed/>
    <w:uiPriority w:val="99"/>
    <w:pPr>
      <w:jc w:val="left"/>
    </w:pPr>
    <w:rPr>
      <w:rFonts w:ascii="Calibri" w:hAnsi="Calibri"/>
      <w:szCs w:val="22"/>
    </w:rPr>
  </w:style>
  <w:style w:type="paragraph" w:styleId="9">
    <w:name w:val="Body Text"/>
    <w:basedOn w:val="1"/>
    <w:link w:val="24"/>
    <w:unhideWhenUsed/>
    <w:uiPriority w:val="99"/>
    <w:pPr>
      <w:spacing w:after="120"/>
    </w:pPr>
  </w:style>
  <w:style w:type="paragraph" w:styleId="10">
    <w:name w:val="Body Text Indent"/>
    <w:basedOn w:val="1"/>
    <w:link w:val="25"/>
    <w:uiPriority w:val="0"/>
    <w:pPr>
      <w:ind w:firstLine="234"/>
    </w:pPr>
    <w:rPr>
      <w:rFonts w:ascii="Arial" w:hAnsi="Arial"/>
      <w:w w:val="98"/>
      <w:kern w:val="0"/>
      <w:sz w:val="24"/>
      <w:szCs w:val="20"/>
    </w:rPr>
  </w:style>
  <w:style w:type="paragraph" w:styleId="11">
    <w:name w:val="Balloon Text"/>
    <w:basedOn w:val="1"/>
    <w:link w:val="26"/>
    <w:unhideWhenUsed/>
    <w:uiPriority w:val="99"/>
    <w:rPr>
      <w:sz w:val="18"/>
      <w:szCs w:val="18"/>
    </w:rPr>
  </w:style>
  <w:style w:type="paragraph" w:styleId="12">
    <w:name w:val="footer"/>
    <w:basedOn w:val="1"/>
    <w:link w:val="27"/>
    <w:unhideWhenUsed/>
    <w:uiPriority w:val="99"/>
    <w:pPr>
      <w:tabs>
        <w:tab w:val="center" w:pos="4153"/>
        <w:tab w:val="right" w:pos="8306"/>
      </w:tabs>
      <w:snapToGrid w:val="0"/>
      <w:jc w:val="left"/>
    </w:pPr>
    <w:rPr>
      <w:sz w:val="18"/>
      <w:szCs w:val="18"/>
    </w:rPr>
  </w:style>
  <w:style w:type="paragraph" w:styleId="13">
    <w:name w:val="header"/>
    <w:basedOn w:val="1"/>
    <w:link w:val="28"/>
    <w:unhideWhenUsed/>
    <w:uiPriority w:val="99"/>
    <w:pPr>
      <w:pBdr>
        <w:bottom w:val="single" w:color="auto" w:sz="6" w:space="1"/>
      </w:pBdr>
      <w:tabs>
        <w:tab w:val="center" w:pos="4153"/>
        <w:tab w:val="right" w:pos="8306"/>
      </w:tabs>
      <w:snapToGrid w:val="0"/>
      <w:jc w:val="center"/>
    </w:pPr>
    <w:rPr>
      <w:sz w:val="18"/>
      <w:szCs w:val="18"/>
    </w:rPr>
  </w:style>
  <w:style w:type="table" w:styleId="15">
    <w:name w:val="Table Grid"/>
    <w:basedOn w:val="14"/>
    <w:uiPriority w:val="0"/>
    <w:pPr>
      <w:widowControl w:val="0"/>
      <w:jc w:val="both"/>
    </w:pPr>
    <w:tblPr>
      <w:tblStyle w:val="1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annotation reference"/>
    <w:unhideWhenUsed/>
    <w:uiPriority w:val="99"/>
    <w:rPr>
      <w:sz w:val="21"/>
      <w:szCs w:val="21"/>
    </w:rPr>
  </w:style>
  <w:style w:type="character" w:customStyle="1" w:styleId="18">
    <w:name w:val="标题 1 Char"/>
    <w:link w:val="2"/>
    <w:uiPriority w:val="9"/>
    <w:rPr>
      <w:rFonts w:ascii="Calibri" w:hAnsi="Calibri" w:eastAsia="宋体" w:cs="Times New Roman"/>
      <w:b/>
      <w:bCs/>
      <w:kern w:val="44"/>
      <w:sz w:val="44"/>
      <w:szCs w:val="44"/>
    </w:rPr>
  </w:style>
  <w:style w:type="character" w:customStyle="1" w:styleId="19">
    <w:name w:val="标题 2 Char"/>
    <w:link w:val="3"/>
    <w:uiPriority w:val="0"/>
    <w:rPr>
      <w:rFonts w:ascii="Arial" w:hAnsi="Arial" w:eastAsia="黑体" w:cs="Times New Roman"/>
      <w:b/>
      <w:bCs/>
      <w:sz w:val="32"/>
      <w:szCs w:val="32"/>
    </w:rPr>
  </w:style>
  <w:style w:type="character" w:customStyle="1" w:styleId="20">
    <w:name w:val="标题 3 Char"/>
    <w:link w:val="4"/>
    <w:uiPriority w:val="0"/>
    <w:rPr>
      <w:rFonts w:ascii="Times New Roman" w:hAnsi="Times New Roman" w:eastAsia="宋体" w:cs="Times New Roman"/>
      <w:b/>
      <w:bCs/>
      <w:sz w:val="32"/>
      <w:szCs w:val="32"/>
    </w:rPr>
  </w:style>
  <w:style w:type="character" w:customStyle="1" w:styleId="21">
    <w:name w:val="标题 4 Char"/>
    <w:link w:val="5"/>
    <w:uiPriority w:val="0"/>
    <w:rPr>
      <w:rFonts w:ascii="Arial" w:hAnsi="Arial" w:eastAsia="黑体"/>
      <w:b/>
      <w:sz w:val="28"/>
    </w:rPr>
  </w:style>
  <w:style w:type="character" w:customStyle="1" w:styleId="22">
    <w:name w:val="文档结构图 Char"/>
    <w:link w:val="7"/>
    <w:semiHidden/>
    <w:uiPriority w:val="99"/>
    <w:rPr>
      <w:rFonts w:ascii="宋体" w:hAnsi="Times New Roman" w:eastAsia="宋体" w:cs="Times New Roman"/>
      <w:sz w:val="18"/>
      <w:szCs w:val="18"/>
    </w:rPr>
  </w:style>
  <w:style w:type="character" w:customStyle="1" w:styleId="23">
    <w:name w:val="批注文字 Char"/>
    <w:link w:val="8"/>
    <w:semiHidden/>
    <w:uiPriority w:val="99"/>
    <w:rPr>
      <w:rFonts w:ascii="Calibri" w:hAnsi="Calibri" w:eastAsia="宋体" w:cs="Times New Roman"/>
    </w:rPr>
  </w:style>
  <w:style w:type="character" w:customStyle="1" w:styleId="24">
    <w:name w:val="正文文本 Char"/>
    <w:link w:val="9"/>
    <w:semiHidden/>
    <w:uiPriority w:val="99"/>
    <w:rPr>
      <w:rFonts w:ascii="Times New Roman" w:hAnsi="Times New Roman"/>
      <w:kern w:val="2"/>
      <w:sz w:val="21"/>
      <w:szCs w:val="24"/>
    </w:rPr>
  </w:style>
  <w:style w:type="character" w:customStyle="1" w:styleId="25">
    <w:name w:val="正文文本缩进 Char"/>
    <w:link w:val="10"/>
    <w:uiPriority w:val="0"/>
    <w:rPr>
      <w:rFonts w:ascii="Arial" w:hAnsi="Arial"/>
      <w:w w:val="98"/>
      <w:sz w:val="24"/>
    </w:rPr>
  </w:style>
  <w:style w:type="character" w:customStyle="1" w:styleId="26">
    <w:name w:val="批注框文本 Char"/>
    <w:link w:val="11"/>
    <w:semiHidden/>
    <w:uiPriority w:val="99"/>
    <w:rPr>
      <w:rFonts w:ascii="Times New Roman" w:hAnsi="Times New Roman" w:eastAsia="宋体" w:cs="Times New Roman"/>
      <w:sz w:val="18"/>
      <w:szCs w:val="18"/>
    </w:rPr>
  </w:style>
  <w:style w:type="character" w:customStyle="1" w:styleId="27">
    <w:name w:val="页脚 Char"/>
    <w:link w:val="12"/>
    <w:uiPriority w:val="99"/>
    <w:rPr>
      <w:rFonts w:ascii="Times New Roman" w:hAnsi="Times New Roman" w:eastAsia="宋体" w:cs="Times New Roman"/>
      <w:sz w:val="18"/>
      <w:szCs w:val="18"/>
    </w:rPr>
  </w:style>
  <w:style w:type="character" w:customStyle="1" w:styleId="28">
    <w:name w:val="页眉 Char"/>
    <w:link w:val="13"/>
    <w:uiPriority w:val="99"/>
    <w:rPr>
      <w:rFonts w:ascii="Times New Roman" w:hAnsi="Times New Roman" w:eastAsia="宋体" w:cs="Times New Roman"/>
      <w:sz w:val="18"/>
      <w:szCs w:val="18"/>
    </w:rPr>
  </w:style>
  <w:style w:type="paragraph" w:customStyle="1" w:styleId="29">
    <w:name w:val="Char Char Char Char"/>
    <w:basedOn w:val="1"/>
    <w:next w:val="1"/>
    <w:uiPriority w:val="0"/>
    <w:pPr>
      <w:spacing w:line="360" w:lineRule="auto"/>
      <w:jc w:val="left"/>
    </w:pPr>
    <w:rPr>
      <w:sz w:val="28"/>
    </w:rPr>
  </w:style>
  <w:style w:type="paragraph" w:customStyle="1" w:styleId="30">
    <w:name w:val="标准文件_段"/>
    <w:uiPriority w:val="0"/>
    <w:pPr>
      <w:widowControl w:val="0"/>
      <w:autoSpaceDE w:val="0"/>
      <w:autoSpaceDN w:val="0"/>
      <w:adjustRightInd w:val="0"/>
      <w:snapToGrid w:val="0"/>
      <w:spacing w:line="276" w:lineRule="auto"/>
      <w:ind w:right="-105" w:rightChars="-50" w:firstLine="488" w:firstLineChars="200"/>
      <w:jc w:val="both"/>
    </w:pPr>
    <w:rPr>
      <w:rFonts w:ascii="宋体" w:hAnsi="宋体"/>
      <w:spacing w:val="2"/>
      <w:sz w:val="24"/>
      <w:szCs w:val="24"/>
      <w:lang w:val="en-US" w:eastAsia="zh-CN" w:bidi="ar-SA"/>
    </w:rPr>
  </w:style>
  <w:style w:type="paragraph" w:styleId="31">
    <w:name w:val="List Paragraph"/>
    <w:basedOn w:val="1"/>
    <w:qFormat/>
    <w:uiPriority w:val="34"/>
    <w:pPr>
      <w:ind w:firstLine="420" w:firstLineChars="200"/>
    </w:pPr>
  </w:style>
  <w:style w:type="paragraph" w:customStyle="1" w:styleId="32">
    <w:name w:val="Char Char1 Char Char Char Char Char Char Char Char"/>
    <w:basedOn w:val="1"/>
    <w:uiPriority w:val="0"/>
    <w:pPr>
      <w:widowControl/>
      <w:spacing w:after="160" w:line="240" w:lineRule="exact"/>
      <w:jc w:val="left"/>
    </w:pPr>
    <w:rPr>
      <w:rFonts w:ascii="Verdana" w:hAnsi="Verdana"/>
      <w:kern w:val="0"/>
      <w:sz w:val="18"/>
      <w:szCs w:val="20"/>
      <w:lang w:eastAsia="en-US"/>
    </w:rPr>
  </w:style>
  <w:style w:type="paragraph" w:customStyle="1" w:styleId="33">
    <w:name w:val="标准文件_章标题"/>
    <w:next w:val="30"/>
    <w:uiPriority w:val="0"/>
    <w:pPr>
      <w:numPr>
        <w:ilvl w:val="1"/>
        <w:numId w:val="1"/>
      </w:numPr>
      <w:spacing w:before="50" w:beforeLines="50" w:after="50" w:afterLines="50"/>
      <w:ind w:right="-50" w:rightChars="-50"/>
      <w:jc w:val="both"/>
      <w:outlineLvl w:val="1"/>
    </w:pPr>
    <w:rPr>
      <w:rFonts w:ascii="黑体" w:hAnsi="Times New Roman" w:eastAsia="黑体"/>
      <w:spacing w:val="2"/>
      <w:sz w:val="21"/>
      <w:lang w:val="en-US" w:eastAsia="zh-CN" w:bidi="ar-SA"/>
    </w:rPr>
  </w:style>
  <w:style w:type="paragraph" w:customStyle="1" w:styleId="34">
    <w:name w:val="标准文件_一级条标题"/>
    <w:basedOn w:val="33"/>
    <w:next w:val="30"/>
    <w:uiPriority w:val="0"/>
    <w:pPr>
      <w:numPr>
        <w:ilvl w:val="2"/>
        <w:numId w:val="1"/>
      </w:numPr>
      <w:spacing w:before="0" w:beforeLines="0" w:after="0" w:afterLines="0"/>
      <w:outlineLvl w:val="2"/>
    </w:pPr>
  </w:style>
  <w:style w:type="paragraph" w:customStyle="1" w:styleId="35">
    <w:name w:val="标准文件_二级条标题"/>
    <w:basedOn w:val="34"/>
    <w:next w:val="30"/>
    <w:uiPriority w:val="0"/>
    <w:pPr>
      <w:numPr>
        <w:ilvl w:val="3"/>
        <w:numId w:val="1"/>
      </w:numPr>
      <w:outlineLvl w:val="3"/>
    </w:pPr>
  </w:style>
  <w:style w:type="paragraph" w:customStyle="1" w:styleId="36">
    <w:name w:val="前言标题"/>
    <w:next w:val="1"/>
    <w:uiPriority w:val="0"/>
    <w:pPr>
      <w:numPr>
        <w:ilvl w:val="0"/>
        <w:numId w:val="1"/>
      </w:numPr>
      <w:shd w:val="clear" w:color="FFFFFF" w:fill="FFFFFF"/>
      <w:spacing w:before="540" w:after="600"/>
      <w:jc w:val="center"/>
      <w:outlineLvl w:val="0"/>
    </w:pPr>
    <w:rPr>
      <w:rFonts w:ascii="黑体" w:hAnsi="Times New Roman" w:eastAsia="黑体"/>
      <w:sz w:val="32"/>
      <w:lang w:val="en-US" w:eastAsia="zh-CN" w:bidi="ar-SA"/>
    </w:rPr>
  </w:style>
  <w:style w:type="paragraph" w:customStyle="1" w:styleId="37">
    <w:name w:val="标准文件_三级条标题"/>
    <w:basedOn w:val="35"/>
    <w:next w:val="30"/>
    <w:uiPriority w:val="0"/>
    <w:pPr>
      <w:numPr>
        <w:ilvl w:val="4"/>
        <w:numId w:val="1"/>
      </w:numPr>
      <w:outlineLvl w:val="4"/>
    </w:pPr>
  </w:style>
  <w:style w:type="paragraph" w:customStyle="1" w:styleId="38">
    <w:name w:val="标准文件_四级条标题"/>
    <w:basedOn w:val="37"/>
    <w:next w:val="30"/>
    <w:uiPriority w:val="0"/>
    <w:pPr>
      <w:numPr>
        <w:ilvl w:val="5"/>
        <w:numId w:val="1"/>
      </w:numPr>
      <w:outlineLvl w:val="5"/>
    </w:pPr>
  </w:style>
  <w:style w:type="paragraph" w:customStyle="1" w:styleId="39">
    <w:name w:val="标准文件_五级条标题"/>
    <w:basedOn w:val="38"/>
    <w:next w:val="30"/>
    <w:uiPriority w:val="0"/>
    <w:pPr>
      <w:numPr>
        <w:ilvl w:val="6"/>
        <w:numId w:val="1"/>
      </w:numPr>
      <w:outlineLvl w:val="6"/>
    </w:pPr>
  </w:style>
  <w:style w:type="paragraph" w:customStyle="1" w:styleId="40">
    <w:name w:val="SPIE reference listing"/>
    <w:basedOn w:val="1"/>
    <w:uiPriority w:val="0"/>
    <w:pPr>
      <w:widowControl/>
      <w:numPr>
        <w:ilvl w:val="0"/>
        <w:numId w:val="2"/>
      </w:numPr>
    </w:pPr>
    <w:rPr>
      <w:kern w:val="0"/>
      <w:sz w:val="20"/>
      <w:szCs w:val="20"/>
      <w:lang w:eastAsia="en-US"/>
    </w:rPr>
  </w:style>
  <w:style w:type="paragraph" w:customStyle="1" w:styleId="41">
    <w:name w:val="段"/>
    <w:qFormat/>
    <w:uiPriority w:val="0"/>
    <w:pPr>
      <w:autoSpaceDE w:val="0"/>
      <w:autoSpaceDN w:val="0"/>
      <w:ind w:firstLine="200" w:firstLineChars="200"/>
      <w:jc w:val="both"/>
    </w:pPr>
    <w:rPr>
      <w:rFonts w:ascii="宋体"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福建省计量科学研究院</Company>
  <Pages>3</Pages>
  <Words>63</Words>
  <Characters>362</Characters>
  <Lines>3</Lines>
  <Paragraphs>1</Paragraphs>
  <TotalTime>0</TotalTime>
  <ScaleCrop>false</ScaleCrop>
  <LinksUpToDate>false</LinksUpToDate>
  <CharactersWithSpaces>424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2016-11-23T14:41:00Z</dcterms:created>
  <dc:creator>梁伟</dc:creator>
  <cp:lastModifiedBy>明明</cp:lastModifiedBy>
  <cp:lastPrinted>2012-07-18T03:03:00Z</cp:lastPrinted>
  <dcterms:modified xsi:type="dcterms:W3CDTF">2026-10-13T03:00:23Z</dcterms:modified>
  <dc:title>扭矩倍增器校准规范</dc:title>
  <cp:revision>214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8E1BD7F35EF041E3B26EF0FC4D623577_13</vt:lpwstr>
  </property>
</Properties>
</file>