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b/>
          <w:kern w:val="0"/>
          <w:sz w:val="32"/>
          <w:szCs w:val="20"/>
        </w:rPr>
      </w:pPr>
      <w:bookmarkStart w:id="0" w:name="_Toc19663"/>
      <w:r w:rsidRPr="00D632BC">
        <w:rPr>
          <w:rFonts w:ascii="Times New Roman" w:eastAsia="宋体" w:hAnsi="Times New Roman" w:cs="Times New Roman" w:hint="eastAsia"/>
          <w:b/>
          <w:kern w:val="0"/>
          <w:sz w:val="32"/>
          <w:szCs w:val="20"/>
        </w:rPr>
        <w:t>国家</w:t>
      </w:r>
      <w:r w:rsidRPr="00D632BC">
        <w:rPr>
          <w:rFonts w:ascii="Times New Roman" w:eastAsia="宋体" w:hAnsi="Times New Roman" w:cs="Times New Roman"/>
          <w:b/>
          <w:kern w:val="0"/>
          <w:sz w:val="32"/>
          <w:szCs w:val="20"/>
        </w:rPr>
        <w:t>计量技术规范</w:t>
      </w: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b/>
          <w:kern w:val="0"/>
          <w:sz w:val="44"/>
          <w:szCs w:val="44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b/>
          <w:kern w:val="0"/>
          <w:sz w:val="44"/>
          <w:szCs w:val="44"/>
        </w:rPr>
      </w:pPr>
      <w:r w:rsidRPr="00D632BC">
        <w:rPr>
          <w:rFonts w:ascii="Times New Roman" w:eastAsia="宋体" w:hAnsi="Times New Roman" w:cs="Times New Roman"/>
          <w:b/>
          <w:kern w:val="0"/>
          <w:sz w:val="44"/>
          <w:szCs w:val="44"/>
        </w:rPr>
        <w:t>《</w:t>
      </w:r>
      <w:r w:rsidRPr="00D632BC">
        <w:rPr>
          <w:rFonts w:ascii="Times New Roman" w:eastAsia="宋体" w:hAnsi="Times New Roman" w:cs="Times New Roman" w:hint="eastAsia"/>
          <w:b/>
          <w:kern w:val="0"/>
          <w:sz w:val="44"/>
          <w:szCs w:val="44"/>
        </w:rPr>
        <w:t>高压电子枪计量测试规范</w:t>
      </w:r>
      <w:r w:rsidRPr="00D632BC">
        <w:rPr>
          <w:rFonts w:ascii="Times New Roman" w:eastAsia="宋体" w:hAnsi="Times New Roman" w:cs="Times New Roman"/>
          <w:b/>
          <w:kern w:val="0"/>
          <w:sz w:val="44"/>
          <w:szCs w:val="44"/>
        </w:rPr>
        <w:t>》</w:t>
      </w:r>
    </w:p>
    <w:p w:rsidR="00D632BC" w:rsidRPr="00D632BC" w:rsidRDefault="00D632BC" w:rsidP="00D632BC">
      <w:pPr>
        <w:adjustRightInd w:val="0"/>
        <w:jc w:val="center"/>
        <w:rPr>
          <w:rFonts w:ascii="Times New Roman" w:eastAsia="黑体" w:hAnsi="Times New Roman" w:cs="Times New Roman"/>
          <w:kern w:val="0"/>
          <w:sz w:val="44"/>
          <w:szCs w:val="20"/>
        </w:rPr>
      </w:pPr>
    </w:p>
    <w:p w:rsidR="00D632BC" w:rsidRPr="00D632BC" w:rsidRDefault="00812A7E" w:rsidP="00D632BC">
      <w:pPr>
        <w:adjustRightInd w:val="0"/>
        <w:jc w:val="center"/>
        <w:rPr>
          <w:rFonts w:ascii="Times New Roman" w:eastAsia="黑体" w:hAnsi="Times New Roman" w:cs="Times New Roman"/>
          <w:kern w:val="0"/>
          <w:sz w:val="44"/>
          <w:szCs w:val="20"/>
        </w:rPr>
      </w:pPr>
      <w:r>
        <w:rPr>
          <w:rFonts w:ascii="Times New Roman" w:eastAsia="黑体" w:hAnsi="Times New Roman" w:cs="Times New Roman" w:hint="eastAsia"/>
          <w:kern w:val="0"/>
          <w:sz w:val="44"/>
          <w:szCs w:val="20"/>
        </w:rPr>
        <w:t>测量</w:t>
      </w:r>
      <w:bookmarkStart w:id="1" w:name="_GoBack"/>
      <w:bookmarkEnd w:id="1"/>
      <w:r w:rsidR="00D632BC" w:rsidRPr="00D632BC">
        <w:rPr>
          <w:rFonts w:ascii="Times New Roman" w:eastAsia="黑体" w:hAnsi="Times New Roman" w:cs="Times New Roman" w:hint="eastAsia"/>
          <w:kern w:val="0"/>
          <w:sz w:val="44"/>
          <w:szCs w:val="20"/>
        </w:rPr>
        <w:t>不确定度评定报告</w:t>
      </w:r>
    </w:p>
    <w:p w:rsidR="00D632BC" w:rsidRPr="00D632BC" w:rsidRDefault="00D632BC" w:rsidP="00D632BC">
      <w:pPr>
        <w:spacing w:line="500" w:lineRule="exact"/>
        <w:jc w:val="center"/>
        <w:rPr>
          <w:rFonts w:ascii="Times New Roman" w:eastAsia="宋体" w:hAnsi="Times New Roman" w:cs="Times New Roman"/>
          <w:b/>
          <w:kern w:val="0"/>
          <w:sz w:val="36"/>
          <w:szCs w:val="36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  <w:r w:rsidRPr="00D632BC">
        <w:rPr>
          <w:rFonts w:ascii="Times New Roman" w:eastAsia="宋体" w:hAnsi="Times New Roman" w:cs="Times New Roman"/>
          <w:kern w:val="0"/>
          <w:sz w:val="32"/>
          <w:szCs w:val="20"/>
        </w:rPr>
        <w:t>规范起草组</w:t>
      </w:r>
    </w:p>
    <w:p w:rsidR="00D632BC" w:rsidRPr="00D632BC" w:rsidRDefault="00D632BC" w:rsidP="00D632BC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  <w:r w:rsidRPr="00D632BC">
        <w:rPr>
          <w:rFonts w:ascii="Times New Roman" w:eastAsia="宋体" w:hAnsi="Times New Roman" w:cs="Times New Roman"/>
          <w:kern w:val="0"/>
          <w:sz w:val="32"/>
          <w:szCs w:val="20"/>
        </w:rPr>
        <w:t>202</w:t>
      </w:r>
      <w:r w:rsidRPr="00D632BC">
        <w:rPr>
          <w:rFonts w:ascii="Times New Roman" w:eastAsia="宋体" w:hAnsi="Times New Roman" w:cs="Times New Roman" w:hint="eastAsia"/>
          <w:kern w:val="0"/>
          <w:sz w:val="32"/>
          <w:szCs w:val="20"/>
        </w:rPr>
        <w:t>6</w:t>
      </w:r>
      <w:r w:rsidRPr="00D632BC">
        <w:rPr>
          <w:rFonts w:ascii="Times New Roman" w:eastAsia="宋体" w:hAnsi="Times New Roman" w:cs="Times New Roman"/>
          <w:kern w:val="0"/>
          <w:sz w:val="32"/>
          <w:szCs w:val="20"/>
        </w:rPr>
        <w:t>年</w:t>
      </w:r>
      <w:r w:rsidRPr="00D632BC">
        <w:rPr>
          <w:rFonts w:ascii="Times New Roman" w:eastAsia="宋体" w:hAnsi="Times New Roman" w:cs="Times New Roman" w:hint="eastAsia"/>
          <w:kern w:val="0"/>
          <w:sz w:val="32"/>
          <w:szCs w:val="20"/>
        </w:rPr>
        <w:t>7</w:t>
      </w:r>
      <w:r w:rsidRPr="00D632BC">
        <w:rPr>
          <w:rFonts w:ascii="Times New Roman" w:eastAsia="宋体" w:hAnsi="Times New Roman" w:cs="Times New Roman"/>
          <w:kern w:val="0"/>
          <w:sz w:val="32"/>
          <w:szCs w:val="20"/>
        </w:rPr>
        <w:t>月</w:t>
      </w:r>
    </w:p>
    <w:p w:rsidR="00D632BC" w:rsidRPr="00D632BC" w:rsidRDefault="00D632BC" w:rsidP="00D632BC">
      <w:pPr>
        <w:adjustRightInd w:val="0"/>
        <w:spacing w:line="360" w:lineRule="auto"/>
        <w:jc w:val="center"/>
        <w:rPr>
          <w:rFonts w:ascii="Times New Roman" w:eastAsia="宋体" w:hAnsi="Times New Roman" w:cs="Times New Roman"/>
          <w:b/>
          <w:kern w:val="0"/>
          <w:sz w:val="32"/>
          <w:szCs w:val="20"/>
        </w:rPr>
      </w:pPr>
      <w:r w:rsidRPr="00D632BC">
        <w:rPr>
          <w:rFonts w:ascii="Times New Roman" w:eastAsia="宋体" w:hAnsi="Times New Roman" w:cs="Times New Roman"/>
          <w:kern w:val="0"/>
          <w:sz w:val="32"/>
          <w:szCs w:val="20"/>
        </w:rPr>
        <w:br w:type="page"/>
      </w:r>
      <w:r w:rsidRPr="00D632BC">
        <w:rPr>
          <w:rFonts w:ascii="Times New Roman" w:eastAsia="宋体" w:hAnsi="Times New Roman" w:cs="Times New Roman" w:hint="eastAsia"/>
          <w:b/>
          <w:kern w:val="0"/>
          <w:sz w:val="32"/>
          <w:szCs w:val="20"/>
        </w:rPr>
        <w:lastRenderedPageBreak/>
        <w:t>国家</w:t>
      </w:r>
      <w:r w:rsidRPr="00D632BC">
        <w:rPr>
          <w:rFonts w:ascii="Times New Roman" w:eastAsia="宋体" w:hAnsi="Times New Roman" w:cs="Times New Roman"/>
          <w:b/>
          <w:kern w:val="0"/>
          <w:sz w:val="32"/>
          <w:szCs w:val="20"/>
        </w:rPr>
        <w:t>计量技术规范</w:t>
      </w:r>
    </w:p>
    <w:p w:rsidR="00D632BC" w:rsidRPr="00D632BC" w:rsidRDefault="00D632BC" w:rsidP="00D632BC">
      <w:pPr>
        <w:adjustRightInd w:val="0"/>
        <w:spacing w:line="360" w:lineRule="auto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D632BC">
        <w:rPr>
          <w:rFonts w:ascii="Times New Roman" w:eastAsia="宋体" w:hAnsi="Times New Roman" w:cs="Times New Roman"/>
          <w:b/>
          <w:kern w:val="0"/>
          <w:sz w:val="32"/>
          <w:szCs w:val="32"/>
        </w:rPr>
        <w:t>《</w:t>
      </w:r>
      <w:r w:rsidRPr="00D632BC">
        <w:rPr>
          <w:rFonts w:ascii="Times New Roman" w:eastAsia="宋体" w:hAnsi="Times New Roman" w:cs="Times New Roman" w:hint="eastAsia"/>
          <w:b/>
          <w:kern w:val="0"/>
          <w:sz w:val="32"/>
          <w:szCs w:val="32"/>
        </w:rPr>
        <w:t>高压电子枪计量测试规范</w:t>
      </w:r>
      <w:r w:rsidRPr="00D632BC">
        <w:rPr>
          <w:rFonts w:ascii="Times New Roman" w:eastAsia="宋体" w:hAnsi="Times New Roman" w:cs="Times New Roman"/>
          <w:b/>
          <w:kern w:val="0"/>
          <w:sz w:val="32"/>
          <w:szCs w:val="32"/>
        </w:rPr>
        <w:t>》</w:t>
      </w:r>
    </w:p>
    <w:p w:rsidR="00D632BC" w:rsidRPr="00D632BC" w:rsidRDefault="00D632BC" w:rsidP="00D632BC">
      <w:pPr>
        <w:adjustRightInd w:val="0"/>
        <w:spacing w:line="360" w:lineRule="auto"/>
        <w:jc w:val="center"/>
        <w:rPr>
          <w:rFonts w:ascii="Times New Roman" w:eastAsia="黑体" w:hAnsi="Times New Roman" w:cs="Times New Roman"/>
          <w:kern w:val="0"/>
          <w:sz w:val="32"/>
          <w:szCs w:val="20"/>
        </w:rPr>
      </w:pPr>
      <w:r w:rsidRPr="00D632BC">
        <w:rPr>
          <w:rFonts w:ascii="Times New Roman" w:eastAsia="黑体" w:hAnsi="Times New Roman" w:cs="Times New Roman" w:hint="eastAsia"/>
          <w:kern w:val="0"/>
          <w:sz w:val="32"/>
          <w:szCs w:val="20"/>
        </w:rPr>
        <w:t>加速电压误差测量不确定度评定</w:t>
      </w:r>
      <w:r w:rsidRPr="00D632BC">
        <w:rPr>
          <w:rFonts w:ascii="Times New Roman" w:eastAsia="黑体" w:hAnsi="Times New Roman" w:cs="Times New Roman"/>
          <w:kern w:val="0"/>
          <w:sz w:val="32"/>
          <w:szCs w:val="20"/>
        </w:rPr>
        <w:t>报告</w:t>
      </w:r>
    </w:p>
    <w:bookmarkEnd w:id="0"/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b/>
          <w:sz w:val="24"/>
          <w:szCs w:val="24"/>
        </w:rPr>
      </w:pPr>
      <w:r w:rsidRPr="00D632BC">
        <w:rPr>
          <w:rFonts w:ascii="Times New Roman" w:eastAsia="宋体" w:hAnsi="Times New Roman" w:cs="Times New Roman"/>
          <w:b/>
          <w:sz w:val="24"/>
          <w:szCs w:val="24"/>
        </w:rPr>
        <w:t>1</w:t>
      </w:r>
      <w:r w:rsidRPr="00D632B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D632BC">
        <w:rPr>
          <w:rFonts w:ascii="Times New Roman" w:eastAsia="宋体" w:hAnsi="Times New Roman" w:cs="Times New Roman"/>
          <w:b/>
          <w:sz w:val="24"/>
          <w:szCs w:val="24"/>
        </w:rPr>
        <w:t>一般要求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1.1  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测试</w:t>
      </w:r>
      <w:r w:rsidRPr="00D632BC">
        <w:rPr>
          <w:rFonts w:ascii="Times New Roman" w:eastAsia="宋体" w:hAnsi="Times New Roman" w:cs="Times New Roman"/>
          <w:sz w:val="24"/>
          <w:szCs w:val="24"/>
        </w:rPr>
        <w:t>环境条件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Pr="00D632BC">
        <w:rPr>
          <w:rFonts w:ascii="Times New Roman" w:eastAsia="宋体" w:hAnsi="Times New Roman" w:cs="Times New Roman"/>
          <w:sz w:val="24"/>
          <w:szCs w:val="24"/>
        </w:rPr>
        <w:t>温度</w:t>
      </w:r>
      <w:r w:rsidRPr="00D632BC">
        <w:rPr>
          <w:rFonts w:ascii="Times New Roman" w:eastAsia="宋体" w:hAnsi="Times New Roman" w:cs="Times New Roman"/>
          <w:sz w:val="24"/>
          <w:szCs w:val="24"/>
        </w:rPr>
        <w:t>21°C</w:t>
      </w:r>
      <w:r w:rsidRPr="00D632BC">
        <w:rPr>
          <w:rFonts w:ascii="Times New Roman" w:eastAsia="宋体" w:hAnsi="Times New Roman" w:cs="Times New Roman"/>
          <w:sz w:val="24"/>
          <w:szCs w:val="24"/>
        </w:rPr>
        <w:t>，相对湿度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Pr="00D632BC">
        <w:rPr>
          <w:rFonts w:ascii="Times New Roman" w:eastAsia="宋体" w:hAnsi="Times New Roman" w:cs="Times New Roman"/>
          <w:sz w:val="24"/>
          <w:szCs w:val="24"/>
        </w:rPr>
        <w:t>50%</w:t>
      </w:r>
      <w:r w:rsidRPr="00D632BC">
        <w:rPr>
          <w:rFonts w:ascii="Times New Roman" w:eastAsia="宋体" w:hAnsi="Times New Roman" w:cs="Times New Roman"/>
          <w:sz w:val="24"/>
          <w:szCs w:val="24"/>
        </w:rPr>
        <w:t>。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1.2  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测试仪器：</w:t>
      </w:r>
      <w:r w:rsidRPr="00D632BC">
        <w:rPr>
          <w:rFonts w:ascii="Times New Roman" w:eastAsia="宋体" w:hAnsi="Times New Roman" w:cs="Times New Roman"/>
          <w:sz w:val="24"/>
          <w:szCs w:val="24"/>
        </w:rPr>
        <w:t>分压装置</w:t>
      </w:r>
      <w:r w:rsidRPr="00D632BC">
        <w:rPr>
          <w:rFonts w:ascii="Times New Roman" w:eastAsia="宋体" w:hAnsi="Times New Roman" w:cs="Times New Roman"/>
          <w:sz w:val="24"/>
          <w:szCs w:val="24"/>
        </w:rPr>
        <w:t>(0.1</w:t>
      </w:r>
      <w:r w:rsidRPr="00D632BC">
        <w:rPr>
          <w:rFonts w:ascii="Times New Roman" w:eastAsia="宋体" w:hAnsi="Times New Roman" w:cs="Times New Roman"/>
          <w:sz w:val="24"/>
          <w:szCs w:val="24"/>
        </w:rPr>
        <w:t>级</w:t>
      </w:r>
      <w:r w:rsidRPr="00D632BC">
        <w:rPr>
          <w:rFonts w:ascii="Times New Roman" w:eastAsia="宋体" w:hAnsi="Times New Roman" w:cs="Times New Roman"/>
          <w:sz w:val="24"/>
          <w:szCs w:val="24"/>
        </w:rPr>
        <w:t>)</w:t>
      </w:r>
      <w:r w:rsidRPr="00D632BC">
        <w:rPr>
          <w:rFonts w:ascii="Times New Roman" w:eastAsia="宋体" w:hAnsi="Times New Roman" w:cs="Times New Roman"/>
          <w:sz w:val="24"/>
          <w:szCs w:val="24"/>
        </w:rPr>
        <w:t>、数字电压表</w:t>
      </w:r>
      <w:r w:rsidRPr="00D632BC">
        <w:rPr>
          <w:rFonts w:ascii="Times New Roman" w:eastAsia="宋体" w:hAnsi="Times New Roman" w:cs="Times New Roman"/>
          <w:sz w:val="24"/>
          <w:szCs w:val="24"/>
        </w:rPr>
        <w:t>(0.02</w:t>
      </w:r>
      <w:r w:rsidRPr="00D632BC">
        <w:rPr>
          <w:rFonts w:ascii="Times New Roman" w:eastAsia="宋体" w:hAnsi="Times New Roman" w:cs="Times New Roman"/>
          <w:sz w:val="24"/>
          <w:szCs w:val="24"/>
        </w:rPr>
        <w:t>级</w:t>
      </w:r>
      <w:r w:rsidRPr="00D632BC">
        <w:rPr>
          <w:rFonts w:ascii="Times New Roman" w:eastAsia="宋体" w:hAnsi="Times New Roman" w:cs="Times New Roman"/>
          <w:sz w:val="24"/>
          <w:szCs w:val="24"/>
        </w:rPr>
        <w:t>)</w:t>
      </w:r>
      <w:r w:rsidRPr="00D632BC">
        <w:rPr>
          <w:rFonts w:ascii="Times New Roman" w:eastAsia="宋体" w:hAnsi="Times New Roman" w:cs="Times New Roman"/>
          <w:sz w:val="24"/>
          <w:szCs w:val="24"/>
        </w:rPr>
        <w:t>。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1.3  </w:t>
      </w:r>
      <w:r w:rsidRPr="00D632BC">
        <w:rPr>
          <w:rFonts w:ascii="Times New Roman" w:eastAsia="宋体" w:hAnsi="Times New Roman" w:cs="Times New Roman"/>
          <w:sz w:val="24"/>
          <w:szCs w:val="24"/>
        </w:rPr>
        <w:t>被测对象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：高压</w:t>
      </w:r>
      <w:r w:rsidRPr="00D632BC">
        <w:rPr>
          <w:rFonts w:ascii="Times New Roman" w:eastAsia="宋体" w:hAnsi="Times New Roman" w:cs="Times New Roman"/>
          <w:sz w:val="24"/>
          <w:szCs w:val="24"/>
        </w:rPr>
        <w:t>电子枪。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1.4  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测试</w:t>
      </w:r>
      <w:r w:rsidRPr="00D632BC">
        <w:rPr>
          <w:rFonts w:ascii="Times New Roman" w:eastAsia="宋体" w:hAnsi="Times New Roman" w:cs="Times New Roman"/>
          <w:sz w:val="24"/>
          <w:szCs w:val="24"/>
        </w:rPr>
        <w:t>方法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将高压电子枪高压电源加速电压通道输出口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连接</w:t>
      </w:r>
      <w:r w:rsidRPr="00D632BC">
        <w:rPr>
          <w:rFonts w:ascii="Times New Roman" w:eastAsia="宋体" w:hAnsi="Times New Roman" w:cs="Times New Roman"/>
          <w:sz w:val="24"/>
          <w:szCs w:val="24"/>
        </w:rPr>
        <w:t>分压装置，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并设置合适的分压比。</w:t>
      </w:r>
      <w:r w:rsidRPr="00D632BC">
        <w:rPr>
          <w:rFonts w:ascii="Times New Roman" w:eastAsia="宋体" w:hAnsi="Times New Roman" w:cs="Times New Roman"/>
          <w:sz w:val="24"/>
          <w:szCs w:val="24"/>
        </w:rPr>
        <w:t>数字电压表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测试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端钮一端连接</w:t>
      </w:r>
      <w:r w:rsidRPr="00D632BC">
        <w:rPr>
          <w:rFonts w:ascii="Times New Roman" w:eastAsia="宋体" w:hAnsi="Times New Roman" w:cs="Times New Roman"/>
          <w:sz w:val="24"/>
          <w:szCs w:val="24"/>
        </w:rPr>
        <w:t>分压装置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，另外一端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接地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。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接通电源，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按照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100V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/s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升压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速度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将加速电压升至</w:t>
      </w:r>
      <w:r w:rsidRPr="00D632BC">
        <w:rPr>
          <w:rFonts w:ascii="Times New Roman" w:eastAsia="宋体" w:hAnsi="Times New Roman" w:cs="Times New Roman"/>
          <w:sz w:val="24"/>
          <w:szCs w:val="24"/>
        </w:rPr>
        <w:t>30000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V</w:t>
      </w:r>
      <w:r w:rsidRPr="00D632BC">
        <w:rPr>
          <w:rFonts w:ascii="Times New Roman" w:eastAsia="宋体" w:hAnsi="Times New Roman" w:cs="Times New Roman" w:hint="eastAsia"/>
          <w:snapToGrid w:val="0"/>
          <w:color w:val="000000"/>
          <w:kern w:val="0"/>
          <w:sz w:val="24"/>
          <w:szCs w:val="24"/>
          <w:lang w:bidi="ar"/>
        </w:rPr>
        <w:t>，待读数稳定</w:t>
      </w:r>
      <w:r w:rsidRPr="00D632BC">
        <w:rPr>
          <w:rFonts w:ascii="Times New Roman" w:eastAsia="宋体" w:hAnsi="Times New Roman" w:cs="Times New Roman" w:hint="eastAsia"/>
          <w:snapToGrid w:val="0"/>
          <w:color w:val="000000"/>
          <w:kern w:val="0"/>
          <w:sz w:val="24"/>
          <w:szCs w:val="24"/>
          <w:lang w:bidi="ar"/>
        </w:rPr>
        <w:t>10</w:t>
      </w:r>
      <w:r w:rsidRPr="00D632BC">
        <w:rPr>
          <w:rFonts w:ascii="Times New Roman" w:eastAsia="宋体" w:hAnsi="Times New Roman" w:cs="Times New Roman" w:hint="eastAsia"/>
          <w:snapToGrid w:val="0"/>
          <w:color w:val="000000"/>
          <w:kern w:val="0"/>
          <w:sz w:val="24"/>
          <w:szCs w:val="24"/>
          <w:lang w:bidi="ar"/>
        </w:rPr>
        <w:t>秒后读取</w:t>
      </w:r>
      <w:r w:rsidRPr="00D632BC">
        <w:rPr>
          <w:rFonts w:ascii="Times New Roman" w:eastAsia="宋体" w:hAnsi="Times New Roman" w:cs="Times New Roman"/>
          <w:sz w:val="24"/>
          <w:szCs w:val="24"/>
        </w:rPr>
        <w:t>数字电压表</w:t>
      </w:r>
      <w:r w:rsidRPr="00D632BC">
        <w:rPr>
          <w:rFonts w:ascii="Times New Roman" w:eastAsia="宋体" w:hAnsi="Times New Roman" w:cs="Times New Roman" w:hint="eastAsia"/>
          <w:snapToGrid w:val="0"/>
          <w:color w:val="000000"/>
          <w:kern w:val="0"/>
          <w:sz w:val="24"/>
          <w:szCs w:val="24"/>
          <w:lang w:bidi="ar"/>
        </w:rPr>
        <w:t>示值，乘以分压比得到加速电压</w:t>
      </w:r>
      <w:r w:rsidRPr="00D632BC">
        <w:rPr>
          <w:rFonts w:ascii="Times New Roman" w:eastAsia="宋体" w:hAnsi="Times New Roman" w:cs="Times New Roman" w:hint="eastAsia"/>
          <w:bCs/>
          <w:kern w:val="0"/>
          <w:sz w:val="24"/>
          <w:szCs w:val="24"/>
          <w:lang w:bidi="en-US"/>
        </w:rPr>
        <w:t>实测</w:t>
      </w:r>
      <w:r w:rsidRPr="00D632BC">
        <w:rPr>
          <w:rFonts w:ascii="Times New Roman" w:eastAsia="宋体" w:hAnsi="Times New Roman" w:cs="Times New Roman" w:hint="eastAsia"/>
          <w:snapToGrid w:val="0"/>
          <w:color w:val="000000"/>
          <w:kern w:val="0"/>
          <w:sz w:val="24"/>
          <w:szCs w:val="24"/>
          <w:lang w:bidi="ar"/>
        </w:rPr>
        <w:t>值。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等待</w:t>
      </w:r>
      <w:r w:rsidRPr="00D632BC"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t>10</w:t>
      </w:r>
      <w:r w:rsidRPr="00D632BC"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lang w:bidi="ar"/>
        </w:rPr>
        <w:t>分钟，观察高压电子枪是否有真空跳动，若无真空跳动，则测试完成。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b/>
          <w:sz w:val="24"/>
          <w:szCs w:val="24"/>
        </w:rPr>
      </w:pPr>
      <w:r w:rsidRPr="00D632BC">
        <w:rPr>
          <w:rFonts w:ascii="Times New Roman" w:eastAsia="宋体" w:hAnsi="Times New Roman" w:cs="Times New Roman"/>
          <w:b/>
          <w:sz w:val="24"/>
          <w:szCs w:val="24"/>
        </w:rPr>
        <w:t xml:space="preserve">2 </w:t>
      </w:r>
      <w:r w:rsidRPr="00D632B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b/>
          <w:sz w:val="24"/>
          <w:szCs w:val="24"/>
        </w:rPr>
        <w:t>不确定度来源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2.1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D632BC">
        <w:rPr>
          <w:rFonts w:ascii="Times New Roman" w:eastAsia="宋体" w:hAnsi="Times New Roman" w:cs="Times New Roman"/>
          <w:sz w:val="24"/>
          <w:szCs w:val="24"/>
        </w:rPr>
        <w:t>分压装置引入的不确定度分量</w:t>
      </w: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12"/>
          <w:szCs w:val="21"/>
          <w:lang w:eastAsia="en-US"/>
        </w:rPr>
        <w:object w:dxaOrig="402" w:dyaOrig="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4pt;height:18.35pt" o:ole="">
            <v:imagedata r:id="rId8" o:title=""/>
          </v:shape>
          <o:OLEObject Type="Embed" ProgID="Equation.DSMT4" ShapeID="_x0000_i1025" DrawAspect="Content" ObjectID="_1846406950" r:id="rId9"/>
        </w:objec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；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2.2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D632BC">
        <w:rPr>
          <w:rFonts w:ascii="Times New Roman" w:eastAsia="宋体" w:hAnsi="Times New Roman" w:cs="Times New Roman"/>
          <w:sz w:val="24"/>
          <w:szCs w:val="24"/>
        </w:rPr>
        <w:t>数字电压表引入的不确定度分量</w:t>
      </w: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12"/>
          <w:szCs w:val="21"/>
          <w:lang w:eastAsia="en-US"/>
        </w:rPr>
        <w:object w:dxaOrig="402" w:dyaOrig="371">
          <v:shape id="_x0000_i1026" type="#_x0000_t75" style="width:20.4pt;height:18.35pt" o:ole="">
            <v:imagedata r:id="rId10" o:title=""/>
          </v:shape>
          <o:OLEObject Type="Embed" ProgID="Equation.DSMT4" ShapeID="_x0000_i1026" DrawAspect="Content" ObjectID="_1846406951" r:id="rId11"/>
        </w:objec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；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2.3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D632BC">
        <w:rPr>
          <w:rFonts w:ascii="Times New Roman" w:eastAsia="宋体" w:hAnsi="Times New Roman" w:cs="Times New Roman"/>
          <w:sz w:val="24"/>
          <w:szCs w:val="24"/>
        </w:rPr>
        <w:t>测量重复性引入的不确定度分量</w:t>
      </w: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12"/>
          <w:szCs w:val="21"/>
          <w:lang w:eastAsia="en-US"/>
        </w:rPr>
        <w:object w:dxaOrig="402" w:dyaOrig="371">
          <v:shape id="_x0000_i1027" type="#_x0000_t75" style="width:20.4pt;height:18.35pt" o:ole="">
            <v:imagedata r:id="rId12" o:title=""/>
          </v:shape>
          <o:OLEObject Type="Embed" ProgID="Equation.DSMT4" ShapeID="_x0000_i1027" DrawAspect="Content" ObjectID="_1846406952" r:id="rId13"/>
        </w:objec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b/>
          <w:sz w:val="24"/>
          <w:szCs w:val="24"/>
        </w:rPr>
      </w:pPr>
      <w:r w:rsidRPr="00D632BC">
        <w:rPr>
          <w:rFonts w:ascii="Times New Roman" w:eastAsia="宋体" w:hAnsi="Times New Roman" w:cs="Times New Roman"/>
          <w:b/>
          <w:sz w:val="24"/>
          <w:szCs w:val="24"/>
        </w:rPr>
        <w:t xml:space="preserve">3 </w:t>
      </w:r>
      <w:r w:rsidRPr="00D632B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 w:hint="eastAsia"/>
          <w:b/>
          <w:sz w:val="24"/>
          <w:szCs w:val="24"/>
        </w:rPr>
        <w:t>加速</w:t>
      </w:r>
      <w:r w:rsidRPr="00D632BC">
        <w:rPr>
          <w:rFonts w:ascii="Times New Roman" w:eastAsia="宋体" w:hAnsi="Times New Roman" w:cs="Times New Roman"/>
          <w:b/>
          <w:sz w:val="24"/>
          <w:szCs w:val="24"/>
        </w:rPr>
        <w:t>电压</w:t>
      </w:r>
      <w:r w:rsidRPr="00D632BC">
        <w:rPr>
          <w:rFonts w:ascii="Times New Roman" w:eastAsia="宋体" w:hAnsi="Times New Roman" w:cs="Times New Roman" w:hint="eastAsia"/>
          <w:b/>
          <w:sz w:val="24"/>
          <w:szCs w:val="24"/>
        </w:rPr>
        <w:t>误差</w:t>
      </w:r>
      <w:r w:rsidRPr="00D632BC">
        <w:rPr>
          <w:rFonts w:ascii="Times New Roman" w:eastAsia="宋体" w:hAnsi="Times New Roman" w:cs="Times New Roman"/>
          <w:b/>
          <w:sz w:val="24"/>
          <w:szCs w:val="24"/>
        </w:rPr>
        <w:t>的测量不确定度分量评定</w: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 xml:space="preserve">3.1 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sz w:val="24"/>
          <w:szCs w:val="24"/>
        </w:rPr>
        <w:t>分压装置准确度引入的不确定度分量</w:t>
      </w: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12"/>
          <w:szCs w:val="21"/>
          <w:lang w:eastAsia="en-US"/>
        </w:rPr>
        <w:object w:dxaOrig="402" w:dyaOrig="371">
          <v:shape id="_x0000_i1028" type="#_x0000_t75" style="width:20.4pt;height:18.35pt" o:ole="">
            <v:imagedata r:id="rId8" o:title=""/>
          </v:shape>
          <o:OLEObject Type="Embed" ProgID="Equation.DSMT4" ShapeID="_x0000_i1028" DrawAspect="Content" ObjectID="_1846406953" r:id="rId14"/>
        </w:object>
      </w:r>
    </w:p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在测量直流电压时，由分压装置准确度引入的不确定度，采用</w:t>
      </w:r>
      <w:r w:rsidRPr="00D632BC">
        <w:rPr>
          <w:rFonts w:ascii="Times New Roman" w:eastAsia="宋体" w:hAnsi="Times New Roman" w:cs="Times New Roman"/>
          <w:sz w:val="24"/>
          <w:szCs w:val="24"/>
        </w:rPr>
        <w:t>B</w:t>
      </w:r>
      <w:r w:rsidRPr="00D632BC">
        <w:rPr>
          <w:rFonts w:ascii="Times New Roman" w:eastAsia="宋体" w:hAnsi="Times New Roman" w:cs="Times New Roman"/>
          <w:sz w:val="24"/>
          <w:szCs w:val="24"/>
        </w:rPr>
        <w:t>类方法进行评定。分压装置的准确度为</w:t>
      </w:r>
      <w:r w:rsidRPr="00D632BC">
        <w:rPr>
          <w:rFonts w:ascii="Times New Roman" w:eastAsia="宋体" w:hAnsi="Times New Roman" w:cs="Times New Roman"/>
          <w:sz w:val="24"/>
          <w:szCs w:val="24"/>
        </w:rPr>
        <w:t>0.1</w:t>
      </w:r>
      <w:r w:rsidRPr="00D632BC">
        <w:rPr>
          <w:rFonts w:ascii="Times New Roman" w:eastAsia="宋体" w:hAnsi="Times New Roman" w:cs="Times New Roman"/>
          <w:sz w:val="24"/>
          <w:szCs w:val="24"/>
        </w:rPr>
        <w:t>级，其半宽</w:t>
      </w:r>
      <w:r w:rsidRPr="00D632BC">
        <w:rPr>
          <w:rFonts w:ascii="Times New Roman" w:eastAsia="宋体" w:hAnsi="Times New Roman" w:cs="Times New Roman"/>
          <w:sz w:val="24"/>
          <w:szCs w:val="24"/>
        </w:rPr>
        <w:t>a=0.1%</w:t>
      </w:r>
      <w:r w:rsidRPr="00D632BC">
        <w:rPr>
          <w:rFonts w:ascii="Times New Roman" w:eastAsia="宋体" w:hAnsi="Times New Roman" w:cs="Times New Roman"/>
          <w:sz w:val="24"/>
          <w:szCs w:val="24"/>
        </w:rPr>
        <w:t>，其分布服从均匀分布，则引入的相对标准不确定度为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:rsidR="00D632BC" w:rsidRPr="00D632BC" w:rsidRDefault="00D632BC" w:rsidP="00D632BC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28"/>
          <w:szCs w:val="21"/>
          <w:lang w:eastAsia="en-US"/>
        </w:rPr>
        <w:object w:dxaOrig="2622" w:dyaOrig="679">
          <v:shape id="_x0000_i1029" type="#_x0000_t75" style="width:131.1pt;height:33.95pt" o:ole="">
            <v:imagedata r:id="rId15" o:title=""/>
          </v:shape>
          <o:OLEObject Type="Embed" ProgID="Equation.DSMT4" ShapeID="_x0000_i1029" DrawAspect="Content" ObjectID="_1846406954" r:id="rId16"/>
        </w:objec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 xml:space="preserve">3.2 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sz w:val="24"/>
          <w:szCs w:val="24"/>
        </w:rPr>
        <w:t>数字电压表准确度引入的不确定度分量</w:t>
      </w: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12"/>
          <w:szCs w:val="21"/>
          <w:lang w:eastAsia="en-US"/>
        </w:rPr>
        <w:object w:dxaOrig="402" w:dyaOrig="371">
          <v:shape id="_x0000_i1030" type="#_x0000_t75" alt="" style="width:20.4pt;height:18.35pt" o:ole="">
            <v:imagedata r:id="rId10" o:title=""/>
          </v:shape>
          <o:OLEObject Type="Embed" ProgID="Equation.DSMT4" ShapeID="_x0000_i1030" DrawAspect="Content" ObjectID="_1846406955" r:id="rId17"/>
        </w:object>
      </w:r>
    </w:p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在测量直流电压时，数字电压表准确度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引入</w:t>
      </w:r>
      <w:r w:rsidRPr="00D632BC">
        <w:rPr>
          <w:rFonts w:ascii="Times New Roman" w:eastAsia="宋体" w:hAnsi="Times New Roman" w:cs="Times New Roman"/>
          <w:sz w:val="24"/>
          <w:szCs w:val="24"/>
        </w:rPr>
        <w:t>的不确定度，采用</w:t>
      </w:r>
      <w:r w:rsidRPr="00D632BC">
        <w:rPr>
          <w:rFonts w:ascii="Times New Roman" w:eastAsia="宋体" w:hAnsi="Times New Roman" w:cs="Times New Roman"/>
          <w:sz w:val="24"/>
          <w:szCs w:val="24"/>
        </w:rPr>
        <w:t>B</w:t>
      </w:r>
      <w:r w:rsidRPr="00D632BC">
        <w:rPr>
          <w:rFonts w:ascii="Times New Roman" w:eastAsia="宋体" w:hAnsi="Times New Roman" w:cs="Times New Roman"/>
          <w:sz w:val="24"/>
          <w:szCs w:val="24"/>
        </w:rPr>
        <w:t>类方法进</w:t>
      </w:r>
      <w:r w:rsidRPr="00D632BC">
        <w:rPr>
          <w:rFonts w:ascii="Times New Roman" w:eastAsia="宋体" w:hAnsi="Times New Roman" w:cs="Times New Roman"/>
          <w:sz w:val="24"/>
          <w:szCs w:val="24"/>
        </w:rPr>
        <w:lastRenderedPageBreak/>
        <w:t>行评定。数字电压表测量直流电压的准确度为</w:t>
      </w:r>
      <w:r w:rsidRPr="00D632BC">
        <w:rPr>
          <w:rFonts w:ascii="Times New Roman" w:eastAsia="宋体" w:hAnsi="Times New Roman" w:cs="Times New Roman"/>
          <w:sz w:val="24"/>
          <w:szCs w:val="24"/>
        </w:rPr>
        <w:t>0.02</w:t>
      </w:r>
      <w:r w:rsidRPr="00D632BC">
        <w:rPr>
          <w:rFonts w:ascii="Times New Roman" w:eastAsia="宋体" w:hAnsi="Times New Roman" w:cs="Times New Roman"/>
          <w:sz w:val="24"/>
          <w:szCs w:val="24"/>
        </w:rPr>
        <w:t>级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632BC">
        <w:rPr>
          <w:rFonts w:ascii="Times New Roman" w:eastAsia="宋体" w:hAnsi="Times New Roman" w:cs="Times New Roman"/>
          <w:sz w:val="24"/>
          <w:szCs w:val="24"/>
        </w:rPr>
        <w:t>，其半宽</w:t>
      </w:r>
      <w:r w:rsidRPr="00D632BC">
        <w:rPr>
          <w:rFonts w:ascii="Times New Roman" w:eastAsia="宋体" w:hAnsi="Times New Roman" w:cs="Times New Roman"/>
          <w:sz w:val="24"/>
          <w:szCs w:val="24"/>
        </w:rPr>
        <w:t>a=0.02%</w:t>
      </w:r>
      <w:r w:rsidRPr="00D632BC">
        <w:rPr>
          <w:rFonts w:ascii="Times New Roman" w:eastAsia="宋体" w:hAnsi="Times New Roman" w:cs="Times New Roman"/>
          <w:sz w:val="24"/>
          <w:szCs w:val="24"/>
        </w:rPr>
        <w:t>，其分布服从均匀分布，则引入的相对标准不确定度为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:rsidR="00D632BC" w:rsidRPr="00D632BC" w:rsidRDefault="00D632BC" w:rsidP="00D632BC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28"/>
          <w:szCs w:val="21"/>
          <w:lang w:eastAsia="en-US"/>
        </w:rPr>
        <w:object w:dxaOrig="2649" w:dyaOrig="679">
          <v:shape id="_x0000_i1031" type="#_x0000_t75" alt="" style="width:132.45pt;height:33.95pt" o:ole="">
            <v:imagedata r:id="rId18" o:title=""/>
          </v:shape>
          <o:OLEObject Type="Embed" ProgID="Equation.DSMT4" ShapeID="_x0000_i1031" DrawAspect="Content" ObjectID="_1846406956" r:id="rId19"/>
        </w:object>
      </w:r>
    </w:p>
    <w:p w:rsidR="00D632BC" w:rsidRPr="00D632BC" w:rsidRDefault="00D632BC" w:rsidP="00D632BC">
      <w:pPr>
        <w:spacing w:line="500" w:lineRule="exact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 xml:space="preserve">3.3 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sz w:val="24"/>
          <w:szCs w:val="24"/>
        </w:rPr>
        <w:t>测量重复性引入的不确定度分量</w:t>
      </w: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12"/>
          <w:szCs w:val="21"/>
          <w:lang w:eastAsia="en-US"/>
        </w:rPr>
        <w:object w:dxaOrig="402" w:dyaOrig="371">
          <v:shape id="_x0000_i1032" type="#_x0000_t75" alt="" style="width:20.4pt;height:18.35pt" o:ole="">
            <v:imagedata r:id="rId12" o:title=""/>
          </v:shape>
          <o:OLEObject Type="Embed" ProgID="Equation.DSMT4" ShapeID="_x0000_i1032" DrawAspect="Content" ObjectID="_1846406957" r:id="rId20"/>
        </w:object>
      </w:r>
    </w:p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 w:hint="eastAsia"/>
          <w:sz w:val="24"/>
          <w:szCs w:val="24"/>
        </w:rPr>
        <w:t>用</w:t>
      </w:r>
      <w:r w:rsidRPr="00D632BC">
        <w:rPr>
          <w:rFonts w:ascii="Times New Roman" w:eastAsia="宋体" w:hAnsi="Times New Roman" w:cs="Times New Roman"/>
          <w:sz w:val="24"/>
          <w:szCs w:val="24"/>
        </w:rPr>
        <w:t>分压装置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和</w:t>
      </w:r>
      <w:r w:rsidRPr="00D632BC">
        <w:rPr>
          <w:rFonts w:ascii="Times New Roman" w:eastAsia="宋体" w:hAnsi="Times New Roman" w:cs="Times New Roman"/>
          <w:sz w:val="24"/>
          <w:szCs w:val="24"/>
        </w:rPr>
        <w:t>数字电压表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在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30000V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点重复测量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次，</w:t>
      </w:r>
      <w:r w:rsidRPr="00D632BC">
        <w:rPr>
          <w:rFonts w:ascii="Times New Roman" w:eastAsia="宋体" w:hAnsi="Times New Roman" w:cs="Times New Roman"/>
          <w:sz w:val="24"/>
          <w:szCs w:val="24"/>
        </w:rPr>
        <w:t>测量结果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如</w:t>
      </w:r>
      <w:r w:rsidRPr="00D632BC">
        <w:rPr>
          <w:rFonts w:ascii="Times New Roman" w:eastAsia="宋体" w:hAnsi="Times New Roman" w:cs="Times New Roman"/>
          <w:sz w:val="24"/>
          <w:szCs w:val="24"/>
        </w:rPr>
        <w:t>表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Pr="00D632BC">
        <w:rPr>
          <w:rFonts w:ascii="Times New Roman" w:eastAsia="宋体" w:hAnsi="Times New Roman" w:cs="Times New Roman"/>
          <w:sz w:val="24"/>
          <w:szCs w:val="24"/>
        </w:rPr>
        <w:t>.1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所示</w:t>
      </w:r>
      <w:r w:rsidRPr="00D632BC">
        <w:rPr>
          <w:rFonts w:ascii="Times New Roman" w:eastAsia="宋体" w:hAnsi="Times New Roman" w:cs="Times New Roman"/>
          <w:sz w:val="24"/>
          <w:szCs w:val="24"/>
        </w:rPr>
        <w:t>，计算重复性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引入</w:t>
      </w:r>
      <w:r w:rsidRPr="00D632BC">
        <w:rPr>
          <w:rFonts w:ascii="Times New Roman" w:eastAsia="宋体" w:hAnsi="Times New Roman" w:cs="Times New Roman"/>
          <w:sz w:val="24"/>
          <w:szCs w:val="24"/>
        </w:rPr>
        <w:t>的标准不确定度，按</w:t>
      </w:r>
      <w:r w:rsidRPr="00D632BC">
        <w:rPr>
          <w:rFonts w:ascii="Times New Roman" w:eastAsia="宋体" w:hAnsi="Times New Roman" w:cs="Times New Roman"/>
          <w:sz w:val="24"/>
          <w:szCs w:val="24"/>
        </w:rPr>
        <w:t>A</w:t>
      </w:r>
      <w:r w:rsidRPr="00D632BC">
        <w:rPr>
          <w:rFonts w:ascii="Times New Roman" w:eastAsia="宋体" w:hAnsi="Times New Roman" w:cs="Times New Roman"/>
          <w:sz w:val="24"/>
          <w:szCs w:val="24"/>
        </w:rPr>
        <w:t>类方法进行评定。</w:t>
      </w:r>
    </w:p>
    <w:p w:rsidR="00D632BC" w:rsidRPr="00D632BC" w:rsidRDefault="00D632BC" w:rsidP="00D632BC">
      <w:pPr>
        <w:spacing w:line="500" w:lineRule="exact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黑体" w:hAnsi="Times New Roman" w:cs="Arial"/>
          <w:snapToGrid w:val="0"/>
          <w:color w:val="000000"/>
          <w:kern w:val="0"/>
          <w:szCs w:val="21"/>
        </w:rPr>
        <w:t>表</w:t>
      </w:r>
      <w:r w:rsidRPr="00D632BC">
        <w:rPr>
          <w:rFonts w:ascii="Times New Roman" w:eastAsia="黑体" w:hAnsi="Times New Roman" w:cs="Arial" w:hint="eastAsia"/>
          <w:snapToGrid w:val="0"/>
          <w:color w:val="000000"/>
          <w:kern w:val="0"/>
          <w:szCs w:val="21"/>
        </w:rPr>
        <w:t>C</w:t>
      </w:r>
      <w:r w:rsidRPr="00D632BC">
        <w:rPr>
          <w:rFonts w:ascii="Times New Roman" w:eastAsia="黑体" w:hAnsi="Times New Roman" w:cs="Arial"/>
          <w:snapToGrid w:val="0"/>
          <w:color w:val="000000"/>
          <w:kern w:val="0"/>
          <w:szCs w:val="21"/>
        </w:rPr>
        <w:t xml:space="preserve">.1 </w:t>
      </w:r>
      <w:r w:rsidRPr="00D632BC">
        <w:rPr>
          <w:rFonts w:ascii="Times New Roman" w:eastAsia="黑体" w:hAnsi="Times New Roman" w:cs="Arial" w:hint="eastAsia"/>
          <w:snapToGrid w:val="0"/>
          <w:color w:val="000000"/>
          <w:kern w:val="0"/>
          <w:szCs w:val="21"/>
        </w:rPr>
        <w:t>加速电压误差</w:t>
      </w:r>
      <w:r w:rsidRPr="00D632BC">
        <w:rPr>
          <w:rFonts w:ascii="Times New Roman" w:eastAsia="黑体" w:hAnsi="Times New Roman" w:cs="Arial"/>
          <w:snapToGrid w:val="0"/>
          <w:color w:val="000000"/>
          <w:kern w:val="0"/>
          <w:szCs w:val="21"/>
        </w:rPr>
        <w:t>测量结果</w:t>
      </w:r>
    </w:p>
    <w:tbl>
      <w:tblPr>
        <w:tblStyle w:val="1"/>
        <w:tblW w:w="9450" w:type="dxa"/>
        <w:tblInd w:w="15" w:type="dxa"/>
        <w:tblLook w:val="04A0" w:firstRow="1" w:lastRow="0" w:firstColumn="1" w:lastColumn="0" w:noHBand="0" w:noVBand="1"/>
      </w:tblPr>
      <w:tblGrid>
        <w:gridCol w:w="1650"/>
        <w:gridCol w:w="2195"/>
        <w:gridCol w:w="2850"/>
        <w:gridCol w:w="2755"/>
      </w:tblGrid>
      <w:tr w:rsidR="00D632BC" w:rsidRPr="00D632BC" w:rsidTr="00557EC6">
        <w:tc>
          <w:tcPr>
            <w:tcW w:w="1650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 w:hint="eastAsia"/>
                <w:snapToGrid w:val="0"/>
                <w:szCs w:val="21"/>
              </w:rPr>
              <w:t>加速电压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设定值（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V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）</w:t>
            </w:r>
          </w:p>
        </w:tc>
        <w:tc>
          <w:tcPr>
            <w:tcW w:w="2195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 w:hint="eastAsia"/>
                <w:snapToGrid w:val="0"/>
                <w:szCs w:val="21"/>
              </w:rPr>
              <w:t>加速电压示值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（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V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）</w:t>
            </w:r>
          </w:p>
        </w:tc>
        <w:tc>
          <w:tcPr>
            <w:tcW w:w="2850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 w:hint="eastAsia"/>
                <w:snapToGrid w:val="0"/>
                <w:szCs w:val="21"/>
              </w:rPr>
              <w:t>加速电压实测值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（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V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）</w:t>
            </w:r>
          </w:p>
        </w:tc>
        <w:tc>
          <w:tcPr>
            <w:tcW w:w="2755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相对试验标准偏差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s</w:t>
            </w:r>
            <w:r w:rsidRPr="00D632BC">
              <w:rPr>
                <w:rFonts w:ascii="Times New Roman" w:hAnsi="Times New Roman"/>
                <w:snapToGrid w:val="0"/>
                <w:szCs w:val="21"/>
                <w:vertAlign w:val="subscript"/>
              </w:rPr>
              <w:t>r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（</w:t>
            </w:r>
            <w:r w:rsidRPr="00D632BC">
              <w:rPr>
                <w:rFonts w:ascii="Times New Roman" w:hAnsi="Times New Roman" w:hint="eastAsia"/>
                <w:snapToGrid w:val="0"/>
                <w:szCs w:val="21"/>
              </w:rPr>
              <w:t>%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）</w:t>
            </w: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 w:val="restart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</w:t>
            </w:r>
          </w:p>
        </w:tc>
        <w:tc>
          <w:tcPr>
            <w:tcW w:w="2195" w:type="dxa"/>
            <w:vMerge w:val="restart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 w:hint="eastAsia"/>
                <w:snapToGrid w:val="0"/>
                <w:szCs w:val="21"/>
              </w:rPr>
              <w:t>30000.4</w:t>
            </w:r>
          </w:p>
        </w:tc>
        <w:tc>
          <w:tcPr>
            <w:tcW w:w="2850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30000.1</w:t>
            </w:r>
          </w:p>
        </w:tc>
        <w:tc>
          <w:tcPr>
            <w:tcW w:w="2755" w:type="dxa"/>
            <w:vMerge w:val="restart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 w:hint="eastAsia"/>
                <w:snapToGrid w:val="0"/>
                <w:szCs w:val="21"/>
              </w:rPr>
              <w:t>0.001</w:t>
            </w: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30000.1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30000.1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30000.1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30000.1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30000.2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30000.2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30000.2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30000.1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  <w:tr w:rsidR="00D632BC" w:rsidRPr="00D632BC" w:rsidTr="00557EC6">
        <w:trPr>
          <w:trHeight w:val="340"/>
        </w:trPr>
        <w:tc>
          <w:tcPr>
            <w:tcW w:w="1650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30000.2</w:t>
            </w:r>
          </w:p>
        </w:tc>
        <w:tc>
          <w:tcPr>
            <w:tcW w:w="2755" w:type="dxa"/>
            <w:vMerge/>
            <w:shd w:val="clear" w:color="auto" w:fill="auto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</w:p>
        </w:tc>
      </w:tr>
    </w:tbl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 xml:space="preserve">3.4 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sz w:val="24"/>
          <w:szCs w:val="24"/>
        </w:rPr>
        <w:t>不确定度分量一览表</w:t>
      </w:r>
    </w:p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不确定度分量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相关信息见</w:t>
      </w:r>
      <w:r w:rsidRPr="00D632BC">
        <w:rPr>
          <w:rFonts w:ascii="Times New Roman" w:eastAsia="宋体" w:hAnsi="Times New Roman" w:cs="Times New Roman"/>
          <w:sz w:val="24"/>
          <w:szCs w:val="24"/>
        </w:rPr>
        <w:t>表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Pr="00D632BC">
        <w:rPr>
          <w:rFonts w:ascii="Times New Roman" w:eastAsia="宋体" w:hAnsi="Times New Roman" w:cs="Times New Roman"/>
          <w:sz w:val="24"/>
          <w:szCs w:val="24"/>
        </w:rPr>
        <w:t>.2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所示。</w:t>
      </w:r>
    </w:p>
    <w:p w:rsidR="00D632BC" w:rsidRPr="00D632BC" w:rsidRDefault="00D632BC" w:rsidP="00D632BC">
      <w:pPr>
        <w:spacing w:line="500" w:lineRule="exact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黑体" w:hAnsi="Times New Roman" w:cs="Arial" w:hint="eastAsia"/>
          <w:snapToGrid w:val="0"/>
          <w:color w:val="000000"/>
          <w:kern w:val="0"/>
          <w:szCs w:val="21"/>
        </w:rPr>
        <w:t>表</w:t>
      </w:r>
      <w:r w:rsidRPr="00D632BC">
        <w:rPr>
          <w:rFonts w:ascii="Times New Roman" w:eastAsia="黑体" w:hAnsi="Times New Roman" w:cs="Arial" w:hint="eastAsia"/>
          <w:snapToGrid w:val="0"/>
          <w:color w:val="000000"/>
          <w:kern w:val="0"/>
          <w:szCs w:val="21"/>
        </w:rPr>
        <w:t xml:space="preserve">C.2 </w:t>
      </w:r>
      <w:r w:rsidRPr="00D632BC">
        <w:rPr>
          <w:rFonts w:ascii="Times New Roman" w:eastAsia="黑体" w:hAnsi="Times New Roman" w:cs="Arial" w:hint="eastAsia"/>
          <w:snapToGrid w:val="0"/>
          <w:color w:val="000000"/>
          <w:kern w:val="0"/>
          <w:szCs w:val="21"/>
        </w:rPr>
        <w:t>加速电压不确定度分量一览表</w:t>
      </w:r>
    </w:p>
    <w:tbl>
      <w:tblPr>
        <w:tblStyle w:val="1"/>
        <w:tblW w:w="9464" w:type="dxa"/>
        <w:tblLook w:val="04A0" w:firstRow="1" w:lastRow="0" w:firstColumn="1" w:lastColumn="0" w:noHBand="0" w:noVBand="1"/>
      </w:tblPr>
      <w:tblGrid>
        <w:gridCol w:w="1536"/>
        <w:gridCol w:w="2460"/>
        <w:gridCol w:w="1116"/>
        <w:gridCol w:w="1705"/>
        <w:gridCol w:w="2647"/>
      </w:tblGrid>
      <w:tr w:rsidR="00D632BC" w:rsidRPr="00D632BC" w:rsidTr="00557EC6">
        <w:tc>
          <w:tcPr>
            <w:tcW w:w="153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不确定度分量</w:t>
            </w:r>
          </w:p>
        </w:tc>
        <w:tc>
          <w:tcPr>
            <w:tcW w:w="2460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不确定度分量来源</w:t>
            </w:r>
          </w:p>
        </w:tc>
        <w:tc>
          <w:tcPr>
            <w:tcW w:w="111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评定方法</w:t>
            </w:r>
          </w:p>
        </w:tc>
        <w:tc>
          <w:tcPr>
            <w:tcW w:w="1705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分布类型</w:t>
            </w:r>
          </w:p>
        </w:tc>
        <w:tc>
          <w:tcPr>
            <w:tcW w:w="2647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相对标准不确定度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(</w:t>
            </w:r>
            <w:r w:rsidRPr="00D632BC">
              <w:rPr>
                <w:rFonts w:ascii="Times New Roman" w:hAnsi="Times New Roman" w:hint="eastAsia"/>
                <w:snapToGrid w:val="0"/>
                <w:szCs w:val="21"/>
              </w:rPr>
              <w:t>%</w:t>
            </w:r>
            <w:r w:rsidRPr="00D632BC">
              <w:rPr>
                <w:rFonts w:ascii="Times New Roman" w:hAnsi="Times New Roman"/>
                <w:snapToGrid w:val="0"/>
                <w:szCs w:val="21"/>
              </w:rPr>
              <w:t>)</w:t>
            </w:r>
          </w:p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 w:hint="eastAsia"/>
                <w:szCs w:val="21"/>
              </w:rPr>
              <w:t>（</w:t>
            </w:r>
            <w:r w:rsidRPr="00D632BC">
              <w:rPr>
                <w:rFonts w:ascii="Times New Roman" w:eastAsiaTheme="minorEastAsia" w:hAnsi="Times New Roman" w:cstheme="minorBidi"/>
                <w:kern w:val="2"/>
                <w:position w:val="-6"/>
                <w:sz w:val="21"/>
                <w:szCs w:val="21"/>
              </w:rPr>
              <w:object w:dxaOrig="462" w:dyaOrig="285">
                <v:shape id="_x0000_i1033" type="#_x0000_t75" style="width:23.1pt;height:14.25pt" o:ole="">
                  <v:imagedata r:id="rId21" o:title=""/>
                </v:shape>
                <o:OLEObject Type="Embed" ProgID="Equation.DSMT4" ShapeID="_x0000_i1033" DrawAspect="Content" ObjectID="_1846406958" r:id="rId22"/>
              </w:object>
            </w:r>
            <w:r w:rsidRPr="00D632BC">
              <w:rPr>
                <w:rFonts w:ascii="Times New Roman" w:hAnsi="Times New Roman" w:hint="eastAsia"/>
                <w:szCs w:val="21"/>
              </w:rPr>
              <w:t>）</w:t>
            </w:r>
          </w:p>
        </w:tc>
      </w:tr>
      <w:tr w:rsidR="00D632BC" w:rsidRPr="00D632BC" w:rsidTr="00557EC6">
        <w:trPr>
          <w:trHeight w:val="397"/>
        </w:trPr>
        <w:tc>
          <w:tcPr>
            <w:tcW w:w="153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eastAsia="Arial" w:hAnsi="Times New Roman" w:cs="Arial"/>
                <w:snapToGrid w:val="0"/>
                <w:color w:val="000000"/>
                <w:kern w:val="2"/>
                <w:position w:val="-12"/>
                <w:sz w:val="21"/>
                <w:szCs w:val="21"/>
                <w:lang w:eastAsia="en-US"/>
              </w:rPr>
              <w:object w:dxaOrig="402" w:dyaOrig="371">
                <v:shape id="_x0000_i1034" type="#_x0000_t75" style="width:20.4pt;height:18.35pt" o:ole="">
                  <v:imagedata r:id="rId8" o:title=""/>
                </v:shape>
                <o:OLEObject Type="Embed" ProgID="Equation.DSMT4" ShapeID="_x0000_i1034" DrawAspect="Content" ObjectID="_1846406959" r:id="rId23"/>
              </w:object>
            </w:r>
          </w:p>
        </w:tc>
        <w:tc>
          <w:tcPr>
            <w:tcW w:w="2460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分压装置准确度</w:t>
            </w:r>
          </w:p>
        </w:tc>
        <w:tc>
          <w:tcPr>
            <w:tcW w:w="111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B</w:t>
            </w:r>
          </w:p>
        </w:tc>
        <w:tc>
          <w:tcPr>
            <w:tcW w:w="1705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均匀</w:t>
            </w:r>
          </w:p>
        </w:tc>
        <w:tc>
          <w:tcPr>
            <w:tcW w:w="2647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0.058</w:t>
            </w:r>
          </w:p>
        </w:tc>
      </w:tr>
      <w:tr w:rsidR="00D632BC" w:rsidRPr="00D632BC" w:rsidTr="00557EC6">
        <w:trPr>
          <w:trHeight w:val="397"/>
        </w:trPr>
        <w:tc>
          <w:tcPr>
            <w:tcW w:w="153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eastAsia="Arial" w:hAnsi="Times New Roman" w:cs="Arial"/>
                <w:snapToGrid w:val="0"/>
                <w:color w:val="000000"/>
                <w:kern w:val="2"/>
                <w:position w:val="-12"/>
                <w:sz w:val="21"/>
                <w:szCs w:val="21"/>
                <w:lang w:eastAsia="en-US"/>
              </w:rPr>
              <w:object w:dxaOrig="402" w:dyaOrig="371">
                <v:shape id="_x0000_i1035" type="#_x0000_t75" style="width:20.4pt;height:18.35pt" o:ole="">
                  <v:imagedata r:id="rId10" o:title=""/>
                </v:shape>
                <o:OLEObject Type="Embed" ProgID="Equation.DSMT4" ShapeID="_x0000_i1035" DrawAspect="Content" ObjectID="_1846406960" r:id="rId24"/>
              </w:object>
            </w:r>
          </w:p>
        </w:tc>
        <w:tc>
          <w:tcPr>
            <w:tcW w:w="2460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数字电压表准确度</w:t>
            </w:r>
          </w:p>
        </w:tc>
        <w:tc>
          <w:tcPr>
            <w:tcW w:w="111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B</w:t>
            </w:r>
          </w:p>
        </w:tc>
        <w:tc>
          <w:tcPr>
            <w:tcW w:w="1705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均匀</w:t>
            </w:r>
          </w:p>
        </w:tc>
        <w:tc>
          <w:tcPr>
            <w:tcW w:w="2647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0.012</w:t>
            </w:r>
          </w:p>
        </w:tc>
      </w:tr>
      <w:tr w:rsidR="00D632BC" w:rsidRPr="00D632BC" w:rsidTr="00557EC6">
        <w:trPr>
          <w:trHeight w:val="397"/>
        </w:trPr>
        <w:tc>
          <w:tcPr>
            <w:tcW w:w="153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i/>
                <w:iCs/>
                <w:snapToGrid w:val="0"/>
                <w:szCs w:val="21"/>
              </w:rPr>
            </w:pPr>
            <w:r w:rsidRPr="00D632BC">
              <w:rPr>
                <w:rFonts w:ascii="Times New Roman" w:eastAsia="Arial" w:hAnsi="Times New Roman" w:cs="Arial"/>
                <w:snapToGrid w:val="0"/>
                <w:color w:val="000000"/>
                <w:kern w:val="2"/>
                <w:position w:val="-12"/>
                <w:sz w:val="21"/>
                <w:szCs w:val="21"/>
                <w:lang w:eastAsia="en-US"/>
              </w:rPr>
              <w:object w:dxaOrig="402" w:dyaOrig="371">
                <v:shape id="_x0000_i1036" type="#_x0000_t75" alt="" style="width:20.4pt;height:18.35pt" o:ole="">
                  <v:imagedata r:id="rId12" o:title=""/>
                </v:shape>
                <o:OLEObject Type="Embed" ProgID="Equation.DSMT4" ShapeID="_x0000_i1036" DrawAspect="Content" ObjectID="_1846406961" r:id="rId25"/>
              </w:object>
            </w:r>
          </w:p>
        </w:tc>
        <w:tc>
          <w:tcPr>
            <w:tcW w:w="2460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测量结果重复性</w:t>
            </w:r>
          </w:p>
        </w:tc>
        <w:tc>
          <w:tcPr>
            <w:tcW w:w="1116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A</w:t>
            </w:r>
          </w:p>
        </w:tc>
        <w:tc>
          <w:tcPr>
            <w:tcW w:w="1705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正态</w:t>
            </w:r>
          </w:p>
        </w:tc>
        <w:tc>
          <w:tcPr>
            <w:tcW w:w="2647" w:type="dxa"/>
            <w:vAlign w:val="center"/>
          </w:tcPr>
          <w:p w:rsidR="00D632BC" w:rsidRPr="00D632BC" w:rsidRDefault="00D632BC" w:rsidP="00D632BC">
            <w:pPr>
              <w:widowControl/>
              <w:jc w:val="center"/>
              <w:rPr>
                <w:rFonts w:ascii="Times New Roman" w:hAnsi="Times New Roman"/>
                <w:snapToGrid w:val="0"/>
                <w:szCs w:val="21"/>
              </w:rPr>
            </w:pPr>
            <w:r w:rsidRPr="00D632BC">
              <w:rPr>
                <w:rFonts w:ascii="Times New Roman" w:hAnsi="Times New Roman"/>
                <w:snapToGrid w:val="0"/>
                <w:szCs w:val="21"/>
              </w:rPr>
              <w:t>0.001</w:t>
            </w:r>
          </w:p>
        </w:tc>
      </w:tr>
    </w:tbl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:rsidR="00D632BC" w:rsidRPr="00D632BC" w:rsidRDefault="00D632BC" w:rsidP="00C65324">
      <w:pPr>
        <w:spacing w:line="500" w:lineRule="exact"/>
        <w:ind w:firstLineChars="200" w:firstLine="482"/>
        <w:rPr>
          <w:rFonts w:ascii="Times New Roman" w:eastAsia="宋体" w:hAnsi="Times New Roman" w:cs="Times New Roman"/>
          <w:b/>
          <w:sz w:val="24"/>
          <w:szCs w:val="24"/>
        </w:rPr>
      </w:pPr>
      <w:r w:rsidRPr="00D632BC">
        <w:rPr>
          <w:rFonts w:ascii="Times New Roman" w:eastAsia="宋体" w:hAnsi="Times New Roman" w:cs="Times New Roman"/>
          <w:b/>
          <w:sz w:val="24"/>
          <w:szCs w:val="24"/>
        </w:rPr>
        <w:t xml:space="preserve">4 </w:t>
      </w:r>
      <w:r w:rsidRPr="00D632B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b/>
          <w:sz w:val="24"/>
          <w:szCs w:val="24"/>
        </w:rPr>
        <w:t>合成标准不确定度的计算</w:t>
      </w:r>
    </w:p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根据表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Pr="00D632BC">
        <w:rPr>
          <w:rFonts w:ascii="Times New Roman" w:eastAsia="宋体" w:hAnsi="Times New Roman" w:cs="Times New Roman"/>
          <w:sz w:val="24"/>
          <w:szCs w:val="24"/>
        </w:rPr>
        <w:t>.2</w:t>
      </w:r>
      <w:r w:rsidRPr="00D632BC">
        <w:rPr>
          <w:rFonts w:ascii="Times New Roman" w:eastAsia="宋体" w:hAnsi="Times New Roman" w:cs="Times New Roman"/>
          <w:sz w:val="24"/>
          <w:szCs w:val="24"/>
        </w:rPr>
        <w:t>的不确定度分量，其相对合成标准不确定度为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:rsidR="00D632BC" w:rsidRPr="00D632BC" w:rsidRDefault="00D632BC" w:rsidP="00D632BC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Arial" w:hAnsi="Times New Roman" w:cs="Arial"/>
          <w:snapToGrid w:val="0"/>
          <w:color w:val="000000"/>
          <w:kern w:val="0"/>
          <w:position w:val="-14"/>
          <w:szCs w:val="21"/>
          <w:lang w:eastAsia="en-US"/>
        </w:rPr>
        <w:object w:dxaOrig="2880" w:dyaOrig="475">
          <v:shape id="_x0000_i1037" type="#_x0000_t75" style="width:2in;height:23.75pt" o:ole="">
            <v:imagedata r:id="rId26" o:title=""/>
          </v:shape>
          <o:OLEObject Type="Embed" ProgID="Equation.DSMT4" ShapeID="_x0000_i1037" DrawAspect="Content" ObjectID="_1846406962" r:id="rId27"/>
        </w:object>
      </w:r>
    </w:p>
    <w:p w:rsidR="002C6D2F" w:rsidRDefault="002C6D2F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:rsidR="00D632BC" w:rsidRPr="00D632BC" w:rsidRDefault="00D632BC" w:rsidP="00C65324">
      <w:pPr>
        <w:spacing w:line="500" w:lineRule="exact"/>
        <w:ind w:firstLineChars="200" w:firstLine="482"/>
        <w:rPr>
          <w:rFonts w:ascii="Times New Roman" w:eastAsia="宋体" w:hAnsi="Times New Roman" w:cs="Times New Roman"/>
          <w:b/>
          <w:sz w:val="24"/>
          <w:szCs w:val="24"/>
        </w:rPr>
      </w:pPr>
      <w:r w:rsidRPr="00D632BC">
        <w:rPr>
          <w:rFonts w:ascii="Times New Roman" w:eastAsia="宋体" w:hAnsi="Times New Roman" w:cs="Times New Roman"/>
          <w:b/>
          <w:sz w:val="24"/>
          <w:szCs w:val="24"/>
        </w:rPr>
        <w:lastRenderedPageBreak/>
        <w:t>5</w:t>
      </w:r>
      <w:r w:rsidRPr="00D632B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D632BC">
        <w:rPr>
          <w:rFonts w:ascii="Times New Roman" w:eastAsia="宋体" w:hAnsi="Times New Roman" w:cs="Times New Roman"/>
          <w:b/>
          <w:sz w:val="24"/>
          <w:szCs w:val="24"/>
        </w:rPr>
        <w:t>扩展不确定度的确定</w:t>
      </w:r>
    </w:p>
    <w:p w:rsidR="00D632BC" w:rsidRPr="00D632BC" w:rsidRDefault="00D632BC" w:rsidP="00D632BC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32BC">
        <w:rPr>
          <w:rFonts w:ascii="Times New Roman" w:eastAsia="宋体" w:hAnsi="Times New Roman" w:cs="Times New Roman"/>
          <w:sz w:val="24"/>
          <w:szCs w:val="24"/>
        </w:rPr>
        <w:t>取包含因子</w:t>
      </w:r>
      <w:r w:rsidRPr="00D632BC">
        <w:rPr>
          <w:rFonts w:ascii="Times New Roman" w:eastAsia="宋体" w:hAnsi="Times New Roman" w:cs="Times New Roman"/>
          <w:i/>
          <w:iCs/>
          <w:sz w:val="24"/>
          <w:szCs w:val="24"/>
        </w:rPr>
        <w:t>k</w:t>
      </w:r>
      <w:r w:rsidRPr="00D632BC">
        <w:rPr>
          <w:rFonts w:ascii="Times New Roman" w:eastAsia="宋体" w:hAnsi="Times New Roman" w:cs="Times New Roman"/>
          <w:sz w:val="24"/>
          <w:szCs w:val="24"/>
        </w:rPr>
        <w:t>=2</w:t>
      </w:r>
      <w:r w:rsidRPr="00D632BC">
        <w:rPr>
          <w:rFonts w:ascii="Times New Roman" w:eastAsia="宋体" w:hAnsi="Times New Roman" w:cs="Times New Roman"/>
          <w:sz w:val="24"/>
          <w:szCs w:val="24"/>
        </w:rPr>
        <w:t>，则相对扩展不确定度为</w: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:rsidR="00D632BC" w:rsidRPr="00D632BC" w:rsidRDefault="00D632BC" w:rsidP="00D632BC">
      <w:pPr>
        <w:jc w:val="center"/>
        <w:rPr>
          <w:rFonts w:ascii="Times New Roman" w:eastAsia="宋体" w:hAnsi="Times New Roman" w:cs="Times New Roman"/>
          <w:snapToGrid w:val="0"/>
          <w:color w:val="000000"/>
          <w:kern w:val="0"/>
          <w:sz w:val="24"/>
          <w:szCs w:val="24"/>
        </w:rPr>
      </w:pPr>
      <w:r w:rsidRPr="00D632BC">
        <w:rPr>
          <w:rFonts w:ascii="Times New Roman" w:eastAsia="宋体" w:hAnsi="Times New Roman" w:cs="Times New Roman"/>
          <w:position w:val="-12"/>
          <w:szCs w:val="21"/>
        </w:rPr>
        <w:object w:dxaOrig="2826" w:dyaOrig="367">
          <v:shape id="_x0000_i1038" type="#_x0000_t75" alt="" style="width:141.3pt;height:18.35pt" o:ole="">
            <v:imagedata r:id="rId28" o:title=""/>
          </v:shape>
          <o:OLEObject Type="Embed" ProgID="Equation.DSMT4" ShapeID="_x0000_i1038" DrawAspect="Content" ObjectID="_1846406963" r:id="rId29"/>
        </w:objec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D632BC">
        <w:rPr>
          <w:rFonts w:ascii="Times New Roman" w:eastAsia="宋体" w:hAnsi="Times New Roman" w:cs="Times New Roman"/>
          <w:position w:val="-6"/>
          <w:szCs w:val="21"/>
        </w:rPr>
        <w:object w:dxaOrig="462" w:dyaOrig="285">
          <v:shape id="_x0000_i1039" type="#_x0000_t75" style="width:23.1pt;height:14.25pt" o:ole="">
            <v:imagedata r:id="rId21" o:title=""/>
          </v:shape>
          <o:OLEObject Type="Embed" ProgID="Equation.DSMT4" ShapeID="_x0000_i1039" DrawAspect="Content" ObjectID="_1846406964" r:id="rId30"/>
        </w:object>
      </w:r>
      <w:r w:rsidRPr="00D632BC">
        <w:rPr>
          <w:rFonts w:ascii="Times New Roman" w:eastAsia="宋体" w:hAnsi="Times New Roman" w:cs="Times New Roman" w:hint="eastAsia"/>
          <w:sz w:val="24"/>
          <w:szCs w:val="24"/>
        </w:rPr>
        <w:t>）</w:t>
      </w:r>
    </w:p>
    <w:p w:rsidR="000776CA" w:rsidRPr="002139D2" w:rsidRDefault="000776CA" w:rsidP="002139D2"/>
    <w:sectPr w:rsidR="000776CA" w:rsidRPr="002139D2" w:rsidSect="00D632BC">
      <w:pgSz w:w="11907" w:h="16841"/>
      <w:pgMar w:top="1440" w:right="1800" w:bottom="1440" w:left="1800" w:header="1417" w:footer="888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2BC" w:rsidRDefault="00D632BC" w:rsidP="00D632BC">
      <w:r>
        <w:separator/>
      </w:r>
    </w:p>
  </w:endnote>
  <w:endnote w:type="continuationSeparator" w:id="0">
    <w:p w:rsidR="00D632BC" w:rsidRDefault="00D632BC" w:rsidP="00D6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2BC" w:rsidRDefault="00D632BC" w:rsidP="00D632BC">
      <w:r>
        <w:separator/>
      </w:r>
    </w:p>
  </w:footnote>
  <w:footnote w:type="continuationSeparator" w:id="0">
    <w:p w:rsidR="00D632BC" w:rsidRDefault="00D632BC" w:rsidP="00D63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06605"/>
    <w:multiLevelType w:val="hybridMultilevel"/>
    <w:tmpl w:val="0A641772"/>
    <w:lvl w:ilvl="0" w:tplc="49A6F1C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5A03C1B"/>
    <w:multiLevelType w:val="hybridMultilevel"/>
    <w:tmpl w:val="295C1E3E"/>
    <w:lvl w:ilvl="0" w:tplc="00BEC37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E60"/>
    <w:rsid w:val="000776CA"/>
    <w:rsid w:val="00137739"/>
    <w:rsid w:val="002139D2"/>
    <w:rsid w:val="002C6D2F"/>
    <w:rsid w:val="004B2F47"/>
    <w:rsid w:val="00812A7E"/>
    <w:rsid w:val="00C24AC2"/>
    <w:rsid w:val="00C65324"/>
    <w:rsid w:val="00D632BC"/>
    <w:rsid w:val="00DE13F9"/>
    <w:rsid w:val="00F74E60"/>
    <w:rsid w:val="00FA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739"/>
    <w:pPr>
      <w:ind w:firstLineChars="200" w:firstLine="420"/>
    </w:pPr>
  </w:style>
  <w:style w:type="table" w:customStyle="1" w:styleId="1">
    <w:name w:val="网格型1"/>
    <w:basedOn w:val="a1"/>
    <w:qFormat/>
    <w:rsid w:val="00D632BC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3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632B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63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632B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739"/>
    <w:pPr>
      <w:ind w:firstLineChars="200" w:firstLine="420"/>
    </w:pPr>
  </w:style>
  <w:style w:type="table" w:customStyle="1" w:styleId="1">
    <w:name w:val="网格型1"/>
    <w:basedOn w:val="a1"/>
    <w:qFormat/>
    <w:rsid w:val="00D632BC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3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632B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63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632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5.wmf"/><Relationship Id="rId26" Type="http://schemas.openxmlformats.org/officeDocument/2006/relationships/image" Target="media/image7.wmf"/><Relationship Id="rId3" Type="http://schemas.microsoft.com/office/2007/relationships/stylesWithEffects" Target="stylesWithEffect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2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1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0.bin"/><Relationship Id="rId28" Type="http://schemas.openxmlformats.org/officeDocument/2006/relationships/image" Target="media/image8.wmf"/><Relationship Id="rId10" Type="http://schemas.openxmlformats.org/officeDocument/2006/relationships/image" Target="media/image2.wmf"/><Relationship Id="rId19" Type="http://schemas.openxmlformats.org/officeDocument/2006/relationships/oleObject" Target="embeddings/oleObject7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李连</dc:creator>
  <cp:lastModifiedBy>李连</cp:lastModifiedBy>
  <cp:revision>6</cp:revision>
  <dcterms:created xsi:type="dcterms:W3CDTF">2026-07-24T04:24:00Z</dcterms:created>
  <dcterms:modified xsi:type="dcterms:W3CDTF">2026-07-24T06:03:00Z</dcterms:modified>
</cp:coreProperties>
</file>