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388" w:rsidRDefault="009F5E0F">
      <w:pPr>
        <w:pStyle w:val="1"/>
        <w:rPr>
          <w:lang w:eastAsia="zh-CN"/>
        </w:rPr>
      </w:pPr>
      <w:bookmarkStart w:id="0" w:name="铁磁性钢丝绳探伤仪校准规范编制说明"/>
      <w:r>
        <w:rPr>
          <w:rFonts w:hint="eastAsia"/>
          <w:lang w:eastAsia="zh-CN"/>
        </w:rPr>
        <w:t>《铁磁性钢丝绳探伤仪校准规范》编制说明</w:t>
      </w:r>
    </w:p>
    <w:p w:rsidR="00194388" w:rsidRPr="008E1B47" w:rsidRDefault="009F5E0F" w:rsidP="008E1B47">
      <w:pPr>
        <w:pStyle w:val="2"/>
        <w:spacing w:before="0"/>
        <w:rPr>
          <w:rFonts w:ascii="黑体" w:hAnsi="黑体" w:cs="Times New Roman"/>
          <w:b w:val="0"/>
          <w:lang w:eastAsia="zh-CN"/>
        </w:rPr>
      </w:pPr>
      <w:bookmarkStart w:id="1" w:name="一任务来源"/>
      <w:r w:rsidRPr="008E1B47">
        <w:rPr>
          <w:rFonts w:ascii="黑体" w:hAnsi="黑体" w:cs="Times New Roman"/>
          <w:b w:val="0"/>
          <w:lang w:eastAsia="zh-CN"/>
        </w:rPr>
        <w:t>一、任务来源</w:t>
      </w:r>
    </w:p>
    <w:p w:rsidR="00194388" w:rsidRPr="008E1B47" w:rsidRDefault="009F5E0F" w:rsidP="008E1B47">
      <w:pPr>
        <w:pStyle w:val="FirstParagraph"/>
        <w:spacing w:before="0"/>
        <w:ind w:firstLine="640"/>
        <w:rPr>
          <w:rFonts w:eastAsia="仿宋" w:cs="Times New Roman"/>
          <w:sz w:val="32"/>
          <w:szCs w:val="32"/>
        </w:rPr>
      </w:pPr>
      <w:r w:rsidRPr="008E1B47">
        <w:rPr>
          <w:rFonts w:eastAsia="仿宋" w:cs="Times New Roman"/>
          <w:sz w:val="32"/>
          <w:szCs w:val="32"/>
        </w:rPr>
        <w:t>根据全国新材料与纳米计量专业委员会下达的《</w:t>
      </w:r>
      <w:r w:rsidRPr="008E1B47">
        <w:rPr>
          <w:rFonts w:eastAsia="仿宋" w:cs="Times New Roman"/>
          <w:sz w:val="32"/>
          <w:szCs w:val="32"/>
        </w:rPr>
        <w:t>2025</w:t>
      </w:r>
      <w:r w:rsidRPr="008E1B47">
        <w:rPr>
          <w:rFonts w:eastAsia="仿宋" w:cs="Times New Roman"/>
          <w:sz w:val="32"/>
          <w:szCs w:val="32"/>
        </w:rPr>
        <w:t>年国家计量技术规范制定、修订及宣贯计划的通知》，由南京市计量监督检测院负责制定《铁磁性钢丝绳探伤仪校准规范》，计划项目编号：</w:t>
      </w:r>
      <w:r w:rsidRPr="008E1B47">
        <w:rPr>
          <w:rFonts w:eastAsia="仿宋" w:cs="Times New Roman"/>
          <w:sz w:val="32"/>
          <w:szCs w:val="32"/>
        </w:rPr>
        <w:t>MTC29</w:t>
      </w:r>
      <w:r w:rsidRPr="008E1B47">
        <w:rPr>
          <w:rFonts w:eastAsia="仿宋" w:cs="Times New Roman"/>
          <w:sz w:val="32"/>
          <w:szCs w:val="32"/>
        </w:rPr>
        <w:t>－</w:t>
      </w:r>
      <w:r w:rsidRPr="008E1B47">
        <w:rPr>
          <w:rFonts w:eastAsia="仿宋" w:cs="Times New Roman"/>
          <w:sz w:val="32"/>
          <w:szCs w:val="32"/>
        </w:rPr>
        <w:t>2025</w:t>
      </w:r>
      <w:r w:rsidRPr="008E1B47">
        <w:rPr>
          <w:rFonts w:eastAsia="仿宋" w:cs="Times New Roman"/>
          <w:sz w:val="32"/>
          <w:szCs w:val="32"/>
        </w:rPr>
        <w:t>－</w:t>
      </w:r>
      <w:r w:rsidRPr="008E1B47">
        <w:rPr>
          <w:rFonts w:eastAsia="仿宋" w:cs="Times New Roman"/>
          <w:sz w:val="32"/>
          <w:szCs w:val="32"/>
        </w:rPr>
        <w:t>07</w:t>
      </w:r>
      <w:r w:rsidRPr="008E1B47">
        <w:rPr>
          <w:rFonts w:eastAsia="仿宋" w:cs="Times New Roman"/>
          <w:sz w:val="32"/>
          <w:szCs w:val="32"/>
        </w:rPr>
        <w:t>。</w:t>
      </w:r>
    </w:p>
    <w:p w:rsidR="00194388" w:rsidRPr="008E1B47" w:rsidRDefault="009F5E0F" w:rsidP="008E1B47">
      <w:pPr>
        <w:pStyle w:val="2"/>
        <w:spacing w:before="0"/>
        <w:rPr>
          <w:rFonts w:ascii="黑体" w:hAnsi="黑体" w:cs="Times New Roman"/>
          <w:b w:val="0"/>
          <w:lang w:eastAsia="zh-CN"/>
        </w:rPr>
      </w:pPr>
      <w:bookmarkStart w:id="2" w:name="二编写目的和意义"/>
      <w:bookmarkEnd w:id="1"/>
      <w:r w:rsidRPr="008E1B47">
        <w:rPr>
          <w:rFonts w:ascii="黑体" w:hAnsi="黑体" w:cs="Times New Roman"/>
          <w:b w:val="0"/>
          <w:lang w:eastAsia="zh-CN"/>
        </w:rPr>
        <w:t>二、编写目的和意义</w:t>
      </w:r>
    </w:p>
    <w:p w:rsidR="00194388" w:rsidRPr="008E1B47" w:rsidRDefault="009F5E0F" w:rsidP="008E1B47">
      <w:pPr>
        <w:pStyle w:val="3"/>
        <w:spacing w:before="0"/>
        <w:rPr>
          <w:rFonts w:ascii="Times New Roman" w:eastAsia="仿宋" w:hAnsi="Times New Roman" w:cs="Times New Roman"/>
          <w:b w:val="0"/>
          <w:sz w:val="32"/>
          <w:szCs w:val="32"/>
          <w:lang w:eastAsia="zh-CN"/>
        </w:rPr>
      </w:pPr>
      <w:bookmarkStart w:id="3" w:name="编写目的"/>
      <w:r w:rsidRPr="008E1B47">
        <w:rPr>
          <w:rFonts w:ascii="Times New Roman" w:eastAsia="仿宋" w:hAnsi="Times New Roman" w:cs="Times New Roman"/>
          <w:b w:val="0"/>
          <w:sz w:val="32"/>
          <w:szCs w:val="32"/>
          <w:lang w:eastAsia="zh-CN"/>
        </w:rPr>
        <w:t xml:space="preserve">1. </w:t>
      </w:r>
      <w:r w:rsidRPr="008E1B47">
        <w:rPr>
          <w:rFonts w:ascii="Times New Roman" w:eastAsia="仿宋" w:hAnsi="Times New Roman" w:cs="Times New Roman"/>
          <w:b w:val="0"/>
          <w:sz w:val="32"/>
          <w:szCs w:val="32"/>
          <w:lang w:eastAsia="zh-CN"/>
        </w:rPr>
        <w:t>编写目的</w:t>
      </w:r>
    </w:p>
    <w:p w:rsidR="00194388" w:rsidRPr="008E1B47" w:rsidRDefault="009F5E0F" w:rsidP="008E1B47">
      <w:pPr>
        <w:pStyle w:val="FirstParagraph"/>
        <w:spacing w:before="0"/>
        <w:ind w:firstLine="640"/>
        <w:rPr>
          <w:rFonts w:eastAsia="仿宋" w:cs="Times New Roman"/>
          <w:sz w:val="32"/>
          <w:szCs w:val="32"/>
        </w:rPr>
      </w:pPr>
      <w:r w:rsidRPr="008E1B47">
        <w:rPr>
          <w:rFonts w:eastAsia="仿宋" w:cs="Times New Roman"/>
          <w:sz w:val="32"/>
          <w:szCs w:val="32"/>
        </w:rPr>
        <w:t>铁磁性钢丝绳探伤仪是一种基于磁通感应和漏磁检测技术的专用设备，用于无损检测铁磁性钢丝绳（如电梯、起重机、索道等场景中使用的钢丝绳）的内部及表面缺陷（如断丝、磨损、腐蚀、变形等）。其设计核心在于利用钢丝绳的铁磁特性，通过检测磁场畸变或磁通量变化，精准识别潜在损伤，确保设备安全运行。</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本规范的编制旨在：</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w:t>
      </w:r>
      <w:r w:rsidRPr="008E1B47">
        <w:rPr>
          <w:rFonts w:eastAsia="仿宋" w:cs="Times New Roman"/>
          <w:sz w:val="32"/>
          <w:szCs w:val="32"/>
        </w:rPr>
        <w:t>1</w:t>
      </w:r>
      <w:r w:rsidRPr="008E1B47">
        <w:rPr>
          <w:rFonts w:eastAsia="仿宋" w:cs="Times New Roman"/>
          <w:sz w:val="32"/>
          <w:szCs w:val="32"/>
        </w:rPr>
        <w:t>）</w:t>
      </w:r>
      <w:r w:rsidRPr="008E1B47">
        <w:rPr>
          <w:rFonts w:eastAsia="仿宋" w:cs="Times New Roman"/>
          <w:bCs/>
          <w:sz w:val="32"/>
          <w:szCs w:val="32"/>
        </w:rPr>
        <w:t>统一校准要求</w:t>
      </w:r>
      <w:r w:rsidRPr="008E1B47">
        <w:rPr>
          <w:rFonts w:eastAsia="仿宋" w:cs="Times New Roman"/>
          <w:sz w:val="32"/>
          <w:szCs w:val="32"/>
        </w:rPr>
        <w:t>。统一铁磁性钢丝绳探伤仪的校准项目、校准条件和校准方法，确保不同实验室、不同校准机构出具的校准结果具有一致性和可比性。</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w:t>
      </w:r>
      <w:r w:rsidRPr="008E1B47">
        <w:rPr>
          <w:rFonts w:eastAsia="仿宋" w:cs="Times New Roman"/>
          <w:sz w:val="32"/>
          <w:szCs w:val="32"/>
        </w:rPr>
        <w:t>2</w:t>
      </w:r>
      <w:r w:rsidRPr="008E1B47">
        <w:rPr>
          <w:rFonts w:eastAsia="仿宋" w:cs="Times New Roman"/>
          <w:sz w:val="32"/>
          <w:szCs w:val="32"/>
        </w:rPr>
        <w:t>）</w:t>
      </w:r>
      <w:r w:rsidRPr="008E1B47">
        <w:rPr>
          <w:rFonts w:eastAsia="仿宋" w:cs="Times New Roman"/>
          <w:bCs/>
          <w:sz w:val="32"/>
          <w:szCs w:val="32"/>
        </w:rPr>
        <w:t>明确计量特性</w:t>
      </w:r>
      <w:r w:rsidRPr="008E1B47">
        <w:rPr>
          <w:rFonts w:eastAsia="仿宋" w:cs="Times New Roman"/>
          <w:sz w:val="32"/>
          <w:szCs w:val="32"/>
        </w:rPr>
        <w:t>。科学合理地确定铁磁性钢丝绳探伤仪的关键计量特性，包括磁化单元磁感应强度、灵敏度</w:t>
      </w:r>
      <w:r w:rsidRPr="008E1B47">
        <w:rPr>
          <w:rFonts w:eastAsia="仿宋" w:cs="Times New Roman"/>
          <w:sz w:val="32"/>
          <w:szCs w:val="32"/>
        </w:rPr>
        <w:lastRenderedPageBreak/>
        <w:t>（</w:t>
      </w:r>
      <w:r w:rsidRPr="008E1B47">
        <w:rPr>
          <w:rFonts w:eastAsia="仿宋" w:cs="Times New Roman"/>
          <w:sz w:val="32"/>
          <w:szCs w:val="32"/>
        </w:rPr>
        <w:t>LF/LMA</w:t>
      </w:r>
      <w:r w:rsidRPr="008E1B47">
        <w:rPr>
          <w:rFonts w:eastAsia="仿宋" w:cs="Times New Roman"/>
          <w:sz w:val="32"/>
          <w:szCs w:val="32"/>
        </w:rPr>
        <w:t>）、</w:t>
      </w:r>
      <w:r w:rsidRPr="008E1B47">
        <w:rPr>
          <w:rFonts w:eastAsia="仿宋" w:cs="Times New Roman"/>
          <w:sz w:val="32"/>
          <w:szCs w:val="32"/>
        </w:rPr>
        <w:t>LF</w:t>
      </w:r>
      <w:r w:rsidRPr="008E1B47">
        <w:rPr>
          <w:rFonts w:eastAsia="仿宋" w:cs="Times New Roman"/>
          <w:sz w:val="32"/>
          <w:szCs w:val="32"/>
        </w:rPr>
        <w:t>定量示值误差、</w:t>
      </w:r>
      <w:r w:rsidRPr="008E1B47">
        <w:rPr>
          <w:rFonts w:eastAsia="仿宋" w:cs="Times New Roman"/>
          <w:sz w:val="32"/>
          <w:szCs w:val="32"/>
        </w:rPr>
        <w:t>LMA</w:t>
      </w:r>
      <w:r w:rsidRPr="008E1B47">
        <w:rPr>
          <w:rFonts w:eastAsia="仿宋" w:cs="Times New Roman"/>
          <w:sz w:val="32"/>
          <w:szCs w:val="32"/>
        </w:rPr>
        <w:t>示值误差、轴向位置示值误差、重复性、检测速度影响变化量等。</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w:t>
      </w:r>
      <w:r w:rsidRPr="008E1B47">
        <w:rPr>
          <w:rFonts w:eastAsia="仿宋" w:cs="Times New Roman"/>
          <w:sz w:val="32"/>
          <w:szCs w:val="32"/>
        </w:rPr>
        <w:t>3</w:t>
      </w:r>
      <w:r w:rsidRPr="008E1B47">
        <w:rPr>
          <w:rFonts w:eastAsia="仿宋" w:cs="Times New Roman"/>
          <w:sz w:val="32"/>
          <w:szCs w:val="32"/>
        </w:rPr>
        <w:t>）</w:t>
      </w:r>
      <w:r w:rsidRPr="008E1B47">
        <w:rPr>
          <w:rFonts w:eastAsia="仿宋" w:cs="Times New Roman"/>
          <w:bCs/>
          <w:sz w:val="32"/>
          <w:szCs w:val="32"/>
        </w:rPr>
        <w:t>规范校准操作</w:t>
      </w:r>
      <w:r w:rsidRPr="008E1B47">
        <w:rPr>
          <w:rFonts w:eastAsia="仿宋" w:cs="Times New Roman"/>
          <w:sz w:val="32"/>
          <w:szCs w:val="32"/>
        </w:rPr>
        <w:t>。详细规定各校准项目的具体操作步骤、计算公式和数据处理方法，为校准人员提供明确的操作指南。</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w:t>
      </w:r>
      <w:r w:rsidRPr="008E1B47">
        <w:rPr>
          <w:rFonts w:eastAsia="仿宋" w:cs="Times New Roman"/>
          <w:sz w:val="32"/>
          <w:szCs w:val="32"/>
        </w:rPr>
        <w:t>4</w:t>
      </w:r>
      <w:r w:rsidRPr="008E1B47">
        <w:rPr>
          <w:rFonts w:eastAsia="仿宋" w:cs="Times New Roman"/>
          <w:sz w:val="32"/>
          <w:szCs w:val="32"/>
        </w:rPr>
        <w:t>）</w:t>
      </w:r>
      <w:r w:rsidRPr="008E1B47">
        <w:rPr>
          <w:rFonts w:eastAsia="仿宋" w:cs="Times New Roman"/>
          <w:bCs/>
          <w:sz w:val="32"/>
          <w:szCs w:val="32"/>
        </w:rPr>
        <w:t>提供溯源依据</w:t>
      </w:r>
      <w:r w:rsidRPr="008E1B47">
        <w:rPr>
          <w:rFonts w:eastAsia="仿宋" w:cs="Times New Roman"/>
          <w:sz w:val="32"/>
          <w:szCs w:val="32"/>
        </w:rPr>
        <w:t>。为铁磁性钢丝绳探伤仪的量值溯源提供统一的技术依据，确保检测数据的准确可靠。</w:t>
      </w:r>
    </w:p>
    <w:p w:rsidR="00194388" w:rsidRPr="008E1B47" w:rsidRDefault="009F5E0F" w:rsidP="008E1B47">
      <w:pPr>
        <w:pStyle w:val="3"/>
        <w:spacing w:before="0"/>
        <w:rPr>
          <w:rFonts w:ascii="Times New Roman" w:eastAsia="仿宋" w:hAnsi="Times New Roman" w:cs="Times New Roman"/>
          <w:b w:val="0"/>
          <w:sz w:val="32"/>
          <w:szCs w:val="32"/>
          <w:lang w:eastAsia="zh-CN"/>
        </w:rPr>
      </w:pPr>
      <w:bookmarkStart w:id="4" w:name="编写意义"/>
      <w:bookmarkEnd w:id="3"/>
      <w:r w:rsidRPr="008E1B47">
        <w:rPr>
          <w:rFonts w:ascii="Times New Roman" w:eastAsia="仿宋" w:hAnsi="Times New Roman" w:cs="Times New Roman"/>
          <w:b w:val="0"/>
          <w:sz w:val="32"/>
          <w:szCs w:val="32"/>
          <w:lang w:eastAsia="zh-CN"/>
        </w:rPr>
        <w:t xml:space="preserve">2. </w:t>
      </w:r>
      <w:r w:rsidRPr="008E1B47">
        <w:rPr>
          <w:rFonts w:ascii="Times New Roman" w:eastAsia="仿宋" w:hAnsi="Times New Roman" w:cs="Times New Roman"/>
          <w:b w:val="0"/>
          <w:sz w:val="32"/>
          <w:szCs w:val="32"/>
          <w:lang w:eastAsia="zh-CN"/>
        </w:rPr>
        <w:t>编写意义</w:t>
      </w:r>
    </w:p>
    <w:p w:rsidR="00194388" w:rsidRPr="008E1B47" w:rsidRDefault="009F5E0F" w:rsidP="008E1B47">
      <w:pPr>
        <w:pStyle w:val="FirstParagraph"/>
        <w:spacing w:before="0"/>
        <w:ind w:firstLine="640"/>
        <w:rPr>
          <w:rFonts w:eastAsia="仿宋" w:cs="Times New Roman"/>
          <w:sz w:val="32"/>
          <w:szCs w:val="32"/>
        </w:rPr>
      </w:pPr>
      <w:r w:rsidRPr="008E1B47">
        <w:rPr>
          <w:rFonts w:eastAsia="仿宋" w:cs="Times New Roman"/>
          <w:sz w:val="32"/>
          <w:szCs w:val="32"/>
        </w:rPr>
        <w:t>（</w:t>
      </w:r>
      <w:r w:rsidRPr="008E1B47">
        <w:rPr>
          <w:rFonts w:eastAsia="仿宋" w:cs="Times New Roman"/>
          <w:sz w:val="32"/>
          <w:szCs w:val="32"/>
        </w:rPr>
        <w:t>1</w:t>
      </w:r>
      <w:r w:rsidRPr="008E1B47">
        <w:rPr>
          <w:rFonts w:eastAsia="仿宋" w:cs="Times New Roman"/>
          <w:sz w:val="32"/>
          <w:szCs w:val="32"/>
        </w:rPr>
        <w:t>）</w:t>
      </w:r>
      <w:r w:rsidRPr="008E1B47">
        <w:rPr>
          <w:rFonts w:eastAsia="仿宋" w:cs="Times New Roman"/>
          <w:bCs/>
          <w:sz w:val="32"/>
          <w:szCs w:val="32"/>
        </w:rPr>
        <w:t>保障特种设备安全运行，预防重大安全事故</w:t>
      </w:r>
      <w:r w:rsidRPr="008E1B47">
        <w:rPr>
          <w:rFonts w:eastAsia="仿宋" w:cs="Times New Roman"/>
          <w:sz w:val="32"/>
          <w:szCs w:val="32"/>
        </w:rPr>
        <w:t>。钢丝绳断裂可能引起严重事故，危害公共安全及人民生命财产。对铁磁性钢丝绳探伤仪进行校准，能够确保仪器精度，避免因未检测出断丝或腐蚀导致的钢丝绳断裂事故。本规范的制定将直接服务于特种设备安全保障。</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w:t>
      </w:r>
      <w:r w:rsidRPr="008E1B47">
        <w:rPr>
          <w:rFonts w:eastAsia="仿宋" w:cs="Times New Roman"/>
          <w:sz w:val="32"/>
          <w:szCs w:val="32"/>
        </w:rPr>
        <w:t>2</w:t>
      </w:r>
      <w:r w:rsidRPr="008E1B47">
        <w:rPr>
          <w:rFonts w:eastAsia="仿宋" w:cs="Times New Roman"/>
          <w:sz w:val="32"/>
          <w:szCs w:val="32"/>
        </w:rPr>
        <w:t>）</w:t>
      </w:r>
      <w:r w:rsidRPr="008E1B47">
        <w:rPr>
          <w:rFonts w:eastAsia="仿宋" w:cs="Times New Roman"/>
          <w:bCs/>
          <w:sz w:val="32"/>
          <w:szCs w:val="32"/>
        </w:rPr>
        <w:t>填补计量技术规范空白，完善溯源体系</w:t>
      </w:r>
      <w:r w:rsidRPr="008E1B47">
        <w:rPr>
          <w:rFonts w:eastAsia="仿宋" w:cs="Times New Roman"/>
          <w:sz w:val="32"/>
          <w:szCs w:val="32"/>
        </w:rPr>
        <w:t>。目前国内尚无针对该类仪器的国家计量校准规范。本规范的制定将填补该领域计量技术规范的空白，完善材料领域电磁学性能溯源链，为铁磁材料的试验测试分析提供新的测量手段与测量方法。</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w:t>
      </w:r>
      <w:r w:rsidRPr="008E1B47">
        <w:rPr>
          <w:rFonts w:eastAsia="仿宋" w:cs="Times New Roman"/>
          <w:sz w:val="32"/>
          <w:szCs w:val="32"/>
        </w:rPr>
        <w:t>3</w:t>
      </w:r>
      <w:r w:rsidRPr="008E1B47">
        <w:rPr>
          <w:rFonts w:eastAsia="仿宋" w:cs="Times New Roman"/>
          <w:sz w:val="32"/>
          <w:szCs w:val="32"/>
        </w:rPr>
        <w:t>）</w:t>
      </w:r>
      <w:r w:rsidRPr="008E1B47">
        <w:rPr>
          <w:rFonts w:eastAsia="仿宋" w:cs="Times New Roman"/>
          <w:bCs/>
          <w:sz w:val="32"/>
          <w:szCs w:val="32"/>
        </w:rPr>
        <w:t>建立统一技术标准，消除设备差异</w:t>
      </w:r>
      <w:r w:rsidRPr="008E1B47">
        <w:rPr>
          <w:rFonts w:eastAsia="仿宋" w:cs="Times New Roman"/>
          <w:sz w:val="32"/>
          <w:szCs w:val="32"/>
        </w:rPr>
        <w:t>。规范能够建立行业统一的校准方法和判定阈值，避免不同厂商设备间检测结果的差异，提升检测数据的互认性和可比性。</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lastRenderedPageBreak/>
        <w:t>（</w:t>
      </w:r>
      <w:r w:rsidRPr="008E1B47">
        <w:rPr>
          <w:rFonts w:eastAsia="仿宋" w:cs="Times New Roman"/>
          <w:sz w:val="32"/>
          <w:szCs w:val="32"/>
        </w:rPr>
        <w:t>4</w:t>
      </w:r>
      <w:r w:rsidRPr="008E1B47">
        <w:rPr>
          <w:rFonts w:eastAsia="仿宋" w:cs="Times New Roman"/>
          <w:sz w:val="32"/>
          <w:szCs w:val="32"/>
        </w:rPr>
        <w:t>）</w:t>
      </w:r>
      <w:r w:rsidRPr="008E1B47">
        <w:rPr>
          <w:rFonts w:eastAsia="仿宋" w:cs="Times New Roman"/>
          <w:bCs/>
          <w:sz w:val="32"/>
          <w:szCs w:val="32"/>
        </w:rPr>
        <w:t>提供合规性保障，服务市场监管</w:t>
      </w:r>
      <w:r w:rsidRPr="008E1B47">
        <w:rPr>
          <w:rFonts w:eastAsia="仿宋" w:cs="Times New Roman"/>
          <w:sz w:val="32"/>
          <w:szCs w:val="32"/>
        </w:rPr>
        <w:t>。满足国内外法规要求（如中国《特种设备安全法》、欧盟</w:t>
      </w:r>
      <w:r w:rsidRPr="008E1B47">
        <w:rPr>
          <w:rFonts w:eastAsia="仿宋" w:cs="Times New Roman"/>
          <w:sz w:val="32"/>
          <w:szCs w:val="32"/>
        </w:rPr>
        <w:t>EN 12927-8</w:t>
      </w:r>
      <w:r w:rsidRPr="008E1B47">
        <w:rPr>
          <w:rFonts w:eastAsia="仿宋" w:cs="Times New Roman"/>
          <w:sz w:val="32"/>
          <w:szCs w:val="32"/>
        </w:rPr>
        <w:t>），为特种设备安全监管部门提供技术支撑，确保校准证书的法律效力。</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w:t>
      </w:r>
      <w:r w:rsidRPr="008E1B47">
        <w:rPr>
          <w:rFonts w:eastAsia="仿宋" w:cs="Times New Roman"/>
          <w:sz w:val="32"/>
          <w:szCs w:val="32"/>
        </w:rPr>
        <w:t>5</w:t>
      </w:r>
      <w:r w:rsidRPr="008E1B47">
        <w:rPr>
          <w:rFonts w:eastAsia="仿宋" w:cs="Times New Roman"/>
          <w:sz w:val="32"/>
          <w:szCs w:val="32"/>
        </w:rPr>
        <w:t>）</w:t>
      </w:r>
      <w:r w:rsidRPr="008E1B47">
        <w:rPr>
          <w:rFonts w:eastAsia="仿宋" w:cs="Times New Roman"/>
          <w:bCs/>
          <w:sz w:val="32"/>
          <w:szCs w:val="32"/>
        </w:rPr>
        <w:t>促进设备精准管理，降低维护成本</w:t>
      </w:r>
      <w:r w:rsidRPr="008E1B47">
        <w:rPr>
          <w:rFonts w:eastAsia="仿宋" w:cs="Times New Roman"/>
          <w:sz w:val="32"/>
          <w:szCs w:val="32"/>
        </w:rPr>
        <w:t>。通过精准校准，能够精准评估钢丝绳损伤程度，避免过早更换或过度使用，延长钢丝绳的使用寿命，具有显著的经济效益和社会效益。</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w:t>
      </w:r>
      <w:r w:rsidRPr="008E1B47">
        <w:rPr>
          <w:rFonts w:eastAsia="仿宋" w:cs="Times New Roman"/>
          <w:sz w:val="32"/>
          <w:szCs w:val="32"/>
        </w:rPr>
        <w:t>6</w:t>
      </w:r>
      <w:r w:rsidRPr="008E1B47">
        <w:rPr>
          <w:rFonts w:eastAsia="仿宋" w:cs="Times New Roman"/>
          <w:sz w:val="32"/>
          <w:szCs w:val="32"/>
        </w:rPr>
        <w:t>）</w:t>
      </w:r>
      <w:r w:rsidRPr="008E1B47">
        <w:rPr>
          <w:rFonts w:eastAsia="仿宋" w:cs="Times New Roman"/>
          <w:bCs/>
          <w:sz w:val="32"/>
          <w:szCs w:val="32"/>
        </w:rPr>
        <w:t>服务国家新材料战略需求</w:t>
      </w:r>
      <w:r w:rsidRPr="008E1B47">
        <w:rPr>
          <w:rFonts w:eastAsia="仿宋" w:cs="Times New Roman"/>
          <w:sz w:val="32"/>
          <w:szCs w:val="32"/>
        </w:rPr>
        <w:t>。铁磁性材料是电力、电子、机械等领域的关键功能材料。本规范的制定将促进铁磁性材料检测技术的规范化发展，服务于国家新材料产业发展战略。</w:t>
      </w:r>
    </w:p>
    <w:p w:rsidR="00194388" w:rsidRPr="008E1B47" w:rsidRDefault="009F5E0F" w:rsidP="008E1B47">
      <w:pPr>
        <w:pStyle w:val="2"/>
        <w:spacing w:before="0"/>
        <w:rPr>
          <w:rFonts w:ascii="黑体" w:hAnsi="黑体" w:cs="Times New Roman"/>
          <w:b w:val="0"/>
          <w:lang w:eastAsia="zh-CN"/>
        </w:rPr>
      </w:pPr>
      <w:bookmarkStart w:id="5" w:name="三编写依据"/>
      <w:bookmarkEnd w:id="2"/>
      <w:bookmarkEnd w:id="4"/>
      <w:r w:rsidRPr="008E1B47">
        <w:rPr>
          <w:rFonts w:ascii="黑体" w:hAnsi="黑体" w:cs="Times New Roman"/>
          <w:b w:val="0"/>
          <w:lang w:eastAsia="zh-CN"/>
        </w:rPr>
        <w:t>三、编写依据</w:t>
      </w:r>
    </w:p>
    <w:p w:rsidR="00194388" w:rsidRPr="008E1B47" w:rsidRDefault="009F5E0F" w:rsidP="008E1B47">
      <w:pPr>
        <w:pStyle w:val="FirstParagraph"/>
        <w:spacing w:before="0"/>
        <w:ind w:firstLine="640"/>
        <w:rPr>
          <w:rFonts w:eastAsia="仿宋" w:cs="Times New Roman"/>
          <w:sz w:val="32"/>
          <w:szCs w:val="32"/>
        </w:rPr>
      </w:pPr>
      <w:r w:rsidRPr="008E1B47">
        <w:rPr>
          <w:rFonts w:eastAsia="仿宋" w:cs="Times New Roman"/>
          <w:sz w:val="32"/>
          <w:szCs w:val="32"/>
        </w:rPr>
        <w:t>本规范在编制过程中，主要依据以下基础性文件和引用标准：</w:t>
      </w:r>
    </w:p>
    <w:p w:rsidR="00194388" w:rsidRPr="008E1B47" w:rsidRDefault="009F5E0F" w:rsidP="008E1B47">
      <w:pPr>
        <w:pStyle w:val="3"/>
        <w:spacing w:before="0"/>
        <w:ind w:firstLineChars="200" w:firstLine="640"/>
        <w:rPr>
          <w:rFonts w:ascii="Times New Roman" w:eastAsia="仿宋" w:hAnsi="Times New Roman" w:cs="Times New Roman"/>
          <w:b w:val="0"/>
          <w:sz w:val="32"/>
          <w:szCs w:val="32"/>
        </w:rPr>
      </w:pPr>
      <w:bookmarkStart w:id="6" w:name="基础性文件"/>
      <w:r w:rsidRPr="008E1B47">
        <w:rPr>
          <w:rFonts w:ascii="Times New Roman" w:eastAsia="仿宋" w:hAnsi="Times New Roman" w:cs="Times New Roman"/>
          <w:b w:val="0"/>
          <w:sz w:val="32"/>
          <w:szCs w:val="32"/>
        </w:rPr>
        <w:t xml:space="preserve">1. </w:t>
      </w:r>
      <w:r w:rsidRPr="008E1B47">
        <w:rPr>
          <w:rFonts w:ascii="Times New Roman" w:eastAsia="仿宋" w:hAnsi="Times New Roman" w:cs="Times New Roman"/>
          <w:b w:val="0"/>
          <w:sz w:val="32"/>
          <w:szCs w:val="32"/>
        </w:rPr>
        <w:t>基础性文件</w:t>
      </w:r>
    </w:p>
    <w:p w:rsidR="00194388" w:rsidRPr="008E1B47" w:rsidRDefault="009F5E0F" w:rsidP="008E1B47">
      <w:pPr>
        <w:pStyle w:val="Compact"/>
        <w:numPr>
          <w:ilvl w:val="0"/>
          <w:numId w:val="13"/>
        </w:numPr>
        <w:spacing w:before="0" w:after="0"/>
        <w:ind w:firstLineChars="200" w:firstLine="640"/>
        <w:rPr>
          <w:rFonts w:eastAsia="仿宋" w:cs="Times New Roman"/>
          <w:sz w:val="32"/>
          <w:szCs w:val="32"/>
        </w:rPr>
      </w:pPr>
      <w:r w:rsidRPr="008E1B47">
        <w:rPr>
          <w:rFonts w:eastAsia="仿宋" w:cs="Times New Roman"/>
          <w:bCs/>
          <w:sz w:val="32"/>
          <w:szCs w:val="32"/>
        </w:rPr>
        <w:t>JJF 1071-2010</w:t>
      </w:r>
      <w:r w:rsidRPr="008E1B47">
        <w:rPr>
          <w:rFonts w:eastAsia="仿宋" w:cs="Times New Roman"/>
          <w:bCs/>
          <w:sz w:val="32"/>
          <w:szCs w:val="32"/>
        </w:rPr>
        <w:t>《国家计量校准规范编写规则》</w:t>
      </w:r>
      <w:r w:rsidRPr="008E1B47">
        <w:rPr>
          <w:rFonts w:eastAsia="仿宋" w:cs="Times New Roman"/>
          <w:sz w:val="32"/>
          <w:szCs w:val="32"/>
        </w:rPr>
        <w:t>：规定了国家计量校准规范的编写格式、结构和表述要求，是本规范编写的直接依据。</w:t>
      </w:r>
    </w:p>
    <w:p w:rsidR="00194388" w:rsidRPr="008E1B47" w:rsidRDefault="009F5E0F" w:rsidP="008E1B47">
      <w:pPr>
        <w:pStyle w:val="Compact"/>
        <w:numPr>
          <w:ilvl w:val="0"/>
          <w:numId w:val="13"/>
        </w:numPr>
        <w:spacing w:before="0" w:after="0"/>
        <w:ind w:firstLineChars="200" w:firstLine="640"/>
        <w:rPr>
          <w:rFonts w:eastAsia="仿宋" w:cs="Times New Roman"/>
          <w:sz w:val="32"/>
          <w:szCs w:val="32"/>
        </w:rPr>
      </w:pPr>
      <w:r w:rsidRPr="008E1B47">
        <w:rPr>
          <w:rFonts w:eastAsia="仿宋" w:cs="Times New Roman"/>
          <w:bCs/>
          <w:sz w:val="32"/>
          <w:szCs w:val="32"/>
        </w:rPr>
        <w:t>JJF 1001-2011</w:t>
      </w:r>
      <w:r w:rsidRPr="008E1B47">
        <w:rPr>
          <w:rFonts w:eastAsia="仿宋" w:cs="Times New Roman"/>
          <w:bCs/>
          <w:sz w:val="32"/>
          <w:szCs w:val="32"/>
        </w:rPr>
        <w:t>《通用计量术语及定义》</w:t>
      </w:r>
      <w:r w:rsidRPr="008E1B47">
        <w:rPr>
          <w:rFonts w:eastAsia="仿宋" w:cs="Times New Roman"/>
          <w:sz w:val="32"/>
          <w:szCs w:val="32"/>
        </w:rPr>
        <w:t>：为规范中使用的计量术语提供了统一的定义和解释。</w:t>
      </w:r>
    </w:p>
    <w:p w:rsidR="00194388" w:rsidRPr="008E1B47" w:rsidRDefault="009F5E0F" w:rsidP="008E1B47">
      <w:pPr>
        <w:pStyle w:val="Compact"/>
        <w:numPr>
          <w:ilvl w:val="0"/>
          <w:numId w:val="13"/>
        </w:numPr>
        <w:spacing w:before="0" w:after="0"/>
        <w:ind w:firstLineChars="200" w:firstLine="640"/>
        <w:rPr>
          <w:rFonts w:eastAsia="仿宋" w:cs="Times New Roman"/>
          <w:sz w:val="32"/>
          <w:szCs w:val="32"/>
        </w:rPr>
      </w:pPr>
      <w:r w:rsidRPr="008E1B47">
        <w:rPr>
          <w:rFonts w:eastAsia="仿宋" w:cs="Times New Roman"/>
          <w:bCs/>
          <w:sz w:val="32"/>
          <w:szCs w:val="32"/>
        </w:rPr>
        <w:lastRenderedPageBreak/>
        <w:t>JJF 1059.1-2012</w:t>
      </w:r>
      <w:r w:rsidRPr="008E1B47">
        <w:rPr>
          <w:rFonts w:eastAsia="仿宋" w:cs="Times New Roman"/>
          <w:bCs/>
          <w:sz w:val="32"/>
          <w:szCs w:val="32"/>
        </w:rPr>
        <w:t>《测量不确定度评定与表示》</w:t>
      </w:r>
      <w:r w:rsidRPr="008E1B47">
        <w:rPr>
          <w:rFonts w:eastAsia="仿宋" w:cs="Times New Roman"/>
          <w:sz w:val="32"/>
          <w:szCs w:val="32"/>
        </w:rPr>
        <w:t>：为规范中测量不确定度的评定与表达提供了方法和依据。本规范附录</w:t>
      </w:r>
      <w:r w:rsidRPr="008E1B47">
        <w:rPr>
          <w:rFonts w:eastAsia="仿宋" w:cs="Times New Roman"/>
          <w:sz w:val="32"/>
          <w:szCs w:val="32"/>
        </w:rPr>
        <w:t>C</w:t>
      </w:r>
      <w:r w:rsidRPr="008E1B47">
        <w:rPr>
          <w:rFonts w:eastAsia="仿宋" w:cs="Times New Roman"/>
          <w:sz w:val="32"/>
          <w:szCs w:val="32"/>
        </w:rPr>
        <w:t>和附录</w:t>
      </w:r>
      <w:r w:rsidRPr="008E1B47">
        <w:rPr>
          <w:rFonts w:eastAsia="仿宋" w:cs="Times New Roman"/>
          <w:sz w:val="32"/>
          <w:szCs w:val="32"/>
        </w:rPr>
        <w:t>D</w:t>
      </w:r>
      <w:r w:rsidRPr="008E1B47">
        <w:rPr>
          <w:rFonts w:eastAsia="仿宋" w:cs="Times New Roman"/>
          <w:sz w:val="32"/>
          <w:szCs w:val="32"/>
        </w:rPr>
        <w:t>的不确定度评定示例严格按照该文件的方法进行评定。</w:t>
      </w:r>
    </w:p>
    <w:p w:rsidR="00194388" w:rsidRPr="008E1B47" w:rsidRDefault="009F5E0F" w:rsidP="008E1B47">
      <w:pPr>
        <w:pStyle w:val="3"/>
        <w:spacing w:before="0"/>
        <w:ind w:firstLineChars="200" w:firstLine="640"/>
        <w:rPr>
          <w:rFonts w:ascii="Times New Roman" w:eastAsia="仿宋" w:hAnsi="Times New Roman" w:cs="Times New Roman"/>
          <w:b w:val="0"/>
          <w:sz w:val="32"/>
          <w:szCs w:val="32"/>
        </w:rPr>
      </w:pPr>
      <w:bookmarkStart w:id="7" w:name="主要技术参考标准"/>
      <w:bookmarkEnd w:id="6"/>
      <w:r w:rsidRPr="008E1B47">
        <w:rPr>
          <w:rFonts w:ascii="Times New Roman" w:eastAsia="仿宋" w:hAnsi="Times New Roman" w:cs="Times New Roman"/>
          <w:b w:val="0"/>
          <w:sz w:val="32"/>
          <w:szCs w:val="32"/>
        </w:rPr>
        <w:t xml:space="preserve">2. </w:t>
      </w:r>
      <w:r w:rsidRPr="008E1B47">
        <w:rPr>
          <w:rFonts w:ascii="Times New Roman" w:eastAsia="仿宋" w:hAnsi="Times New Roman" w:cs="Times New Roman"/>
          <w:b w:val="0"/>
          <w:sz w:val="32"/>
          <w:szCs w:val="32"/>
        </w:rPr>
        <w:t>主要技术参考标准</w:t>
      </w:r>
    </w:p>
    <w:p w:rsidR="00194388" w:rsidRPr="008E1B47" w:rsidRDefault="009F5E0F" w:rsidP="008E1B47">
      <w:pPr>
        <w:pStyle w:val="Compact"/>
        <w:numPr>
          <w:ilvl w:val="0"/>
          <w:numId w:val="14"/>
        </w:numPr>
        <w:spacing w:before="0" w:after="0"/>
        <w:ind w:firstLineChars="200" w:firstLine="640"/>
        <w:rPr>
          <w:rFonts w:eastAsia="仿宋" w:cs="Times New Roman"/>
          <w:sz w:val="32"/>
          <w:szCs w:val="32"/>
        </w:rPr>
      </w:pPr>
      <w:r w:rsidRPr="008E1B47">
        <w:rPr>
          <w:rFonts w:eastAsia="仿宋" w:cs="Times New Roman"/>
          <w:bCs/>
          <w:sz w:val="32"/>
          <w:szCs w:val="32"/>
        </w:rPr>
        <w:t>GB/T 21837—2023</w:t>
      </w:r>
      <w:r w:rsidRPr="008E1B47">
        <w:rPr>
          <w:rFonts w:eastAsia="仿宋" w:cs="Times New Roman"/>
          <w:bCs/>
          <w:sz w:val="32"/>
          <w:szCs w:val="32"/>
        </w:rPr>
        <w:t>《铁磁性钢丝绳电磁检测方法》</w:t>
      </w:r>
      <w:r w:rsidRPr="008E1B47">
        <w:rPr>
          <w:rFonts w:eastAsia="仿宋" w:cs="Times New Roman"/>
          <w:sz w:val="32"/>
          <w:szCs w:val="32"/>
        </w:rPr>
        <w:t>：规定了铁磁性钢丝绳电磁检测的方法和要求，是本规范中检测方法描述和测量条件设定的重要技术参考。</w:t>
      </w:r>
    </w:p>
    <w:p w:rsidR="00194388" w:rsidRPr="008E1B47" w:rsidRDefault="009F5E0F" w:rsidP="008E1B47">
      <w:pPr>
        <w:pStyle w:val="Compact"/>
        <w:numPr>
          <w:ilvl w:val="0"/>
          <w:numId w:val="14"/>
        </w:numPr>
        <w:spacing w:before="0" w:after="0"/>
        <w:ind w:firstLineChars="200" w:firstLine="640"/>
        <w:rPr>
          <w:rFonts w:eastAsia="仿宋" w:cs="Times New Roman"/>
          <w:sz w:val="32"/>
          <w:szCs w:val="32"/>
        </w:rPr>
      </w:pPr>
      <w:r w:rsidRPr="008E1B47">
        <w:rPr>
          <w:rFonts w:eastAsia="仿宋" w:cs="Times New Roman"/>
          <w:bCs/>
          <w:sz w:val="32"/>
          <w:szCs w:val="32"/>
        </w:rPr>
        <w:t>GB/T 26832—2011</w:t>
      </w:r>
      <w:r w:rsidRPr="008E1B47">
        <w:rPr>
          <w:rFonts w:eastAsia="仿宋" w:cs="Times New Roman"/>
          <w:bCs/>
          <w:sz w:val="32"/>
          <w:szCs w:val="32"/>
        </w:rPr>
        <w:t>《无损检测仪器</w:t>
      </w:r>
      <w:r w:rsidRPr="008E1B47">
        <w:rPr>
          <w:rFonts w:eastAsia="仿宋" w:cs="Times New Roman"/>
          <w:bCs/>
          <w:sz w:val="32"/>
          <w:szCs w:val="32"/>
        </w:rPr>
        <w:t xml:space="preserve"> </w:t>
      </w:r>
      <w:r w:rsidRPr="008E1B47">
        <w:rPr>
          <w:rFonts w:eastAsia="仿宋" w:cs="Times New Roman"/>
          <w:bCs/>
          <w:sz w:val="32"/>
          <w:szCs w:val="32"/>
        </w:rPr>
        <w:t>钢丝绳电磁检测仪技术条件》</w:t>
      </w:r>
      <w:r w:rsidRPr="008E1B47">
        <w:rPr>
          <w:rFonts w:eastAsia="仿宋" w:cs="Times New Roman"/>
          <w:sz w:val="32"/>
          <w:szCs w:val="32"/>
        </w:rPr>
        <w:t>：规定了钢丝绳电磁检测仪的技术要求、试验方法、检验规则等内容，为本规范中仪器概述、计量特性确定、技术指标设定等提供了国内标准依据。</w:t>
      </w:r>
    </w:p>
    <w:p w:rsidR="00194388" w:rsidRPr="008E1B47" w:rsidRDefault="009F5E0F" w:rsidP="008E1B47">
      <w:pPr>
        <w:pStyle w:val="Compact"/>
        <w:numPr>
          <w:ilvl w:val="0"/>
          <w:numId w:val="14"/>
        </w:numPr>
        <w:spacing w:before="0" w:after="0"/>
        <w:ind w:firstLineChars="200" w:firstLine="640"/>
        <w:rPr>
          <w:rFonts w:eastAsia="仿宋" w:cs="Times New Roman"/>
          <w:sz w:val="32"/>
          <w:szCs w:val="32"/>
        </w:rPr>
      </w:pPr>
      <w:r w:rsidRPr="008E1B47">
        <w:rPr>
          <w:rFonts w:eastAsia="仿宋" w:cs="Times New Roman"/>
          <w:bCs/>
          <w:sz w:val="32"/>
          <w:szCs w:val="32"/>
        </w:rPr>
        <w:t>GB/T 8706—2017</w:t>
      </w:r>
      <w:r w:rsidRPr="008E1B47">
        <w:rPr>
          <w:rFonts w:eastAsia="仿宋" w:cs="Times New Roman"/>
          <w:bCs/>
          <w:sz w:val="32"/>
          <w:szCs w:val="32"/>
        </w:rPr>
        <w:t>《钢丝绳术语、标记和分类》</w:t>
      </w:r>
      <w:r w:rsidRPr="008E1B47">
        <w:rPr>
          <w:rFonts w:eastAsia="仿宋" w:cs="Times New Roman"/>
          <w:sz w:val="32"/>
          <w:szCs w:val="32"/>
        </w:rPr>
        <w:t>：为规范中钢丝绳规格表示提供了依据。</w:t>
      </w:r>
    </w:p>
    <w:p w:rsidR="00194388" w:rsidRPr="008E1B47" w:rsidRDefault="009F5E0F" w:rsidP="008E1B47">
      <w:pPr>
        <w:pStyle w:val="Compact"/>
        <w:numPr>
          <w:ilvl w:val="0"/>
          <w:numId w:val="14"/>
        </w:numPr>
        <w:spacing w:before="0" w:after="0"/>
        <w:ind w:firstLineChars="200" w:firstLine="640"/>
        <w:rPr>
          <w:rFonts w:eastAsia="仿宋" w:cs="Times New Roman"/>
          <w:sz w:val="32"/>
          <w:szCs w:val="32"/>
        </w:rPr>
      </w:pPr>
      <w:r w:rsidRPr="008E1B47">
        <w:rPr>
          <w:rFonts w:eastAsia="仿宋" w:cs="Times New Roman"/>
          <w:bCs/>
          <w:sz w:val="32"/>
          <w:szCs w:val="32"/>
        </w:rPr>
        <w:t>GB/T 20118—2017</w:t>
      </w:r>
      <w:r w:rsidRPr="008E1B47">
        <w:rPr>
          <w:rFonts w:eastAsia="仿宋" w:cs="Times New Roman"/>
          <w:bCs/>
          <w:sz w:val="32"/>
          <w:szCs w:val="32"/>
        </w:rPr>
        <w:t>《钢丝绳通用技术条件》</w:t>
      </w:r>
      <w:r w:rsidRPr="008E1B47">
        <w:rPr>
          <w:rFonts w:eastAsia="仿宋" w:cs="Times New Roman"/>
          <w:sz w:val="32"/>
          <w:szCs w:val="32"/>
        </w:rPr>
        <w:t>：为规范中标准样绳的选材和制备提供了参考。</w:t>
      </w:r>
    </w:p>
    <w:p w:rsidR="00194388" w:rsidRPr="008E1B47" w:rsidRDefault="009F5E0F" w:rsidP="008E1B47">
      <w:pPr>
        <w:pStyle w:val="Compact"/>
        <w:numPr>
          <w:ilvl w:val="0"/>
          <w:numId w:val="14"/>
        </w:numPr>
        <w:spacing w:before="0" w:after="0"/>
        <w:ind w:firstLineChars="200" w:firstLine="640"/>
        <w:rPr>
          <w:rFonts w:eastAsia="仿宋" w:cs="Times New Roman"/>
          <w:sz w:val="32"/>
          <w:szCs w:val="32"/>
        </w:rPr>
      </w:pPr>
      <w:r w:rsidRPr="008E1B47">
        <w:rPr>
          <w:rFonts w:eastAsia="仿宋" w:cs="Times New Roman"/>
          <w:bCs/>
          <w:sz w:val="32"/>
          <w:szCs w:val="32"/>
        </w:rPr>
        <w:t>GB/T 20737—2006</w:t>
      </w:r>
      <w:r w:rsidRPr="008E1B47">
        <w:rPr>
          <w:rFonts w:eastAsia="仿宋" w:cs="Times New Roman"/>
          <w:bCs/>
          <w:sz w:val="32"/>
          <w:szCs w:val="32"/>
        </w:rPr>
        <w:t>《无损检测</w:t>
      </w:r>
      <w:r w:rsidRPr="008E1B47">
        <w:rPr>
          <w:rFonts w:eastAsia="仿宋" w:cs="Times New Roman"/>
          <w:bCs/>
          <w:sz w:val="32"/>
          <w:szCs w:val="32"/>
        </w:rPr>
        <w:t xml:space="preserve"> </w:t>
      </w:r>
      <w:r w:rsidRPr="008E1B47">
        <w:rPr>
          <w:rFonts w:eastAsia="仿宋" w:cs="Times New Roman"/>
          <w:bCs/>
          <w:sz w:val="32"/>
          <w:szCs w:val="32"/>
        </w:rPr>
        <w:t>通用术语和定义》</w:t>
      </w:r>
      <w:r w:rsidRPr="008E1B47">
        <w:rPr>
          <w:rFonts w:eastAsia="仿宋" w:cs="Times New Roman"/>
          <w:sz w:val="32"/>
          <w:szCs w:val="32"/>
        </w:rPr>
        <w:t>：为规范中无损检测相关术语提供了定义。</w:t>
      </w:r>
    </w:p>
    <w:p w:rsidR="00194388" w:rsidRPr="008E1B47" w:rsidRDefault="009F5E0F" w:rsidP="008E1B47">
      <w:pPr>
        <w:pStyle w:val="Compact"/>
        <w:numPr>
          <w:ilvl w:val="0"/>
          <w:numId w:val="14"/>
        </w:numPr>
        <w:spacing w:before="0" w:after="0"/>
        <w:ind w:firstLineChars="200" w:firstLine="640"/>
        <w:rPr>
          <w:rFonts w:eastAsia="仿宋" w:cs="Times New Roman"/>
          <w:sz w:val="32"/>
          <w:szCs w:val="32"/>
        </w:rPr>
      </w:pPr>
      <w:r w:rsidRPr="008E1B47">
        <w:rPr>
          <w:rFonts w:eastAsia="仿宋" w:cs="Times New Roman"/>
          <w:bCs/>
          <w:sz w:val="32"/>
          <w:szCs w:val="32"/>
        </w:rPr>
        <w:t>MT/T 970—2005</w:t>
      </w:r>
      <w:r w:rsidRPr="008E1B47">
        <w:rPr>
          <w:rFonts w:eastAsia="仿宋" w:cs="Times New Roman"/>
          <w:bCs/>
          <w:sz w:val="32"/>
          <w:szCs w:val="32"/>
        </w:rPr>
        <w:t>《钢丝绳（缆）在线无损定量检测方法和判定规则》</w:t>
      </w:r>
      <w:r w:rsidRPr="008E1B47">
        <w:rPr>
          <w:rFonts w:eastAsia="仿宋" w:cs="Times New Roman"/>
          <w:sz w:val="32"/>
          <w:szCs w:val="32"/>
        </w:rPr>
        <w:t>：为规范中在线检测仪器的校准要求提供了行业参考。</w:t>
      </w:r>
    </w:p>
    <w:p w:rsidR="00194388" w:rsidRPr="008E1B47" w:rsidRDefault="009F5E0F" w:rsidP="008E1B47">
      <w:pPr>
        <w:pStyle w:val="Compact"/>
        <w:numPr>
          <w:ilvl w:val="0"/>
          <w:numId w:val="14"/>
        </w:numPr>
        <w:spacing w:before="0" w:after="0"/>
        <w:ind w:firstLineChars="200" w:firstLine="640"/>
        <w:rPr>
          <w:rFonts w:eastAsia="仿宋" w:cs="Times New Roman"/>
          <w:sz w:val="32"/>
          <w:szCs w:val="32"/>
        </w:rPr>
      </w:pPr>
      <w:r w:rsidRPr="008E1B47">
        <w:rPr>
          <w:rFonts w:eastAsia="仿宋" w:cs="Times New Roman"/>
          <w:bCs/>
          <w:sz w:val="32"/>
          <w:szCs w:val="32"/>
        </w:rPr>
        <w:lastRenderedPageBreak/>
        <w:t>ASTM E1571—25</w:t>
      </w:r>
      <w:r w:rsidRPr="008E1B47">
        <w:rPr>
          <w:rFonts w:eastAsia="仿宋" w:cs="Times New Roman"/>
          <w:bCs/>
          <w:sz w:val="32"/>
          <w:szCs w:val="32"/>
        </w:rPr>
        <w:t>《</w:t>
      </w:r>
      <w:r w:rsidRPr="008E1B47">
        <w:rPr>
          <w:rFonts w:eastAsia="仿宋" w:cs="Times New Roman"/>
          <w:bCs/>
          <w:sz w:val="32"/>
          <w:szCs w:val="32"/>
        </w:rPr>
        <w:t>Standard Practice for Electromagnetic Examination of Ferromagnetic Steel Wire Rope</w:t>
      </w:r>
      <w:r w:rsidRPr="008E1B47">
        <w:rPr>
          <w:rFonts w:eastAsia="仿宋" w:cs="Times New Roman"/>
          <w:bCs/>
          <w:sz w:val="32"/>
          <w:szCs w:val="32"/>
        </w:rPr>
        <w:t>》</w:t>
      </w:r>
      <w:r w:rsidRPr="008E1B47">
        <w:rPr>
          <w:rFonts w:eastAsia="仿宋" w:cs="Times New Roman"/>
          <w:sz w:val="32"/>
          <w:szCs w:val="32"/>
        </w:rPr>
        <w:t>：该标准为铁磁性钢丝绳电磁检查的标准实施规程，是目前国际领域最具权威性的标准之一。本规范中有关磁通原理和漏磁原理的检测原理描述、探头结构说明等内容主要参考了该标准。</w:t>
      </w:r>
    </w:p>
    <w:p w:rsidR="00194388" w:rsidRPr="008E1B47" w:rsidRDefault="009F5E0F" w:rsidP="008E1B47">
      <w:pPr>
        <w:pStyle w:val="2"/>
        <w:spacing w:before="0"/>
        <w:rPr>
          <w:rFonts w:ascii="黑体" w:hAnsi="黑体" w:cs="Times New Roman"/>
          <w:b w:val="0"/>
          <w:lang w:eastAsia="zh-CN"/>
        </w:rPr>
      </w:pPr>
      <w:bookmarkStart w:id="8" w:name="四起草过程"/>
      <w:bookmarkEnd w:id="5"/>
      <w:bookmarkEnd w:id="7"/>
      <w:r w:rsidRPr="008E1B47">
        <w:rPr>
          <w:rFonts w:ascii="黑体" w:hAnsi="黑体" w:cs="Times New Roman"/>
          <w:b w:val="0"/>
          <w:lang w:eastAsia="zh-CN"/>
        </w:rPr>
        <w:t>四、起草过程</w:t>
      </w:r>
    </w:p>
    <w:p w:rsidR="00194388" w:rsidRPr="008E1B47" w:rsidRDefault="009F5E0F" w:rsidP="008E1B47">
      <w:pPr>
        <w:pStyle w:val="FirstParagraph"/>
        <w:spacing w:before="0"/>
        <w:ind w:firstLine="640"/>
        <w:rPr>
          <w:rFonts w:eastAsia="仿宋" w:cs="Times New Roman"/>
          <w:sz w:val="32"/>
          <w:szCs w:val="32"/>
        </w:rPr>
      </w:pPr>
      <w:r w:rsidRPr="008E1B47">
        <w:rPr>
          <w:rFonts w:eastAsia="仿宋" w:cs="Times New Roman"/>
          <w:sz w:val="32"/>
          <w:szCs w:val="32"/>
        </w:rPr>
        <w:t>2025</w:t>
      </w:r>
      <w:r w:rsidRPr="008E1B47">
        <w:rPr>
          <w:rFonts w:eastAsia="仿宋" w:cs="Times New Roman"/>
          <w:sz w:val="32"/>
          <w:szCs w:val="32"/>
        </w:rPr>
        <w:t>年初，南京市计量监督检测院联合中国计量科学研究院，根据全国新材料与纳米计量技术委员会的工作部署，成立了由主要起草单位和参加起草单位组成的规范编写组。编写组由材料计量、无损检测、计量测试等领域的专家和技术人员组成。</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编写组首先开展了广泛的调研工作：</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w:t>
      </w:r>
      <w:r w:rsidRPr="008E1B47">
        <w:rPr>
          <w:rFonts w:eastAsia="仿宋" w:cs="Times New Roman"/>
          <w:sz w:val="32"/>
          <w:szCs w:val="32"/>
        </w:rPr>
        <w:t>1</w:t>
      </w:r>
      <w:r w:rsidRPr="008E1B47">
        <w:rPr>
          <w:rFonts w:eastAsia="仿宋" w:cs="Times New Roman"/>
          <w:sz w:val="32"/>
          <w:szCs w:val="32"/>
        </w:rPr>
        <w:t>）</w:t>
      </w:r>
      <w:r w:rsidRPr="008E1B47">
        <w:rPr>
          <w:rFonts w:eastAsia="仿宋" w:cs="Times New Roman"/>
          <w:bCs/>
          <w:sz w:val="32"/>
          <w:szCs w:val="32"/>
        </w:rPr>
        <w:t>文献调研</w:t>
      </w:r>
      <w:r w:rsidRPr="008E1B47">
        <w:rPr>
          <w:rFonts w:eastAsia="仿宋" w:cs="Times New Roman"/>
          <w:sz w:val="32"/>
          <w:szCs w:val="32"/>
        </w:rPr>
        <w:t>：收集并研究了国内外相关标准和技术文献，包括</w:t>
      </w:r>
      <w:r w:rsidRPr="008E1B47">
        <w:rPr>
          <w:rFonts w:eastAsia="仿宋" w:cs="Times New Roman"/>
          <w:sz w:val="32"/>
          <w:szCs w:val="32"/>
        </w:rPr>
        <w:t>ASTM E1571-25</w:t>
      </w:r>
      <w:r w:rsidRPr="008E1B47">
        <w:rPr>
          <w:rFonts w:eastAsia="仿宋" w:cs="Times New Roman"/>
          <w:sz w:val="32"/>
          <w:szCs w:val="32"/>
        </w:rPr>
        <w:t>、</w:t>
      </w:r>
      <w:r w:rsidRPr="008E1B47">
        <w:rPr>
          <w:rFonts w:eastAsia="仿宋" w:cs="Times New Roman"/>
          <w:sz w:val="32"/>
          <w:szCs w:val="32"/>
        </w:rPr>
        <w:t>GB/T 26832-2011</w:t>
      </w:r>
      <w:r w:rsidRPr="008E1B47">
        <w:rPr>
          <w:rFonts w:eastAsia="仿宋" w:cs="Times New Roman"/>
          <w:sz w:val="32"/>
          <w:szCs w:val="32"/>
        </w:rPr>
        <w:t>、</w:t>
      </w:r>
      <w:r w:rsidRPr="008E1B47">
        <w:rPr>
          <w:rFonts w:eastAsia="仿宋" w:cs="Times New Roman"/>
          <w:sz w:val="32"/>
          <w:szCs w:val="32"/>
        </w:rPr>
        <w:t>GB/T 21837-2023</w:t>
      </w:r>
      <w:r w:rsidRPr="008E1B47">
        <w:rPr>
          <w:rFonts w:eastAsia="仿宋" w:cs="Times New Roman"/>
          <w:sz w:val="32"/>
          <w:szCs w:val="32"/>
        </w:rPr>
        <w:t>等标准，系统梳理了铁磁性钢丝绳探伤仪的</w:t>
      </w:r>
      <w:bookmarkStart w:id="9" w:name="_GoBack"/>
      <w:bookmarkEnd w:id="9"/>
      <w:r w:rsidRPr="008E1B47">
        <w:rPr>
          <w:rFonts w:eastAsia="仿宋" w:cs="Times New Roman"/>
          <w:sz w:val="32"/>
          <w:szCs w:val="32"/>
        </w:rPr>
        <w:t>技术发展现状和校准需求。</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w:t>
      </w:r>
      <w:r w:rsidRPr="008E1B47">
        <w:rPr>
          <w:rFonts w:eastAsia="仿宋" w:cs="Times New Roman"/>
          <w:sz w:val="32"/>
          <w:szCs w:val="32"/>
        </w:rPr>
        <w:t>2</w:t>
      </w:r>
      <w:r w:rsidRPr="008E1B47">
        <w:rPr>
          <w:rFonts w:eastAsia="仿宋" w:cs="Times New Roman"/>
          <w:sz w:val="32"/>
          <w:szCs w:val="32"/>
        </w:rPr>
        <w:t>）</w:t>
      </w:r>
      <w:r w:rsidRPr="008E1B47">
        <w:rPr>
          <w:rFonts w:eastAsia="仿宋" w:cs="Times New Roman"/>
          <w:bCs/>
          <w:sz w:val="32"/>
          <w:szCs w:val="32"/>
        </w:rPr>
        <w:t>产业调研</w:t>
      </w:r>
      <w:r w:rsidRPr="008E1B47">
        <w:rPr>
          <w:rFonts w:eastAsia="仿宋" w:cs="Times New Roman"/>
          <w:sz w:val="32"/>
          <w:szCs w:val="32"/>
        </w:rPr>
        <w:t>：</w:t>
      </w:r>
      <w:r w:rsidR="008E1B47">
        <w:rPr>
          <w:rFonts w:eastAsia="仿宋" w:cs="Times New Roman"/>
          <w:sz w:val="32"/>
          <w:szCs w:val="32"/>
        </w:rPr>
        <w:t>调研了</w:t>
      </w:r>
      <w:r w:rsidRPr="008E1B47">
        <w:rPr>
          <w:rFonts w:eastAsia="仿宋" w:cs="Times New Roman"/>
          <w:sz w:val="32"/>
          <w:szCs w:val="32"/>
        </w:rPr>
        <w:t>多家铁磁性钢丝绳探伤仪生产企业（包括洛阳泰斯特、北京时代中科等）和典型使用单位（包括特种设备检验机构、电梯公司、港口起重机维护单位等），深入了解仪器的工作原理、技术参数、使用情况和校准需求。</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lastRenderedPageBreak/>
        <w:t>（</w:t>
      </w:r>
      <w:r w:rsidRPr="008E1B47">
        <w:rPr>
          <w:rFonts w:eastAsia="仿宋" w:cs="Times New Roman"/>
          <w:sz w:val="32"/>
          <w:szCs w:val="32"/>
        </w:rPr>
        <w:t>3</w:t>
      </w:r>
      <w:r w:rsidRPr="008E1B47">
        <w:rPr>
          <w:rFonts w:eastAsia="仿宋" w:cs="Times New Roman"/>
          <w:sz w:val="32"/>
          <w:szCs w:val="32"/>
        </w:rPr>
        <w:t>）</w:t>
      </w:r>
      <w:r w:rsidRPr="008E1B47">
        <w:rPr>
          <w:rFonts w:eastAsia="仿宋" w:cs="Times New Roman"/>
          <w:bCs/>
          <w:sz w:val="32"/>
          <w:szCs w:val="32"/>
        </w:rPr>
        <w:t>技术调研</w:t>
      </w:r>
      <w:r w:rsidRPr="008E1B47">
        <w:rPr>
          <w:rFonts w:eastAsia="仿宋" w:cs="Times New Roman"/>
          <w:sz w:val="32"/>
          <w:szCs w:val="32"/>
        </w:rPr>
        <w:t>：调研了部分计量技术机构在钢丝绳检测设备校准方面的技术能力和实践经验，分析了目前在用仪器的类型分布、技术特点和校准现状。调研发现，目前国内铁磁性钢丝绳探伤仪校准存在以下主要问题：</w:t>
      </w:r>
      <w:r w:rsidRPr="008E1B47">
        <w:rPr>
          <w:rFonts w:ascii="宋体" w:eastAsia="宋体" w:hAnsi="宋体" w:cs="宋体" w:hint="eastAsia"/>
          <w:sz w:val="32"/>
          <w:szCs w:val="32"/>
        </w:rPr>
        <w:t>①</w:t>
      </w:r>
      <w:r w:rsidRPr="008E1B47">
        <w:rPr>
          <w:rFonts w:eastAsia="仿宋" w:cs="Times New Roman"/>
          <w:sz w:val="32"/>
          <w:szCs w:val="32"/>
        </w:rPr>
        <w:t>缺乏统一的校准项目和校准方法；</w:t>
      </w:r>
      <w:r w:rsidRPr="008E1B47">
        <w:rPr>
          <w:rFonts w:ascii="宋体" w:eastAsia="宋体" w:hAnsi="宋体" w:cs="宋体" w:hint="eastAsia"/>
          <w:sz w:val="32"/>
          <w:szCs w:val="32"/>
        </w:rPr>
        <w:t>②</w:t>
      </w:r>
      <w:r w:rsidRPr="008E1B47">
        <w:rPr>
          <w:rFonts w:eastAsia="仿宋" w:cs="Times New Roman"/>
          <w:sz w:val="32"/>
          <w:szCs w:val="32"/>
        </w:rPr>
        <w:t>缺乏专用的校准用标准器；</w:t>
      </w:r>
      <w:r w:rsidRPr="008E1B47">
        <w:rPr>
          <w:rFonts w:ascii="宋体" w:eastAsia="宋体" w:hAnsi="宋体" w:cs="宋体" w:hint="eastAsia"/>
          <w:sz w:val="32"/>
          <w:szCs w:val="32"/>
        </w:rPr>
        <w:t>③</w:t>
      </w:r>
      <w:r w:rsidRPr="008E1B47">
        <w:rPr>
          <w:rFonts w:eastAsia="仿宋" w:cs="Times New Roman"/>
          <w:sz w:val="32"/>
          <w:szCs w:val="32"/>
        </w:rPr>
        <w:t>各检测机构之间检测结果可比性不足；</w:t>
      </w:r>
      <w:r w:rsidRPr="008E1B47">
        <w:rPr>
          <w:rFonts w:ascii="宋体" w:eastAsia="宋体" w:hAnsi="宋体" w:cs="宋体" w:hint="eastAsia"/>
          <w:sz w:val="32"/>
          <w:szCs w:val="32"/>
        </w:rPr>
        <w:t>④</w:t>
      </w:r>
      <w:r w:rsidRPr="008E1B47">
        <w:rPr>
          <w:rFonts w:eastAsia="仿宋" w:cs="Times New Roman"/>
          <w:sz w:val="32"/>
          <w:szCs w:val="32"/>
        </w:rPr>
        <w:t>校准结果缺乏统一的表达格式。</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w:t>
      </w:r>
      <w:r w:rsidRPr="008E1B47">
        <w:rPr>
          <w:rFonts w:eastAsia="仿宋" w:cs="Times New Roman"/>
          <w:sz w:val="32"/>
          <w:szCs w:val="32"/>
        </w:rPr>
        <w:t>4</w:t>
      </w:r>
      <w:r w:rsidRPr="008E1B47">
        <w:rPr>
          <w:rFonts w:eastAsia="仿宋" w:cs="Times New Roman"/>
          <w:sz w:val="32"/>
          <w:szCs w:val="32"/>
        </w:rPr>
        <w:t>）</w:t>
      </w:r>
      <w:r w:rsidRPr="008E1B47">
        <w:rPr>
          <w:rFonts w:eastAsia="仿宋" w:cs="Times New Roman"/>
          <w:bCs/>
          <w:sz w:val="32"/>
          <w:szCs w:val="32"/>
        </w:rPr>
        <w:t>标准器方案论证与试验验证</w:t>
      </w:r>
      <w:r w:rsidRPr="008E1B47">
        <w:rPr>
          <w:rFonts w:eastAsia="仿宋" w:cs="Times New Roman"/>
          <w:sz w:val="32"/>
          <w:szCs w:val="32"/>
        </w:rPr>
        <w:t>：在调研基础上，编写组提出了以标准样绳为核心的标准器方案，并对磁化单元磁感应强度、灵敏度、</w:t>
      </w:r>
      <w:r w:rsidRPr="008E1B47">
        <w:rPr>
          <w:rFonts w:eastAsia="仿宋" w:cs="Times New Roman"/>
          <w:sz w:val="32"/>
          <w:szCs w:val="32"/>
        </w:rPr>
        <w:t>LF</w:t>
      </w:r>
      <w:r w:rsidRPr="008E1B47">
        <w:rPr>
          <w:rFonts w:eastAsia="仿宋" w:cs="Times New Roman"/>
          <w:sz w:val="32"/>
          <w:szCs w:val="32"/>
        </w:rPr>
        <w:t>定量示值误差、</w:t>
      </w:r>
      <w:r w:rsidRPr="008E1B47">
        <w:rPr>
          <w:rFonts w:eastAsia="仿宋" w:cs="Times New Roman"/>
          <w:sz w:val="32"/>
          <w:szCs w:val="32"/>
        </w:rPr>
        <w:t>LMA</w:t>
      </w:r>
      <w:r w:rsidRPr="008E1B47">
        <w:rPr>
          <w:rFonts w:eastAsia="仿宋" w:cs="Times New Roman"/>
          <w:sz w:val="32"/>
          <w:szCs w:val="32"/>
        </w:rPr>
        <w:t>示值误差等校准方法进行了试验验证。试验结果表明，采用附录</w:t>
      </w:r>
      <w:r w:rsidRPr="008E1B47">
        <w:rPr>
          <w:rFonts w:eastAsia="仿宋" w:cs="Times New Roman"/>
          <w:sz w:val="32"/>
          <w:szCs w:val="32"/>
        </w:rPr>
        <w:t>A</w:t>
      </w:r>
      <w:r w:rsidRPr="008E1B47">
        <w:rPr>
          <w:rFonts w:eastAsia="仿宋" w:cs="Times New Roman"/>
          <w:sz w:val="32"/>
          <w:szCs w:val="32"/>
        </w:rPr>
        <w:t>规定的标准样绳，以推荐速度（如</w:t>
      </w:r>
      <w:r w:rsidRPr="008E1B47">
        <w:rPr>
          <w:rFonts w:eastAsia="仿宋" w:cs="Times New Roman"/>
          <w:sz w:val="32"/>
          <w:szCs w:val="32"/>
        </w:rPr>
        <w:t>1.0 m/s</w:t>
      </w:r>
      <w:r w:rsidRPr="008E1B47">
        <w:rPr>
          <w:rFonts w:eastAsia="仿宋" w:cs="Times New Roman"/>
          <w:sz w:val="32"/>
          <w:szCs w:val="32"/>
        </w:rPr>
        <w:t>）进行检测，各校准项目均具有良好的重复性和可操作性。</w:t>
      </w:r>
    </w:p>
    <w:p w:rsidR="00194388" w:rsidRPr="008E1B47" w:rsidRDefault="009F5E0F" w:rsidP="008E1B47">
      <w:pPr>
        <w:pStyle w:val="2"/>
        <w:spacing w:before="0"/>
        <w:rPr>
          <w:rFonts w:ascii="黑体" w:hAnsi="黑体" w:cs="Times New Roman"/>
          <w:b w:val="0"/>
          <w:lang w:eastAsia="zh-CN"/>
        </w:rPr>
      </w:pPr>
      <w:bookmarkStart w:id="10" w:name="五有关说明"/>
      <w:bookmarkEnd w:id="8"/>
      <w:r w:rsidRPr="008E1B47">
        <w:rPr>
          <w:rFonts w:ascii="黑体" w:hAnsi="黑体" w:cs="Times New Roman"/>
          <w:b w:val="0"/>
          <w:lang w:eastAsia="zh-CN"/>
        </w:rPr>
        <w:t>五、有关说明</w:t>
      </w:r>
    </w:p>
    <w:p w:rsidR="00194388" w:rsidRPr="008E1B47" w:rsidRDefault="009F5E0F" w:rsidP="008E1B47">
      <w:pPr>
        <w:pStyle w:val="3"/>
        <w:spacing w:before="0"/>
        <w:ind w:firstLineChars="200" w:firstLine="640"/>
        <w:rPr>
          <w:rFonts w:ascii="Times New Roman" w:eastAsia="仿宋" w:hAnsi="Times New Roman" w:cs="Times New Roman"/>
          <w:b w:val="0"/>
          <w:sz w:val="32"/>
          <w:szCs w:val="32"/>
          <w:lang w:eastAsia="zh-CN"/>
        </w:rPr>
      </w:pPr>
      <w:bookmarkStart w:id="11" w:name="关于规范的英文名称"/>
      <w:r w:rsidRPr="008E1B47">
        <w:rPr>
          <w:rFonts w:ascii="Times New Roman" w:eastAsia="仿宋" w:hAnsi="Times New Roman" w:cs="Times New Roman"/>
          <w:b w:val="0"/>
          <w:sz w:val="32"/>
          <w:szCs w:val="32"/>
          <w:lang w:eastAsia="zh-CN"/>
        </w:rPr>
        <w:t xml:space="preserve">1. </w:t>
      </w:r>
      <w:r w:rsidRPr="008E1B47">
        <w:rPr>
          <w:rFonts w:ascii="Times New Roman" w:eastAsia="仿宋" w:hAnsi="Times New Roman" w:cs="Times New Roman"/>
          <w:b w:val="0"/>
          <w:sz w:val="32"/>
          <w:szCs w:val="32"/>
          <w:lang w:eastAsia="zh-CN"/>
        </w:rPr>
        <w:t>关于规范的英文名称</w:t>
      </w:r>
    </w:p>
    <w:p w:rsidR="00194388" w:rsidRPr="008E1B47" w:rsidRDefault="009F5E0F" w:rsidP="008E1B47">
      <w:pPr>
        <w:pStyle w:val="FirstParagraph"/>
        <w:spacing w:before="0"/>
        <w:ind w:firstLine="640"/>
        <w:rPr>
          <w:rFonts w:eastAsia="仿宋" w:cs="Times New Roman"/>
          <w:sz w:val="32"/>
          <w:szCs w:val="32"/>
        </w:rPr>
      </w:pPr>
      <w:r w:rsidRPr="008E1B47">
        <w:rPr>
          <w:rFonts w:eastAsia="仿宋" w:cs="Times New Roman"/>
          <w:sz w:val="32"/>
          <w:szCs w:val="32"/>
        </w:rPr>
        <w:t>本规范名称确定为《铁磁性钢丝绳探伤仪校准规范》，英文名称为</w:t>
      </w:r>
      <w:r w:rsidRPr="008E1B47">
        <w:rPr>
          <w:rFonts w:eastAsia="仿宋" w:cs="Times New Roman"/>
          <w:sz w:val="32"/>
          <w:szCs w:val="32"/>
        </w:rPr>
        <w:t>“Calibration Specification of Ferromagnetic Steel Wire Rope Flaw Detector”</w:t>
      </w:r>
      <w:r w:rsidRPr="008E1B47">
        <w:rPr>
          <w:rFonts w:eastAsia="仿宋" w:cs="Times New Roman"/>
          <w:sz w:val="32"/>
          <w:szCs w:val="32"/>
        </w:rPr>
        <w:t>。该名称准确反映了规范的适用范围和校准对象。</w:t>
      </w:r>
    </w:p>
    <w:p w:rsidR="00194388" w:rsidRPr="008E1B47" w:rsidRDefault="009F5E0F" w:rsidP="008E1B47">
      <w:pPr>
        <w:pStyle w:val="3"/>
        <w:spacing w:before="0"/>
        <w:ind w:firstLineChars="200" w:firstLine="640"/>
        <w:rPr>
          <w:rFonts w:ascii="Times New Roman" w:eastAsia="仿宋" w:hAnsi="Times New Roman" w:cs="Times New Roman"/>
          <w:b w:val="0"/>
          <w:sz w:val="32"/>
          <w:szCs w:val="32"/>
          <w:lang w:eastAsia="zh-CN"/>
        </w:rPr>
      </w:pPr>
      <w:bookmarkStart w:id="12" w:name="关于范围"/>
      <w:bookmarkEnd w:id="11"/>
      <w:r w:rsidRPr="008E1B47">
        <w:rPr>
          <w:rFonts w:ascii="Times New Roman" w:eastAsia="仿宋" w:hAnsi="Times New Roman" w:cs="Times New Roman"/>
          <w:b w:val="0"/>
          <w:sz w:val="32"/>
          <w:szCs w:val="32"/>
          <w:lang w:eastAsia="zh-CN"/>
        </w:rPr>
        <w:t xml:space="preserve">2. </w:t>
      </w:r>
      <w:r w:rsidRPr="008E1B47">
        <w:rPr>
          <w:rFonts w:ascii="Times New Roman" w:eastAsia="仿宋" w:hAnsi="Times New Roman" w:cs="Times New Roman"/>
          <w:b w:val="0"/>
          <w:sz w:val="32"/>
          <w:szCs w:val="32"/>
          <w:lang w:eastAsia="zh-CN"/>
        </w:rPr>
        <w:t>关于范围</w:t>
      </w:r>
    </w:p>
    <w:p w:rsidR="00194388" w:rsidRPr="008E1B47" w:rsidRDefault="009F5E0F" w:rsidP="008E1B47">
      <w:pPr>
        <w:pStyle w:val="FirstParagraph"/>
        <w:spacing w:before="0"/>
        <w:ind w:firstLine="640"/>
        <w:rPr>
          <w:rFonts w:eastAsia="仿宋" w:cs="Times New Roman"/>
          <w:sz w:val="32"/>
          <w:szCs w:val="32"/>
        </w:rPr>
      </w:pPr>
      <w:r w:rsidRPr="008E1B47">
        <w:rPr>
          <w:rFonts w:eastAsia="仿宋" w:cs="Times New Roman"/>
          <w:sz w:val="32"/>
          <w:szCs w:val="32"/>
        </w:rPr>
        <w:t>本规范适用于采用磁通、漏磁原理检测铁磁性钢丝绳局部损伤和金属横截面积损失类型缺陷的电磁检测仪的校</w:t>
      </w:r>
      <w:r w:rsidRPr="008E1B47">
        <w:rPr>
          <w:rFonts w:eastAsia="仿宋" w:cs="Times New Roman"/>
          <w:sz w:val="32"/>
          <w:szCs w:val="32"/>
        </w:rPr>
        <w:lastRenderedPageBreak/>
        <w:t>准。适用的仪器类型包括：便携式（手持</w:t>
      </w:r>
      <w:r w:rsidRPr="008E1B47">
        <w:rPr>
          <w:rFonts w:eastAsia="仿宋" w:cs="Times New Roman"/>
          <w:sz w:val="32"/>
          <w:szCs w:val="32"/>
        </w:rPr>
        <w:t>/</w:t>
      </w:r>
      <w:r w:rsidRPr="008E1B47">
        <w:rPr>
          <w:rFonts w:eastAsia="仿宋" w:cs="Times New Roman"/>
          <w:sz w:val="32"/>
          <w:szCs w:val="32"/>
        </w:rPr>
        <w:t>推车式）铁磁性钢丝绳电磁检测仪；在线固定式钢丝绳电磁检测仪；多通道阵列式铁磁性钢丝绳电磁检测仪。本规范不适用于纯磁记忆检测仪、超声波钢丝绳检测仪及非铁磁性材料绳索检测仪的校准。</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现场校准前，应首先确认被校仪器的工作原理类型（磁通原理类、漏磁原理类或兼有），不同类型仪器的校准重点有所不同。磁通原理类仪器通过测量钢丝绳轴向总磁通变化来检测</w:t>
      </w:r>
      <w:r w:rsidRPr="008E1B47">
        <w:rPr>
          <w:rFonts w:eastAsia="仿宋" w:cs="Times New Roman"/>
          <w:sz w:val="32"/>
          <w:szCs w:val="32"/>
        </w:rPr>
        <w:t>LMA</w:t>
      </w:r>
      <w:r w:rsidRPr="008E1B47">
        <w:rPr>
          <w:rFonts w:eastAsia="仿宋" w:cs="Times New Roman"/>
          <w:sz w:val="32"/>
          <w:szCs w:val="32"/>
        </w:rPr>
        <w:t>，漏磁原理类仪器通过测量缺陷处漏磁场来检测</w:t>
      </w:r>
      <w:r w:rsidRPr="008E1B47">
        <w:rPr>
          <w:rFonts w:eastAsia="仿宋" w:cs="Times New Roman"/>
          <w:sz w:val="32"/>
          <w:szCs w:val="32"/>
        </w:rPr>
        <w:t>LF</w:t>
      </w:r>
      <w:r w:rsidRPr="008E1B47">
        <w:rPr>
          <w:rFonts w:eastAsia="仿宋" w:cs="Times New Roman"/>
          <w:sz w:val="32"/>
          <w:szCs w:val="32"/>
        </w:rPr>
        <w:t>。</w:t>
      </w:r>
    </w:p>
    <w:p w:rsidR="00194388" w:rsidRPr="008E1B47" w:rsidRDefault="009F5E0F" w:rsidP="008E1B47">
      <w:pPr>
        <w:pStyle w:val="3"/>
        <w:spacing w:before="0"/>
        <w:ind w:firstLineChars="200" w:firstLine="640"/>
        <w:rPr>
          <w:rFonts w:ascii="Times New Roman" w:eastAsia="仿宋" w:hAnsi="Times New Roman" w:cs="Times New Roman"/>
          <w:b w:val="0"/>
          <w:sz w:val="32"/>
          <w:szCs w:val="32"/>
          <w:lang w:eastAsia="zh-CN"/>
        </w:rPr>
      </w:pPr>
      <w:bookmarkStart w:id="13" w:name="关于计量特性"/>
      <w:bookmarkEnd w:id="12"/>
      <w:r w:rsidRPr="008E1B47">
        <w:rPr>
          <w:rFonts w:ascii="Times New Roman" w:eastAsia="仿宋" w:hAnsi="Times New Roman" w:cs="Times New Roman"/>
          <w:b w:val="0"/>
          <w:sz w:val="32"/>
          <w:szCs w:val="32"/>
          <w:lang w:eastAsia="zh-CN"/>
        </w:rPr>
        <w:t xml:space="preserve">3. </w:t>
      </w:r>
      <w:r w:rsidRPr="008E1B47">
        <w:rPr>
          <w:rFonts w:ascii="Times New Roman" w:eastAsia="仿宋" w:hAnsi="Times New Roman" w:cs="Times New Roman"/>
          <w:b w:val="0"/>
          <w:sz w:val="32"/>
          <w:szCs w:val="32"/>
          <w:lang w:eastAsia="zh-CN"/>
        </w:rPr>
        <w:t>关于计量特性</w:t>
      </w:r>
    </w:p>
    <w:p w:rsidR="00194388" w:rsidRPr="008E1B47" w:rsidRDefault="009F5E0F" w:rsidP="008E1B47">
      <w:pPr>
        <w:pStyle w:val="FirstParagraph"/>
        <w:spacing w:before="0"/>
        <w:ind w:firstLine="640"/>
        <w:rPr>
          <w:rFonts w:eastAsia="仿宋" w:cs="Times New Roman"/>
          <w:sz w:val="32"/>
          <w:szCs w:val="32"/>
        </w:rPr>
      </w:pPr>
      <w:r w:rsidRPr="008E1B47">
        <w:rPr>
          <w:rFonts w:eastAsia="仿宋" w:cs="Times New Roman"/>
          <w:sz w:val="32"/>
          <w:szCs w:val="32"/>
        </w:rPr>
        <w:t>本规范确定的计量特性包括以下几项：</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w:t>
      </w:r>
      <w:r w:rsidRPr="008E1B47">
        <w:rPr>
          <w:rFonts w:eastAsia="仿宋" w:cs="Times New Roman"/>
          <w:sz w:val="32"/>
          <w:szCs w:val="32"/>
        </w:rPr>
        <w:t>1</w:t>
      </w:r>
      <w:r w:rsidRPr="008E1B47">
        <w:rPr>
          <w:rFonts w:eastAsia="仿宋" w:cs="Times New Roman"/>
          <w:sz w:val="32"/>
          <w:szCs w:val="32"/>
        </w:rPr>
        <w:t>）</w:t>
      </w:r>
      <w:r w:rsidRPr="008E1B47">
        <w:rPr>
          <w:rFonts w:eastAsia="仿宋" w:cs="Times New Roman"/>
          <w:bCs/>
          <w:sz w:val="32"/>
          <w:szCs w:val="32"/>
        </w:rPr>
        <w:t>外观与功能</w:t>
      </w:r>
      <w:r w:rsidRPr="008E1B47">
        <w:rPr>
          <w:rFonts w:eastAsia="仿宋" w:cs="Times New Roman"/>
          <w:sz w:val="32"/>
          <w:szCs w:val="32"/>
        </w:rPr>
        <w:t>：仪器外观应完好，标识清晰；各连接部件应牢固可靠；开机后自检功能应正常，显示与按键操作应无异常。</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w:t>
      </w:r>
      <w:r w:rsidRPr="008E1B47">
        <w:rPr>
          <w:rFonts w:eastAsia="仿宋" w:cs="Times New Roman"/>
          <w:sz w:val="32"/>
          <w:szCs w:val="32"/>
        </w:rPr>
        <w:t>2</w:t>
      </w:r>
      <w:r w:rsidRPr="008E1B47">
        <w:rPr>
          <w:rFonts w:eastAsia="仿宋" w:cs="Times New Roman"/>
          <w:sz w:val="32"/>
          <w:szCs w:val="32"/>
        </w:rPr>
        <w:t>）</w:t>
      </w:r>
      <w:r w:rsidRPr="008E1B47">
        <w:rPr>
          <w:rFonts w:eastAsia="仿宋" w:cs="Times New Roman"/>
          <w:bCs/>
          <w:sz w:val="32"/>
          <w:szCs w:val="32"/>
        </w:rPr>
        <w:t>磁化单元磁感应强度</w:t>
      </w:r>
      <w:r w:rsidRPr="008E1B47">
        <w:rPr>
          <w:rFonts w:eastAsia="仿宋" w:cs="Times New Roman"/>
          <w:sz w:val="32"/>
          <w:szCs w:val="32"/>
        </w:rPr>
        <w:t>：恒流电磁线圈式磁化单元的磁感应强度不超过标称值的</w:t>
      </w:r>
      <w:r w:rsidRPr="008E1B47">
        <w:rPr>
          <w:rFonts w:eastAsia="仿宋" w:cs="Times New Roman"/>
          <w:sz w:val="32"/>
          <w:szCs w:val="32"/>
        </w:rPr>
        <w:t>±5%</w:t>
      </w:r>
      <w:r w:rsidRPr="008E1B47">
        <w:rPr>
          <w:rFonts w:eastAsia="仿宋" w:cs="Times New Roman"/>
          <w:sz w:val="32"/>
          <w:szCs w:val="32"/>
        </w:rPr>
        <w:t>；永磁式磁化单元的磁感应强度不超过标称值的</w:t>
      </w:r>
      <w:r w:rsidRPr="008E1B47">
        <w:rPr>
          <w:rFonts w:eastAsia="仿宋" w:cs="Times New Roman"/>
          <w:sz w:val="32"/>
          <w:szCs w:val="32"/>
        </w:rPr>
        <w:t>±10%</w:t>
      </w:r>
      <w:r w:rsidRPr="008E1B47">
        <w:rPr>
          <w:rFonts w:eastAsia="仿宋" w:cs="Times New Roman"/>
          <w:sz w:val="32"/>
          <w:szCs w:val="32"/>
        </w:rPr>
        <w:t>。标称值未知的，以首次校准结果为准。该指标用于保证钢丝绳被磁化到接近磁饱和状态，确保检测深度。</w:t>
      </w:r>
    </w:p>
    <w:p w:rsidR="008E1B47" w:rsidRDefault="009F5E0F" w:rsidP="008E1B47">
      <w:pPr>
        <w:pStyle w:val="a0"/>
        <w:spacing w:before="0"/>
        <w:ind w:firstLine="640"/>
        <w:rPr>
          <w:rFonts w:eastAsia="仿宋" w:cs="Times New Roman" w:hint="eastAsia"/>
          <w:sz w:val="32"/>
          <w:szCs w:val="32"/>
        </w:rPr>
      </w:pPr>
      <w:r w:rsidRPr="008E1B47">
        <w:rPr>
          <w:rFonts w:eastAsia="仿宋" w:cs="Times New Roman"/>
          <w:sz w:val="32"/>
          <w:szCs w:val="32"/>
        </w:rPr>
        <w:t>（</w:t>
      </w:r>
      <w:r w:rsidRPr="008E1B47">
        <w:rPr>
          <w:rFonts w:eastAsia="仿宋" w:cs="Times New Roman"/>
          <w:sz w:val="32"/>
          <w:szCs w:val="32"/>
        </w:rPr>
        <w:t>3</w:t>
      </w:r>
      <w:r w:rsidRPr="008E1B47">
        <w:rPr>
          <w:rFonts w:eastAsia="仿宋" w:cs="Times New Roman"/>
          <w:sz w:val="32"/>
          <w:szCs w:val="32"/>
        </w:rPr>
        <w:t>）</w:t>
      </w:r>
      <w:r w:rsidRPr="008E1B47">
        <w:rPr>
          <w:rFonts w:eastAsia="仿宋" w:cs="Times New Roman"/>
          <w:bCs/>
          <w:sz w:val="32"/>
          <w:szCs w:val="32"/>
        </w:rPr>
        <w:t>灵敏度</w:t>
      </w:r>
      <w:r w:rsidRPr="008E1B47">
        <w:rPr>
          <w:rFonts w:eastAsia="仿宋" w:cs="Times New Roman"/>
          <w:sz w:val="32"/>
          <w:szCs w:val="32"/>
        </w:rPr>
        <w:t>：</w:t>
      </w:r>
    </w:p>
    <w:p w:rsidR="008E1B47" w:rsidRDefault="009F5E0F" w:rsidP="008E1B47">
      <w:pPr>
        <w:pStyle w:val="a0"/>
        <w:spacing w:before="0"/>
        <w:ind w:firstLine="640"/>
        <w:rPr>
          <w:rFonts w:eastAsia="仿宋" w:cs="Times New Roman" w:hint="eastAsia"/>
          <w:sz w:val="32"/>
          <w:szCs w:val="32"/>
        </w:rPr>
      </w:pPr>
      <w:r w:rsidRPr="008E1B47">
        <w:rPr>
          <w:rFonts w:eastAsia="仿宋" w:cs="Times New Roman"/>
          <w:bCs/>
          <w:sz w:val="32"/>
          <w:szCs w:val="32"/>
        </w:rPr>
        <w:lastRenderedPageBreak/>
        <w:t>LF</w:t>
      </w:r>
      <w:r w:rsidRPr="008E1B47">
        <w:rPr>
          <w:rFonts w:eastAsia="仿宋" w:cs="Times New Roman"/>
          <w:bCs/>
          <w:sz w:val="32"/>
          <w:szCs w:val="32"/>
        </w:rPr>
        <w:t>检测灵敏度</w:t>
      </w:r>
      <w:r w:rsidRPr="008E1B47">
        <w:rPr>
          <w:rFonts w:eastAsia="仿宋" w:cs="Times New Roman"/>
          <w:sz w:val="32"/>
          <w:szCs w:val="32"/>
        </w:rPr>
        <w:t>：对断口长度大于</w:t>
      </w:r>
      <w:r w:rsidRPr="008E1B47">
        <w:rPr>
          <w:rFonts w:eastAsia="仿宋" w:cs="Times New Roman"/>
          <w:sz w:val="32"/>
          <w:szCs w:val="32"/>
        </w:rPr>
        <w:t>1.5 mm</w:t>
      </w:r>
      <w:r w:rsidRPr="008E1B47">
        <w:rPr>
          <w:rFonts w:eastAsia="仿宋" w:cs="Times New Roman"/>
          <w:sz w:val="32"/>
          <w:szCs w:val="32"/>
        </w:rPr>
        <w:t>的两个断丝信号要能通过</w:t>
      </w:r>
      <w:r w:rsidRPr="008E1B47">
        <w:rPr>
          <w:rFonts w:eastAsia="仿宋" w:cs="Times New Roman"/>
          <w:sz w:val="32"/>
          <w:szCs w:val="32"/>
        </w:rPr>
        <w:t>LF</w:t>
      </w:r>
      <w:r w:rsidRPr="008E1B47">
        <w:rPr>
          <w:rFonts w:eastAsia="仿宋" w:cs="Times New Roman"/>
          <w:sz w:val="32"/>
          <w:szCs w:val="32"/>
        </w:rPr>
        <w:t>检测信号可靠检出，且两个连续断丝的显示为两个分离的信号振幅，信号振幅至少是基础信号的</w:t>
      </w:r>
      <w:r w:rsidRPr="008E1B47">
        <w:rPr>
          <w:rFonts w:eastAsia="仿宋" w:cs="Times New Roman"/>
          <w:sz w:val="32"/>
          <w:szCs w:val="32"/>
        </w:rPr>
        <w:t>2</w:t>
      </w:r>
      <w:r w:rsidRPr="008E1B47">
        <w:rPr>
          <w:rFonts w:eastAsia="仿宋" w:cs="Times New Roman"/>
          <w:sz w:val="32"/>
          <w:szCs w:val="32"/>
        </w:rPr>
        <w:t>倍。</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bCs/>
          <w:sz w:val="32"/>
          <w:szCs w:val="32"/>
        </w:rPr>
        <w:t>LMA</w:t>
      </w:r>
      <w:r w:rsidRPr="008E1B47">
        <w:rPr>
          <w:rFonts w:eastAsia="仿宋" w:cs="Times New Roman"/>
          <w:bCs/>
          <w:sz w:val="32"/>
          <w:szCs w:val="32"/>
        </w:rPr>
        <w:t>检测灵敏度</w:t>
      </w:r>
      <w:r w:rsidRPr="008E1B47">
        <w:rPr>
          <w:rFonts w:eastAsia="仿宋" w:cs="Times New Roman"/>
          <w:sz w:val="32"/>
          <w:szCs w:val="32"/>
        </w:rPr>
        <w:t>：对断口长度大于</w:t>
      </w:r>
      <w:r w:rsidRPr="008E1B47">
        <w:rPr>
          <w:rFonts w:eastAsia="仿宋" w:cs="Times New Roman"/>
          <w:sz w:val="32"/>
          <w:szCs w:val="32"/>
        </w:rPr>
        <w:t>25 mm</w:t>
      </w:r>
      <w:r w:rsidRPr="008E1B47">
        <w:rPr>
          <w:rFonts w:eastAsia="仿宋" w:cs="Times New Roman"/>
          <w:sz w:val="32"/>
          <w:szCs w:val="32"/>
        </w:rPr>
        <w:t>的断丝要能通过</w:t>
      </w:r>
      <w:r w:rsidRPr="008E1B47">
        <w:rPr>
          <w:rFonts w:eastAsia="仿宋" w:cs="Times New Roman"/>
          <w:sz w:val="32"/>
          <w:szCs w:val="32"/>
        </w:rPr>
        <w:t>LMA</w:t>
      </w:r>
      <w:r w:rsidRPr="008E1B47">
        <w:rPr>
          <w:rFonts w:eastAsia="仿宋" w:cs="Times New Roman"/>
          <w:sz w:val="32"/>
          <w:szCs w:val="32"/>
        </w:rPr>
        <w:t>检测信号可靠检出，且信号振幅至少是基础信号的</w:t>
      </w:r>
      <w:r w:rsidRPr="008E1B47">
        <w:rPr>
          <w:rFonts w:eastAsia="仿宋" w:cs="Times New Roman"/>
          <w:sz w:val="32"/>
          <w:szCs w:val="32"/>
        </w:rPr>
        <w:t>2</w:t>
      </w:r>
      <w:r w:rsidRPr="008E1B47">
        <w:rPr>
          <w:rFonts w:eastAsia="仿宋" w:cs="Times New Roman"/>
          <w:sz w:val="32"/>
          <w:szCs w:val="32"/>
        </w:rPr>
        <w:t>倍。</w:t>
      </w:r>
    </w:p>
    <w:p w:rsidR="008E1B47" w:rsidRDefault="009F5E0F" w:rsidP="008E1B47">
      <w:pPr>
        <w:pStyle w:val="a0"/>
        <w:spacing w:before="0"/>
        <w:ind w:firstLine="640"/>
        <w:rPr>
          <w:rFonts w:eastAsia="仿宋" w:cs="Times New Roman" w:hint="eastAsia"/>
          <w:sz w:val="32"/>
          <w:szCs w:val="32"/>
        </w:rPr>
      </w:pPr>
      <w:r w:rsidRPr="008E1B47">
        <w:rPr>
          <w:rFonts w:eastAsia="仿宋" w:cs="Times New Roman"/>
          <w:sz w:val="32"/>
          <w:szCs w:val="32"/>
        </w:rPr>
        <w:t>（</w:t>
      </w:r>
      <w:r w:rsidRPr="008E1B47">
        <w:rPr>
          <w:rFonts w:eastAsia="仿宋" w:cs="Times New Roman"/>
          <w:sz w:val="32"/>
          <w:szCs w:val="32"/>
        </w:rPr>
        <w:t>4</w:t>
      </w:r>
      <w:r w:rsidRPr="008E1B47">
        <w:rPr>
          <w:rFonts w:eastAsia="仿宋" w:cs="Times New Roman"/>
          <w:sz w:val="32"/>
          <w:szCs w:val="32"/>
        </w:rPr>
        <w:t>）</w:t>
      </w:r>
      <w:r w:rsidRPr="008E1B47">
        <w:rPr>
          <w:rFonts w:eastAsia="仿宋" w:cs="Times New Roman"/>
          <w:bCs/>
          <w:sz w:val="32"/>
          <w:szCs w:val="32"/>
        </w:rPr>
        <w:t>定量示值误差</w:t>
      </w:r>
      <w:r w:rsidRPr="008E1B47">
        <w:rPr>
          <w:rFonts w:eastAsia="仿宋" w:cs="Times New Roman"/>
          <w:sz w:val="32"/>
          <w:szCs w:val="32"/>
        </w:rPr>
        <w:t>：</w:t>
      </w:r>
    </w:p>
    <w:p w:rsidR="008E1B47" w:rsidRDefault="009F5E0F" w:rsidP="008E1B47">
      <w:pPr>
        <w:pStyle w:val="a0"/>
        <w:spacing w:before="0"/>
        <w:ind w:firstLine="640"/>
        <w:rPr>
          <w:rFonts w:eastAsia="仿宋" w:cs="Times New Roman" w:hint="eastAsia"/>
          <w:sz w:val="32"/>
          <w:szCs w:val="32"/>
        </w:rPr>
      </w:pPr>
      <w:r w:rsidRPr="008E1B47">
        <w:rPr>
          <w:rFonts w:eastAsia="仿宋" w:cs="Times New Roman"/>
          <w:bCs/>
          <w:sz w:val="32"/>
          <w:szCs w:val="32"/>
        </w:rPr>
        <w:t>LF</w:t>
      </w:r>
      <w:r w:rsidRPr="008E1B47">
        <w:rPr>
          <w:rFonts w:eastAsia="仿宋" w:cs="Times New Roman"/>
          <w:bCs/>
          <w:sz w:val="32"/>
          <w:szCs w:val="32"/>
        </w:rPr>
        <w:t>定量误差</w:t>
      </w:r>
      <w:r w:rsidRPr="008E1B47">
        <w:rPr>
          <w:rFonts w:eastAsia="仿宋" w:cs="Times New Roman"/>
          <w:sz w:val="32"/>
          <w:szCs w:val="32"/>
        </w:rPr>
        <w:t>：对已知断丝根数的标准样段，仪器输出的断丝根数示值与实际值之差应不超过</w:t>
      </w:r>
      <w:r w:rsidRPr="008E1B47">
        <w:rPr>
          <w:rFonts w:eastAsia="仿宋" w:cs="Times New Roman"/>
          <w:sz w:val="32"/>
          <w:szCs w:val="32"/>
        </w:rPr>
        <w:t>±1</w:t>
      </w:r>
      <w:r w:rsidRPr="008E1B47">
        <w:rPr>
          <w:rFonts w:eastAsia="仿宋" w:cs="Times New Roman"/>
          <w:sz w:val="32"/>
          <w:szCs w:val="32"/>
        </w:rPr>
        <w:t>当量根。</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bCs/>
          <w:sz w:val="32"/>
          <w:szCs w:val="32"/>
        </w:rPr>
        <w:t>LMA</w:t>
      </w:r>
      <w:r w:rsidRPr="008E1B47">
        <w:rPr>
          <w:rFonts w:eastAsia="仿宋" w:cs="Times New Roman"/>
          <w:bCs/>
          <w:sz w:val="32"/>
          <w:szCs w:val="32"/>
        </w:rPr>
        <w:t>测量误差</w:t>
      </w:r>
      <w:r w:rsidRPr="008E1B47">
        <w:rPr>
          <w:rFonts w:eastAsia="仿宋" w:cs="Times New Roman"/>
          <w:sz w:val="32"/>
          <w:szCs w:val="32"/>
        </w:rPr>
        <w:t>：在</w:t>
      </w:r>
      <w:r w:rsidRPr="008E1B47">
        <w:rPr>
          <w:rFonts w:eastAsia="仿宋" w:cs="Times New Roman"/>
          <w:sz w:val="32"/>
          <w:szCs w:val="32"/>
        </w:rPr>
        <w:t>LMA</w:t>
      </w:r>
      <w:r w:rsidRPr="008E1B47">
        <w:rPr>
          <w:rFonts w:eastAsia="仿宋" w:cs="Times New Roman"/>
          <w:sz w:val="32"/>
          <w:szCs w:val="32"/>
        </w:rPr>
        <w:t>量程的</w:t>
      </w:r>
      <w:r w:rsidRPr="008E1B47">
        <w:rPr>
          <w:rFonts w:eastAsia="仿宋" w:cs="Times New Roman"/>
          <w:sz w:val="32"/>
          <w:szCs w:val="32"/>
        </w:rPr>
        <w:t>10%</w:t>
      </w:r>
      <w:r w:rsidRPr="008E1B47">
        <w:rPr>
          <w:rFonts w:eastAsia="仿宋" w:cs="Times New Roman"/>
          <w:sz w:val="32"/>
          <w:szCs w:val="32"/>
        </w:rPr>
        <w:t>～</w:t>
      </w:r>
      <w:r w:rsidRPr="008E1B47">
        <w:rPr>
          <w:rFonts w:eastAsia="仿宋" w:cs="Times New Roman"/>
          <w:sz w:val="32"/>
          <w:szCs w:val="32"/>
        </w:rPr>
        <w:t>90%</w:t>
      </w:r>
      <w:r w:rsidRPr="008E1B47">
        <w:rPr>
          <w:rFonts w:eastAsia="仿宋" w:cs="Times New Roman"/>
          <w:sz w:val="32"/>
          <w:szCs w:val="32"/>
        </w:rPr>
        <w:t>范围内，仪器</w:t>
      </w:r>
      <w:r w:rsidRPr="008E1B47">
        <w:rPr>
          <w:rFonts w:eastAsia="仿宋" w:cs="Times New Roman"/>
          <w:sz w:val="32"/>
          <w:szCs w:val="32"/>
        </w:rPr>
        <w:t>LMA</w:t>
      </w:r>
      <w:r w:rsidRPr="008E1B47">
        <w:rPr>
          <w:rFonts w:eastAsia="仿宋" w:cs="Times New Roman"/>
          <w:sz w:val="32"/>
          <w:szCs w:val="32"/>
        </w:rPr>
        <w:t>示值与标准样绳标称值之差应不超过</w:t>
      </w:r>
      <w:r w:rsidRPr="008E1B47">
        <w:rPr>
          <w:rFonts w:eastAsia="仿宋" w:cs="Times New Roman"/>
          <w:sz w:val="32"/>
          <w:szCs w:val="32"/>
        </w:rPr>
        <w:t>±0.5%</w:t>
      </w:r>
      <w:r w:rsidRPr="008E1B47">
        <w:rPr>
          <w:rFonts w:eastAsia="仿宋" w:cs="Times New Roman"/>
          <w:sz w:val="32"/>
          <w:szCs w:val="32"/>
        </w:rPr>
        <w:t>（对于高精度仪器，宜不超过</w:t>
      </w:r>
      <w:r w:rsidRPr="008E1B47">
        <w:rPr>
          <w:rFonts w:eastAsia="仿宋" w:cs="Times New Roman"/>
          <w:sz w:val="32"/>
          <w:szCs w:val="32"/>
        </w:rPr>
        <w:t>±0.2%</w:t>
      </w:r>
      <w:r w:rsidRPr="008E1B47">
        <w:rPr>
          <w:rFonts w:eastAsia="仿宋" w:cs="Times New Roman"/>
          <w:sz w:val="32"/>
          <w:szCs w:val="32"/>
        </w:rPr>
        <w:t>）。</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w:t>
      </w:r>
      <w:r w:rsidRPr="008E1B47">
        <w:rPr>
          <w:rFonts w:eastAsia="仿宋" w:cs="Times New Roman"/>
          <w:sz w:val="32"/>
          <w:szCs w:val="32"/>
        </w:rPr>
        <w:t>5</w:t>
      </w:r>
      <w:r w:rsidRPr="008E1B47">
        <w:rPr>
          <w:rFonts w:eastAsia="仿宋" w:cs="Times New Roman"/>
          <w:sz w:val="32"/>
          <w:szCs w:val="32"/>
        </w:rPr>
        <w:t>）</w:t>
      </w:r>
      <w:r w:rsidRPr="008E1B47">
        <w:rPr>
          <w:rFonts w:eastAsia="仿宋" w:cs="Times New Roman"/>
          <w:bCs/>
          <w:sz w:val="32"/>
          <w:szCs w:val="32"/>
        </w:rPr>
        <w:t>轴向位置示值误差</w:t>
      </w:r>
      <w:r w:rsidRPr="008E1B47">
        <w:rPr>
          <w:rFonts w:eastAsia="仿宋" w:cs="Times New Roman"/>
          <w:sz w:val="32"/>
          <w:szCs w:val="32"/>
        </w:rPr>
        <w:t>：在标准样绳上已知位置设置人工缺陷，仪器显示的缺陷轴向位置与实际位置之间的相对误差应不超过</w:t>
      </w:r>
      <w:r w:rsidRPr="008E1B47">
        <w:rPr>
          <w:rFonts w:eastAsia="仿宋" w:cs="Times New Roman"/>
          <w:sz w:val="32"/>
          <w:szCs w:val="32"/>
        </w:rPr>
        <w:t>±1.0%</w:t>
      </w:r>
      <w:r w:rsidRPr="008E1B47">
        <w:rPr>
          <w:rFonts w:eastAsia="仿宋" w:cs="Times New Roman"/>
          <w:sz w:val="32"/>
          <w:szCs w:val="32"/>
        </w:rPr>
        <w:t>。</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w:t>
      </w:r>
      <w:r w:rsidRPr="008E1B47">
        <w:rPr>
          <w:rFonts w:eastAsia="仿宋" w:cs="Times New Roman"/>
          <w:sz w:val="32"/>
          <w:szCs w:val="32"/>
        </w:rPr>
        <w:t>6</w:t>
      </w:r>
      <w:r w:rsidRPr="008E1B47">
        <w:rPr>
          <w:rFonts w:eastAsia="仿宋" w:cs="Times New Roman"/>
          <w:sz w:val="32"/>
          <w:szCs w:val="32"/>
        </w:rPr>
        <w:t>）</w:t>
      </w:r>
      <w:r w:rsidRPr="008E1B47">
        <w:rPr>
          <w:rFonts w:eastAsia="仿宋" w:cs="Times New Roman"/>
          <w:bCs/>
          <w:sz w:val="32"/>
          <w:szCs w:val="32"/>
        </w:rPr>
        <w:t>重复性</w:t>
      </w:r>
      <w:r w:rsidRPr="008E1B47">
        <w:rPr>
          <w:rFonts w:eastAsia="仿宋" w:cs="Times New Roman"/>
          <w:sz w:val="32"/>
          <w:szCs w:val="32"/>
        </w:rPr>
        <w:t>：在相同条件下，对同一标准样绳同一缺陷区域连续检测不少于</w:t>
      </w:r>
      <w:r w:rsidRPr="008E1B47">
        <w:rPr>
          <w:rFonts w:eastAsia="仿宋" w:cs="Times New Roman"/>
          <w:sz w:val="32"/>
          <w:szCs w:val="32"/>
        </w:rPr>
        <w:t>5</w:t>
      </w:r>
      <w:r w:rsidRPr="008E1B47">
        <w:rPr>
          <w:rFonts w:eastAsia="仿宋" w:cs="Times New Roman"/>
          <w:sz w:val="32"/>
          <w:szCs w:val="32"/>
        </w:rPr>
        <w:t>次，各次</w:t>
      </w:r>
      <w:r w:rsidRPr="008E1B47">
        <w:rPr>
          <w:rFonts w:eastAsia="仿宋" w:cs="Times New Roman"/>
          <w:sz w:val="32"/>
          <w:szCs w:val="32"/>
        </w:rPr>
        <w:t>LMA</w:t>
      </w:r>
      <w:r w:rsidRPr="008E1B47">
        <w:rPr>
          <w:rFonts w:eastAsia="仿宋" w:cs="Times New Roman"/>
          <w:sz w:val="32"/>
          <w:szCs w:val="32"/>
        </w:rPr>
        <w:t>示值的极差不应超过其平均值的</w:t>
      </w:r>
      <w:r w:rsidRPr="008E1B47">
        <w:rPr>
          <w:rFonts w:eastAsia="仿宋" w:cs="Times New Roman"/>
          <w:sz w:val="32"/>
          <w:szCs w:val="32"/>
        </w:rPr>
        <w:t>5%</w:t>
      </w:r>
      <w:r w:rsidRPr="008E1B47">
        <w:rPr>
          <w:rFonts w:eastAsia="仿宋" w:cs="Times New Roman"/>
          <w:sz w:val="32"/>
          <w:szCs w:val="32"/>
        </w:rPr>
        <w:t>，</w:t>
      </w:r>
      <w:r w:rsidRPr="008E1B47">
        <w:rPr>
          <w:rFonts w:eastAsia="仿宋" w:cs="Times New Roman"/>
          <w:sz w:val="32"/>
          <w:szCs w:val="32"/>
        </w:rPr>
        <w:t>LF</w:t>
      </w:r>
      <w:r w:rsidRPr="008E1B47">
        <w:rPr>
          <w:rFonts w:eastAsia="仿宋" w:cs="Times New Roman"/>
          <w:sz w:val="32"/>
          <w:szCs w:val="32"/>
        </w:rPr>
        <w:t>定性判定结果应一致。</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w:t>
      </w:r>
      <w:r w:rsidRPr="008E1B47">
        <w:rPr>
          <w:rFonts w:eastAsia="仿宋" w:cs="Times New Roman"/>
          <w:sz w:val="32"/>
          <w:szCs w:val="32"/>
        </w:rPr>
        <w:t>7</w:t>
      </w:r>
      <w:r w:rsidRPr="008E1B47">
        <w:rPr>
          <w:rFonts w:eastAsia="仿宋" w:cs="Times New Roman"/>
          <w:sz w:val="32"/>
          <w:szCs w:val="32"/>
        </w:rPr>
        <w:t>）</w:t>
      </w:r>
      <w:r w:rsidRPr="008E1B47">
        <w:rPr>
          <w:rFonts w:eastAsia="仿宋" w:cs="Times New Roman"/>
          <w:bCs/>
          <w:sz w:val="32"/>
          <w:szCs w:val="32"/>
        </w:rPr>
        <w:t>检测速度影响变化量</w:t>
      </w:r>
      <w:r w:rsidRPr="008E1B47">
        <w:rPr>
          <w:rFonts w:eastAsia="仿宋" w:cs="Times New Roman"/>
          <w:sz w:val="32"/>
          <w:szCs w:val="32"/>
        </w:rPr>
        <w:t>：在仪器标称的检测速度范围内（通常为</w:t>
      </w:r>
      <w:r w:rsidRPr="008E1B47">
        <w:rPr>
          <w:rFonts w:eastAsia="仿宋" w:cs="Times New Roman"/>
          <w:sz w:val="32"/>
          <w:szCs w:val="32"/>
        </w:rPr>
        <w:t>0.3 m/s</w:t>
      </w:r>
      <w:r w:rsidRPr="008E1B47">
        <w:rPr>
          <w:rFonts w:eastAsia="仿宋" w:cs="Times New Roman"/>
          <w:sz w:val="32"/>
          <w:szCs w:val="32"/>
        </w:rPr>
        <w:t>～</w:t>
      </w:r>
      <w:r w:rsidRPr="008E1B47">
        <w:rPr>
          <w:rFonts w:eastAsia="仿宋" w:cs="Times New Roman"/>
          <w:sz w:val="32"/>
          <w:szCs w:val="32"/>
        </w:rPr>
        <w:t>3.0 m/s</w:t>
      </w:r>
      <w:r w:rsidRPr="008E1B47">
        <w:rPr>
          <w:rFonts w:eastAsia="仿宋" w:cs="Times New Roman"/>
          <w:sz w:val="32"/>
          <w:szCs w:val="32"/>
        </w:rPr>
        <w:t>），因速度变化引起的</w:t>
      </w:r>
      <w:r w:rsidRPr="008E1B47">
        <w:rPr>
          <w:rFonts w:eastAsia="仿宋" w:cs="Times New Roman"/>
          <w:sz w:val="32"/>
          <w:szCs w:val="32"/>
        </w:rPr>
        <w:t>LMA</w:t>
      </w:r>
      <w:r w:rsidRPr="008E1B47">
        <w:rPr>
          <w:rFonts w:eastAsia="仿宋" w:cs="Times New Roman"/>
          <w:sz w:val="32"/>
          <w:szCs w:val="32"/>
        </w:rPr>
        <w:t>示值变化量不应超过</w:t>
      </w:r>
      <w:r w:rsidRPr="008E1B47">
        <w:rPr>
          <w:rFonts w:eastAsia="仿宋" w:cs="Times New Roman"/>
          <w:sz w:val="32"/>
          <w:szCs w:val="32"/>
        </w:rPr>
        <w:t>±0.3%</w:t>
      </w:r>
      <w:r w:rsidRPr="008E1B47">
        <w:rPr>
          <w:rFonts w:eastAsia="仿宋" w:cs="Times New Roman"/>
          <w:sz w:val="32"/>
          <w:szCs w:val="32"/>
        </w:rPr>
        <w:t>。</w:t>
      </w:r>
    </w:p>
    <w:p w:rsidR="00194388" w:rsidRPr="008E1B47" w:rsidRDefault="009F5E0F" w:rsidP="008E1B47">
      <w:pPr>
        <w:pStyle w:val="3"/>
        <w:spacing w:before="0"/>
        <w:ind w:firstLineChars="200" w:firstLine="640"/>
        <w:rPr>
          <w:rFonts w:ascii="Times New Roman" w:eastAsia="仿宋" w:hAnsi="Times New Roman" w:cs="Times New Roman"/>
          <w:b w:val="0"/>
          <w:sz w:val="32"/>
          <w:szCs w:val="32"/>
          <w:lang w:eastAsia="zh-CN"/>
        </w:rPr>
      </w:pPr>
      <w:bookmarkStart w:id="14" w:name="关于校准条件"/>
      <w:bookmarkEnd w:id="13"/>
      <w:r w:rsidRPr="008E1B47">
        <w:rPr>
          <w:rFonts w:ascii="Times New Roman" w:eastAsia="仿宋" w:hAnsi="Times New Roman" w:cs="Times New Roman"/>
          <w:b w:val="0"/>
          <w:sz w:val="32"/>
          <w:szCs w:val="32"/>
          <w:lang w:eastAsia="zh-CN"/>
        </w:rPr>
        <w:lastRenderedPageBreak/>
        <w:t xml:space="preserve">4. </w:t>
      </w:r>
      <w:r w:rsidRPr="008E1B47">
        <w:rPr>
          <w:rFonts w:ascii="Times New Roman" w:eastAsia="仿宋" w:hAnsi="Times New Roman" w:cs="Times New Roman"/>
          <w:b w:val="0"/>
          <w:sz w:val="32"/>
          <w:szCs w:val="32"/>
          <w:lang w:eastAsia="zh-CN"/>
        </w:rPr>
        <w:t>关于校准条件</w:t>
      </w:r>
    </w:p>
    <w:p w:rsidR="00194388" w:rsidRPr="008E1B47" w:rsidRDefault="009F5E0F" w:rsidP="008E1B47">
      <w:pPr>
        <w:pStyle w:val="FirstParagraph"/>
        <w:spacing w:before="0"/>
        <w:ind w:firstLine="640"/>
        <w:rPr>
          <w:rFonts w:eastAsia="仿宋" w:cs="Times New Roman"/>
          <w:sz w:val="32"/>
          <w:szCs w:val="32"/>
        </w:rPr>
      </w:pPr>
      <w:r w:rsidRPr="008E1B47">
        <w:rPr>
          <w:rFonts w:eastAsia="仿宋" w:cs="Times New Roman"/>
          <w:sz w:val="32"/>
          <w:szCs w:val="32"/>
        </w:rPr>
        <w:t>校准条件包含环境条件、测量标准及其他设备。</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bCs/>
          <w:sz w:val="32"/>
          <w:szCs w:val="32"/>
        </w:rPr>
        <w:t>环境条件</w:t>
      </w:r>
      <w:r w:rsidRPr="008E1B47">
        <w:rPr>
          <w:rFonts w:eastAsia="仿宋" w:cs="Times New Roman"/>
          <w:sz w:val="32"/>
          <w:szCs w:val="32"/>
        </w:rPr>
        <w:t>：环境温度（</w:t>
      </w:r>
      <w:r w:rsidRPr="008E1B47">
        <w:rPr>
          <w:rFonts w:eastAsia="仿宋" w:cs="Times New Roman"/>
          <w:sz w:val="32"/>
          <w:szCs w:val="32"/>
        </w:rPr>
        <w:t>5</w:t>
      </w:r>
      <w:r w:rsidRPr="008E1B47">
        <w:rPr>
          <w:rFonts w:eastAsia="仿宋" w:cs="Times New Roman"/>
          <w:sz w:val="32"/>
          <w:szCs w:val="32"/>
        </w:rPr>
        <w:t>～</w:t>
      </w:r>
      <w:r w:rsidRPr="008E1B47">
        <w:rPr>
          <w:rFonts w:eastAsia="仿宋" w:cs="Times New Roman"/>
          <w:sz w:val="32"/>
          <w:szCs w:val="32"/>
        </w:rPr>
        <w:t>35</w:t>
      </w:r>
      <w:r w:rsidRPr="008E1B47">
        <w:rPr>
          <w:rFonts w:eastAsia="仿宋" w:cs="Times New Roman"/>
          <w:sz w:val="32"/>
          <w:szCs w:val="32"/>
        </w:rPr>
        <w:t>）</w:t>
      </w:r>
      <w:r w:rsidRPr="008E1B47">
        <w:rPr>
          <w:rFonts w:eastAsia="仿宋" w:cs="Times New Roman"/>
          <w:sz w:val="32"/>
          <w:szCs w:val="32"/>
        </w:rPr>
        <w:t>℃</w:t>
      </w:r>
      <w:r w:rsidRPr="008E1B47">
        <w:rPr>
          <w:rFonts w:eastAsia="仿宋" w:cs="Times New Roman"/>
          <w:sz w:val="32"/>
          <w:szCs w:val="32"/>
        </w:rPr>
        <w:t>，相对湿度不大于</w:t>
      </w:r>
      <w:r w:rsidRPr="008E1B47">
        <w:rPr>
          <w:rFonts w:eastAsia="仿宋" w:cs="Times New Roman"/>
          <w:sz w:val="32"/>
          <w:szCs w:val="32"/>
        </w:rPr>
        <w:t>85%</w:t>
      </w:r>
      <w:r w:rsidRPr="008E1B47">
        <w:rPr>
          <w:rFonts w:eastAsia="仿宋" w:cs="Times New Roman"/>
          <w:sz w:val="32"/>
          <w:szCs w:val="32"/>
        </w:rPr>
        <w:t>，大气压力（</w:t>
      </w:r>
      <w:r w:rsidRPr="008E1B47">
        <w:rPr>
          <w:rFonts w:eastAsia="仿宋" w:cs="Times New Roman"/>
          <w:sz w:val="32"/>
          <w:szCs w:val="32"/>
        </w:rPr>
        <w:t>86</w:t>
      </w:r>
      <w:r w:rsidRPr="008E1B47">
        <w:rPr>
          <w:rFonts w:eastAsia="仿宋" w:cs="Times New Roman"/>
          <w:sz w:val="32"/>
          <w:szCs w:val="32"/>
        </w:rPr>
        <w:t>～</w:t>
      </w:r>
      <w:r w:rsidRPr="008E1B47">
        <w:rPr>
          <w:rFonts w:eastAsia="仿宋" w:cs="Times New Roman"/>
          <w:sz w:val="32"/>
          <w:szCs w:val="32"/>
        </w:rPr>
        <w:t>106</w:t>
      </w:r>
      <w:r w:rsidRPr="008E1B47">
        <w:rPr>
          <w:rFonts w:eastAsia="仿宋" w:cs="Times New Roman"/>
          <w:sz w:val="32"/>
          <w:szCs w:val="32"/>
        </w:rPr>
        <w:t>）</w:t>
      </w:r>
      <w:r w:rsidRPr="008E1B47">
        <w:rPr>
          <w:rFonts w:eastAsia="仿宋" w:cs="Times New Roman"/>
          <w:sz w:val="32"/>
          <w:szCs w:val="32"/>
        </w:rPr>
        <w:t>kPa</w:t>
      </w:r>
      <w:r w:rsidRPr="008E1B47">
        <w:rPr>
          <w:rFonts w:eastAsia="仿宋" w:cs="Times New Roman"/>
          <w:sz w:val="32"/>
          <w:szCs w:val="32"/>
        </w:rPr>
        <w:t>。校准场地应远离强电磁场源，周围无剧烈振动和冲击。</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bCs/>
          <w:sz w:val="32"/>
          <w:szCs w:val="32"/>
        </w:rPr>
        <w:t>测量标准及其他设备</w:t>
      </w:r>
      <w:r w:rsidRPr="008E1B47">
        <w:rPr>
          <w:rFonts w:eastAsia="仿宋" w:cs="Times New Roman"/>
          <w:sz w:val="32"/>
          <w:szCs w:val="32"/>
        </w:rPr>
        <w:t>：标准样绳（见附录</w:t>
      </w:r>
      <w:r w:rsidRPr="008E1B47">
        <w:rPr>
          <w:rFonts w:eastAsia="仿宋" w:cs="Times New Roman"/>
          <w:sz w:val="32"/>
          <w:szCs w:val="32"/>
        </w:rPr>
        <w:t>A</w:t>
      </w:r>
      <w:r w:rsidRPr="008E1B47">
        <w:rPr>
          <w:rFonts w:eastAsia="仿宋" w:cs="Times New Roman"/>
          <w:sz w:val="32"/>
          <w:szCs w:val="32"/>
        </w:rPr>
        <w:t>）、高斯计</w:t>
      </w:r>
      <w:r w:rsidRPr="008E1B47">
        <w:rPr>
          <w:rFonts w:eastAsia="仿宋" w:cs="Times New Roman"/>
          <w:sz w:val="32"/>
          <w:szCs w:val="32"/>
        </w:rPr>
        <w:t>/</w:t>
      </w:r>
      <w:r w:rsidRPr="008E1B47">
        <w:rPr>
          <w:rFonts w:eastAsia="仿宋" w:cs="Times New Roman"/>
          <w:sz w:val="32"/>
          <w:szCs w:val="32"/>
        </w:rPr>
        <w:t>特斯拉计（量程覆盖</w:t>
      </w:r>
      <w:r w:rsidRPr="008E1B47">
        <w:rPr>
          <w:rFonts w:eastAsia="仿宋" w:cs="Times New Roman"/>
          <w:sz w:val="32"/>
          <w:szCs w:val="32"/>
        </w:rPr>
        <w:t>0</w:t>
      </w:r>
      <w:r w:rsidRPr="008E1B47">
        <w:rPr>
          <w:rFonts w:eastAsia="仿宋" w:cs="Times New Roman"/>
          <w:sz w:val="32"/>
          <w:szCs w:val="32"/>
        </w:rPr>
        <w:t>～</w:t>
      </w:r>
      <w:r w:rsidRPr="008E1B47">
        <w:rPr>
          <w:rFonts w:eastAsia="仿宋" w:cs="Times New Roman"/>
          <w:sz w:val="32"/>
          <w:szCs w:val="32"/>
        </w:rPr>
        <w:t>2.5 T</w:t>
      </w:r>
      <w:r w:rsidRPr="008E1B47">
        <w:rPr>
          <w:rFonts w:eastAsia="仿宋" w:cs="Times New Roman"/>
          <w:sz w:val="32"/>
          <w:szCs w:val="32"/>
        </w:rPr>
        <w:t>，</w:t>
      </w:r>
      <w:r w:rsidRPr="008E1B47">
        <w:rPr>
          <w:rFonts w:eastAsia="仿宋" w:cs="Times New Roman"/>
          <w:sz w:val="32"/>
          <w:szCs w:val="32"/>
        </w:rPr>
        <w:t>MPE</w:t>
      </w:r>
      <w:r w:rsidRPr="008E1B47">
        <w:rPr>
          <w:rFonts w:eastAsia="仿宋" w:cs="Times New Roman"/>
          <w:sz w:val="32"/>
          <w:szCs w:val="32"/>
        </w:rPr>
        <w:t>：</w:t>
      </w:r>
      <w:r w:rsidRPr="008E1B47">
        <w:rPr>
          <w:rFonts w:eastAsia="仿宋" w:cs="Times New Roman"/>
          <w:sz w:val="32"/>
          <w:szCs w:val="32"/>
        </w:rPr>
        <w:t>±1%</w:t>
      </w:r>
      <w:r w:rsidRPr="008E1B47">
        <w:rPr>
          <w:rFonts w:eastAsia="仿宋" w:cs="Times New Roman"/>
          <w:sz w:val="32"/>
          <w:szCs w:val="32"/>
        </w:rPr>
        <w:t>）、钢卷尺（</w:t>
      </w:r>
      <w:r w:rsidRPr="008E1B47">
        <w:rPr>
          <w:rFonts w:eastAsia="仿宋" w:cs="Times New Roman"/>
          <w:sz w:val="32"/>
          <w:szCs w:val="32"/>
        </w:rPr>
        <w:t>MPE</w:t>
      </w:r>
      <w:r w:rsidRPr="008E1B47">
        <w:rPr>
          <w:rFonts w:eastAsia="仿宋" w:cs="Times New Roman"/>
          <w:sz w:val="32"/>
          <w:szCs w:val="32"/>
        </w:rPr>
        <w:t>：</w:t>
      </w:r>
      <w:r w:rsidRPr="008E1B47">
        <w:rPr>
          <w:rFonts w:eastAsia="仿宋" w:cs="Times New Roman"/>
          <w:sz w:val="32"/>
          <w:szCs w:val="32"/>
        </w:rPr>
        <w:t>±0.5 mm</w:t>
      </w:r>
      <w:r w:rsidRPr="008E1B47">
        <w:rPr>
          <w:rFonts w:eastAsia="仿宋" w:cs="Times New Roman"/>
          <w:sz w:val="32"/>
          <w:szCs w:val="32"/>
        </w:rPr>
        <w:t>）、牵引装置（速度可调范围不小于</w:t>
      </w:r>
      <w:r w:rsidRPr="008E1B47">
        <w:rPr>
          <w:rFonts w:eastAsia="仿宋" w:cs="Times New Roman"/>
          <w:sz w:val="32"/>
          <w:szCs w:val="32"/>
        </w:rPr>
        <w:t>0.1 m/s</w:t>
      </w:r>
      <w:r w:rsidRPr="008E1B47">
        <w:rPr>
          <w:rFonts w:eastAsia="仿宋" w:cs="Times New Roman"/>
          <w:sz w:val="32"/>
          <w:szCs w:val="32"/>
        </w:rPr>
        <w:t>～</w:t>
      </w:r>
      <w:r w:rsidRPr="008E1B47">
        <w:rPr>
          <w:rFonts w:eastAsia="仿宋" w:cs="Times New Roman"/>
          <w:sz w:val="32"/>
          <w:szCs w:val="32"/>
        </w:rPr>
        <w:t>5.0 m/s</w:t>
      </w:r>
      <w:r w:rsidRPr="008E1B47">
        <w:rPr>
          <w:rFonts w:eastAsia="仿宋" w:cs="Times New Roman"/>
          <w:sz w:val="32"/>
          <w:szCs w:val="32"/>
        </w:rPr>
        <w:t>，速度稳定性优于</w:t>
      </w:r>
      <w:r w:rsidRPr="008E1B47">
        <w:rPr>
          <w:rFonts w:eastAsia="仿宋" w:cs="Times New Roman"/>
          <w:sz w:val="32"/>
          <w:szCs w:val="32"/>
        </w:rPr>
        <w:t>±2%</w:t>
      </w:r>
      <w:r w:rsidRPr="008E1B47">
        <w:rPr>
          <w:rFonts w:eastAsia="仿宋" w:cs="Times New Roman"/>
          <w:sz w:val="32"/>
          <w:szCs w:val="32"/>
        </w:rPr>
        <w:t>）。</w:t>
      </w:r>
    </w:p>
    <w:p w:rsidR="00194388" w:rsidRPr="008E1B47" w:rsidRDefault="009F5E0F" w:rsidP="008E1B47">
      <w:pPr>
        <w:pStyle w:val="3"/>
        <w:spacing w:before="0"/>
        <w:ind w:firstLineChars="200" w:firstLine="640"/>
        <w:rPr>
          <w:rFonts w:ascii="Times New Roman" w:eastAsia="仿宋" w:hAnsi="Times New Roman" w:cs="Times New Roman"/>
          <w:b w:val="0"/>
          <w:sz w:val="32"/>
          <w:szCs w:val="32"/>
          <w:lang w:eastAsia="zh-CN"/>
        </w:rPr>
      </w:pPr>
      <w:bookmarkStart w:id="15" w:name="关于校准项目和校准方法"/>
      <w:bookmarkEnd w:id="14"/>
      <w:r w:rsidRPr="008E1B47">
        <w:rPr>
          <w:rFonts w:ascii="Times New Roman" w:eastAsia="仿宋" w:hAnsi="Times New Roman" w:cs="Times New Roman"/>
          <w:b w:val="0"/>
          <w:sz w:val="32"/>
          <w:szCs w:val="32"/>
          <w:lang w:eastAsia="zh-CN"/>
        </w:rPr>
        <w:t xml:space="preserve">5. </w:t>
      </w:r>
      <w:r w:rsidRPr="008E1B47">
        <w:rPr>
          <w:rFonts w:ascii="Times New Roman" w:eastAsia="仿宋" w:hAnsi="Times New Roman" w:cs="Times New Roman"/>
          <w:b w:val="0"/>
          <w:sz w:val="32"/>
          <w:szCs w:val="32"/>
          <w:lang w:eastAsia="zh-CN"/>
        </w:rPr>
        <w:t>关于校准项目和校准方法</w:t>
      </w:r>
    </w:p>
    <w:p w:rsidR="00194388" w:rsidRPr="008E1B47" w:rsidRDefault="009F5E0F" w:rsidP="008E1B47">
      <w:pPr>
        <w:pStyle w:val="FirstParagraph"/>
        <w:spacing w:before="0"/>
        <w:ind w:firstLine="640"/>
        <w:rPr>
          <w:rFonts w:eastAsia="仿宋" w:cs="Times New Roman"/>
          <w:sz w:val="32"/>
          <w:szCs w:val="32"/>
        </w:rPr>
      </w:pPr>
      <w:r w:rsidRPr="008E1B47">
        <w:rPr>
          <w:rFonts w:eastAsia="仿宋" w:cs="Times New Roman"/>
          <w:sz w:val="32"/>
          <w:szCs w:val="32"/>
        </w:rPr>
        <w:t>本规范确定的校准项目包括：外观与功能检查、磁化单元磁感应强度校准、灵敏度校准、</w:t>
      </w:r>
      <w:r w:rsidRPr="008E1B47">
        <w:rPr>
          <w:rFonts w:eastAsia="仿宋" w:cs="Times New Roman"/>
          <w:sz w:val="32"/>
          <w:szCs w:val="32"/>
        </w:rPr>
        <w:t>LF</w:t>
      </w:r>
      <w:r w:rsidRPr="008E1B47">
        <w:rPr>
          <w:rFonts w:eastAsia="仿宋" w:cs="Times New Roman"/>
          <w:sz w:val="32"/>
          <w:szCs w:val="32"/>
        </w:rPr>
        <w:t>定量示值误差校准、</w:t>
      </w:r>
      <w:r w:rsidRPr="008E1B47">
        <w:rPr>
          <w:rFonts w:eastAsia="仿宋" w:cs="Times New Roman"/>
          <w:sz w:val="32"/>
          <w:szCs w:val="32"/>
        </w:rPr>
        <w:t>LMA</w:t>
      </w:r>
      <w:r w:rsidRPr="008E1B47">
        <w:rPr>
          <w:rFonts w:eastAsia="仿宋" w:cs="Times New Roman"/>
          <w:sz w:val="32"/>
          <w:szCs w:val="32"/>
        </w:rPr>
        <w:t>示值误差校准、轴向位置示值误差校准、重复性校准、检测速度影响变化量校准。</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各校准项目均采用重复测量</w:t>
      </w:r>
      <w:r w:rsidRPr="008E1B47">
        <w:rPr>
          <w:rFonts w:eastAsia="仿宋" w:cs="Times New Roman"/>
          <w:sz w:val="32"/>
          <w:szCs w:val="32"/>
        </w:rPr>
        <w:t>3</w:t>
      </w:r>
      <w:r w:rsidRPr="008E1B47">
        <w:rPr>
          <w:rFonts w:eastAsia="仿宋" w:cs="Times New Roman"/>
          <w:sz w:val="32"/>
          <w:szCs w:val="32"/>
        </w:rPr>
        <w:t>次取算术平均值的方式，既保证了测量结果的可靠性，又兼顾了校准效率。</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在校准步骤中，建议运行速度设定为</w:t>
      </w:r>
      <w:r w:rsidRPr="008E1B47">
        <w:rPr>
          <w:rFonts w:eastAsia="仿宋" w:cs="Times New Roman"/>
          <w:sz w:val="32"/>
          <w:szCs w:val="32"/>
        </w:rPr>
        <w:t>1.0 m/s</w:t>
      </w:r>
      <w:r w:rsidRPr="008E1B47">
        <w:rPr>
          <w:rFonts w:eastAsia="仿宋" w:cs="Times New Roman"/>
          <w:sz w:val="32"/>
          <w:szCs w:val="32"/>
        </w:rPr>
        <w:t>（或按仪器推荐速度），这是基于试验验证结果确定的。</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bCs/>
          <w:sz w:val="32"/>
          <w:szCs w:val="32"/>
        </w:rPr>
        <w:t>磁化单元磁感应强度校准</w:t>
      </w:r>
      <w:r w:rsidRPr="008E1B47">
        <w:rPr>
          <w:rFonts w:eastAsia="仿宋" w:cs="Times New Roman"/>
          <w:sz w:val="32"/>
          <w:szCs w:val="32"/>
        </w:rPr>
        <w:t>：将高斯计探头置于磁化单元检测区域的中心位置，测量并计算磁感应强度偏差。对于永磁体式磁化单元，由于磁体老化可能导致磁感应强度</w:t>
      </w:r>
      <w:r w:rsidRPr="008E1B47">
        <w:rPr>
          <w:rFonts w:eastAsia="仿宋" w:cs="Times New Roman"/>
          <w:sz w:val="32"/>
          <w:szCs w:val="32"/>
        </w:rPr>
        <w:lastRenderedPageBreak/>
        <w:t>逐年下降，建议每年校准一次，并与上一次校准值对比，若下降超过</w:t>
      </w:r>
      <w:r w:rsidRPr="008E1B47">
        <w:rPr>
          <w:rFonts w:eastAsia="仿宋" w:cs="Times New Roman"/>
          <w:sz w:val="32"/>
          <w:szCs w:val="32"/>
        </w:rPr>
        <w:t>10%</w:t>
      </w:r>
      <w:r w:rsidRPr="008E1B47">
        <w:rPr>
          <w:rFonts w:eastAsia="仿宋" w:cs="Times New Roman"/>
          <w:sz w:val="32"/>
          <w:szCs w:val="32"/>
        </w:rPr>
        <w:t>，应提醒使用单位注意。</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bCs/>
          <w:sz w:val="32"/>
          <w:szCs w:val="32"/>
        </w:rPr>
        <w:t>灵敏度校准</w:t>
      </w:r>
      <w:r w:rsidRPr="008E1B47">
        <w:rPr>
          <w:rFonts w:eastAsia="仿宋" w:cs="Times New Roman"/>
          <w:sz w:val="32"/>
          <w:szCs w:val="32"/>
        </w:rPr>
        <w:t>：将标准样绳以推荐速度通过传感器，观察仪器对标准样绳上最小人工缺陷的输出响应，判定是否满足</w:t>
      </w:r>
      <w:r w:rsidRPr="008E1B47">
        <w:rPr>
          <w:rFonts w:eastAsia="仿宋" w:cs="Times New Roman"/>
          <w:sz w:val="32"/>
          <w:szCs w:val="32"/>
        </w:rPr>
        <w:t>5.3.1</w:t>
      </w:r>
      <w:r w:rsidRPr="008E1B47">
        <w:rPr>
          <w:rFonts w:eastAsia="仿宋" w:cs="Times New Roman"/>
          <w:sz w:val="32"/>
          <w:szCs w:val="32"/>
        </w:rPr>
        <w:t>和</w:t>
      </w:r>
      <w:r w:rsidRPr="008E1B47">
        <w:rPr>
          <w:rFonts w:eastAsia="仿宋" w:cs="Times New Roman"/>
          <w:sz w:val="32"/>
          <w:szCs w:val="32"/>
        </w:rPr>
        <w:t>5.3.2</w:t>
      </w:r>
      <w:r w:rsidRPr="008E1B47">
        <w:rPr>
          <w:rFonts w:eastAsia="仿宋" w:cs="Times New Roman"/>
          <w:sz w:val="32"/>
          <w:szCs w:val="32"/>
        </w:rPr>
        <w:t>的要求。</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bCs/>
          <w:sz w:val="32"/>
          <w:szCs w:val="32"/>
        </w:rPr>
        <w:t>LF</w:t>
      </w:r>
      <w:r w:rsidRPr="008E1B47">
        <w:rPr>
          <w:rFonts w:eastAsia="仿宋" w:cs="Times New Roman"/>
          <w:bCs/>
          <w:sz w:val="32"/>
          <w:szCs w:val="32"/>
        </w:rPr>
        <w:t>定量示值误差校准</w:t>
      </w:r>
      <w:r w:rsidRPr="008E1B47">
        <w:rPr>
          <w:rFonts w:eastAsia="仿宋" w:cs="Times New Roman"/>
          <w:sz w:val="32"/>
          <w:szCs w:val="32"/>
        </w:rPr>
        <w:t>：选用含有已知断丝根数（至少包含</w:t>
      </w:r>
      <w:r w:rsidRPr="008E1B47">
        <w:rPr>
          <w:rFonts w:eastAsia="仿宋" w:cs="Times New Roman"/>
          <w:sz w:val="32"/>
          <w:szCs w:val="32"/>
        </w:rPr>
        <w:t>1</w:t>
      </w:r>
      <w:r w:rsidRPr="008E1B47">
        <w:rPr>
          <w:rFonts w:eastAsia="仿宋" w:cs="Times New Roman"/>
          <w:sz w:val="32"/>
          <w:szCs w:val="32"/>
        </w:rPr>
        <w:t>根、</w:t>
      </w:r>
      <w:r w:rsidRPr="008E1B47">
        <w:rPr>
          <w:rFonts w:eastAsia="仿宋" w:cs="Times New Roman"/>
          <w:sz w:val="32"/>
          <w:szCs w:val="32"/>
        </w:rPr>
        <w:t>2</w:t>
      </w:r>
      <w:r w:rsidRPr="008E1B47">
        <w:rPr>
          <w:rFonts w:eastAsia="仿宋" w:cs="Times New Roman"/>
          <w:sz w:val="32"/>
          <w:szCs w:val="32"/>
        </w:rPr>
        <w:t>根、</w:t>
      </w:r>
      <w:r w:rsidRPr="008E1B47">
        <w:rPr>
          <w:rFonts w:eastAsia="仿宋" w:cs="Times New Roman"/>
          <w:sz w:val="32"/>
          <w:szCs w:val="32"/>
        </w:rPr>
        <w:t>3</w:t>
      </w:r>
      <w:r w:rsidRPr="008E1B47">
        <w:rPr>
          <w:rFonts w:eastAsia="仿宋" w:cs="Times New Roman"/>
          <w:sz w:val="32"/>
          <w:szCs w:val="32"/>
        </w:rPr>
        <w:t>根三个量值）的标准样段，计算示值误差。</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bCs/>
          <w:sz w:val="32"/>
          <w:szCs w:val="32"/>
        </w:rPr>
        <w:t>LMA</w:t>
      </w:r>
      <w:r w:rsidRPr="008E1B47">
        <w:rPr>
          <w:rFonts w:eastAsia="仿宋" w:cs="Times New Roman"/>
          <w:bCs/>
          <w:sz w:val="32"/>
          <w:szCs w:val="32"/>
        </w:rPr>
        <w:t>示值误差校准</w:t>
      </w:r>
      <w:r w:rsidRPr="008E1B47">
        <w:rPr>
          <w:rFonts w:eastAsia="仿宋" w:cs="Times New Roman"/>
          <w:sz w:val="32"/>
          <w:szCs w:val="32"/>
        </w:rPr>
        <w:t>：选用至少</w:t>
      </w:r>
      <w:r w:rsidRPr="008E1B47">
        <w:rPr>
          <w:rFonts w:eastAsia="仿宋" w:cs="Times New Roman"/>
          <w:sz w:val="32"/>
          <w:szCs w:val="32"/>
        </w:rPr>
        <w:t>3</w:t>
      </w:r>
      <w:r w:rsidRPr="008E1B47">
        <w:rPr>
          <w:rFonts w:eastAsia="仿宋" w:cs="Times New Roman"/>
          <w:sz w:val="32"/>
          <w:szCs w:val="32"/>
        </w:rPr>
        <w:t>个</w:t>
      </w:r>
      <w:r w:rsidRPr="008E1B47">
        <w:rPr>
          <w:rFonts w:eastAsia="仿宋" w:cs="Times New Roman"/>
          <w:sz w:val="32"/>
          <w:szCs w:val="32"/>
        </w:rPr>
        <w:t>LMA</w:t>
      </w:r>
      <w:r w:rsidRPr="008E1B47">
        <w:rPr>
          <w:rFonts w:eastAsia="仿宋" w:cs="Times New Roman"/>
          <w:sz w:val="32"/>
          <w:szCs w:val="32"/>
        </w:rPr>
        <w:t>量值点的标准样段，计算示值误差。</w:t>
      </w:r>
      <w:r w:rsidRPr="008E1B47">
        <w:rPr>
          <w:rFonts w:eastAsia="仿宋" w:cs="Times New Roman"/>
          <w:sz w:val="32"/>
          <w:szCs w:val="32"/>
        </w:rPr>
        <w:t>LMA</w:t>
      </w:r>
      <w:r w:rsidRPr="008E1B47">
        <w:rPr>
          <w:rFonts w:eastAsia="仿宋" w:cs="Times New Roman"/>
          <w:sz w:val="32"/>
          <w:szCs w:val="32"/>
        </w:rPr>
        <w:t>缺陷应均匀分布在检测段内，而非集中在某一点。</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bCs/>
          <w:sz w:val="32"/>
          <w:szCs w:val="32"/>
        </w:rPr>
        <w:t>轴向位置示值误差校准</w:t>
      </w:r>
      <w:r w:rsidRPr="008E1B47">
        <w:rPr>
          <w:rFonts w:eastAsia="仿宋" w:cs="Times New Roman"/>
          <w:sz w:val="32"/>
          <w:szCs w:val="32"/>
        </w:rPr>
        <w:t>：在标准样绳上设置不少于</w:t>
      </w:r>
      <w:r w:rsidRPr="008E1B47">
        <w:rPr>
          <w:rFonts w:eastAsia="仿宋" w:cs="Times New Roman"/>
          <w:sz w:val="32"/>
          <w:szCs w:val="32"/>
        </w:rPr>
        <w:t>3</w:t>
      </w:r>
      <w:r w:rsidRPr="008E1B47">
        <w:rPr>
          <w:rFonts w:eastAsia="仿宋" w:cs="Times New Roman"/>
          <w:sz w:val="32"/>
          <w:szCs w:val="32"/>
        </w:rPr>
        <w:t>处已知间距的人工缺陷，计算相对误差。</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bCs/>
          <w:sz w:val="32"/>
          <w:szCs w:val="32"/>
        </w:rPr>
        <w:t>重复性校准</w:t>
      </w:r>
      <w:r w:rsidRPr="008E1B47">
        <w:rPr>
          <w:rFonts w:eastAsia="仿宋" w:cs="Times New Roman"/>
          <w:sz w:val="32"/>
          <w:szCs w:val="32"/>
        </w:rPr>
        <w:t>：选取标准样绳上一处具有代表性的人工缺陷，连续检测不少于</w:t>
      </w:r>
      <w:r w:rsidRPr="008E1B47">
        <w:rPr>
          <w:rFonts w:eastAsia="仿宋" w:cs="Times New Roman"/>
          <w:sz w:val="32"/>
          <w:szCs w:val="32"/>
        </w:rPr>
        <w:t>5</w:t>
      </w:r>
      <w:r w:rsidRPr="008E1B47">
        <w:rPr>
          <w:rFonts w:eastAsia="仿宋" w:cs="Times New Roman"/>
          <w:sz w:val="32"/>
          <w:szCs w:val="32"/>
        </w:rPr>
        <w:t>次，计算重复性标准偏差。</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bCs/>
          <w:sz w:val="32"/>
          <w:szCs w:val="32"/>
        </w:rPr>
        <w:t>检测速度影响变化量校准</w:t>
      </w:r>
      <w:r w:rsidRPr="008E1B47">
        <w:rPr>
          <w:rFonts w:eastAsia="仿宋" w:cs="Times New Roman"/>
          <w:sz w:val="32"/>
          <w:szCs w:val="32"/>
        </w:rPr>
        <w:t>：分别以低速、中速和高速对同一</w:t>
      </w:r>
      <w:r w:rsidRPr="008E1B47">
        <w:rPr>
          <w:rFonts w:eastAsia="仿宋" w:cs="Times New Roman"/>
          <w:sz w:val="32"/>
          <w:szCs w:val="32"/>
        </w:rPr>
        <w:t>LMA</w:t>
      </w:r>
      <w:r w:rsidRPr="008E1B47">
        <w:rPr>
          <w:rFonts w:eastAsia="仿宋" w:cs="Times New Roman"/>
          <w:sz w:val="32"/>
          <w:szCs w:val="32"/>
        </w:rPr>
        <w:t>标准样段进行检测，计算速度影响引起的示值变化量。</w:t>
      </w:r>
    </w:p>
    <w:p w:rsidR="00194388" w:rsidRPr="008E1B47" w:rsidRDefault="009F5E0F" w:rsidP="008E1B47">
      <w:pPr>
        <w:pStyle w:val="3"/>
        <w:spacing w:before="0"/>
        <w:ind w:firstLineChars="200" w:firstLine="640"/>
        <w:rPr>
          <w:rFonts w:ascii="Times New Roman" w:eastAsia="仿宋" w:hAnsi="Times New Roman" w:cs="Times New Roman"/>
          <w:b w:val="0"/>
          <w:sz w:val="32"/>
          <w:szCs w:val="32"/>
          <w:lang w:eastAsia="zh-CN"/>
        </w:rPr>
      </w:pPr>
      <w:bookmarkStart w:id="16" w:name="关于校准结果表达和复校时间间隔"/>
      <w:bookmarkEnd w:id="15"/>
      <w:r w:rsidRPr="008E1B47">
        <w:rPr>
          <w:rFonts w:ascii="Times New Roman" w:eastAsia="仿宋" w:hAnsi="Times New Roman" w:cs="Times New Roman"/>
          <w:b w:val="0"/>
          <w:sz w:val="32"/>
          <w:szCs w:val="32"/>
          <w:lang w:eastAsia="zh-CN"/>
        </w:rPr>
        <w:t xml:space="preserve">6. </w:t>
      </w:r>
      <w:r w:rsidRPr="008E1B47">
        <w:rPr>
          <w:rFonts w:ascii="Times New Roman" w:eastAsia="仿宋" w:hAnsi="Times New Roman" w:cs="Times New Roman"/>
          <w:b w:val="0"/>
          <w:sz w:val="32"/>
          <w:szCs w:val="32"/>
          <w:lang w:eastAsia="zh-CN"/>
        </w:rPr>
        <w:t>关于校准结果表达和复校时间间隔</w:t>
      </w:r>
    </w:p>
    <w:p w:rsidR="00194388" w:rsidRPr="008E1B47" w:rsidRDefault="009F5E0F" w:rsidP="008E1B47">
      <w:pPr>
        <w:pStyle w:val="FirstParagraph"/>
        <w:spacing w:before="0"/>
        <w:ind w:firstLine="640"/>
        <w:rPr>
          <w:rFonts w:eastAsia="仿宋" w:cs="Times New Roman"/>
          <w:sz w:val="32"/>
          <w:szCs w:val="32"/>
        </w:rPr>
      </w:pPr>
      <w:r w:rsidRPr="008E1B47">
        <w:rPr>
          <w:rFonts w:eastAsia="仿宋" w:cs="Times New Roman"/>
          <w:sz w:val="32"/>
          <w:szCs w:val="32"/>
        </w:rPr>
        <w:t>根据</w:t>
      </w:r>
      <w:r w:rsidRPr="008E1B47">
        <w:rPr>
          <w:rFonts w:eastAsia="仿宋" w:cs="Times New Roman"/>
          <w:sz w:val="32"/>
          <w:szCs w:val="32"/>
        </w:rPr>
        <w:t>JJF 1071-2010</w:t>
      </w:r>
      <w:r w:rsidRPr="008E1B47">
        <w:rPr>
          <w:rFonts w:eastAsia="仿宋" w:cs="Times New Roman"/>
          <w:sz w:val="32"/>
          <w:szCs w:val="32"/>
        </w:rPr>
        <w:t>编写规则的规定，校准证书应至少包括：标题、实验室名称和地址、校准地点、证书唯一性标识、客户信息、被校仪器信息、校准日期、校准依据、</w:t>
      </w:r>
      <w:r w:rsidRPr="008E1B47">
        <w:rPr>
          <w:rFonts w:eastAsia="仿宋" w:cs="Times New Roman"/>
          <w:sz w:val="32"/>
          <w:szCs w:val="32"/>
        </w:rPr>
        <w:lastRenderedPageBreak/>
        <w:t>测量标准溯源性说明、校准结果及测量不确定度、偏离说明、签发人签名、校准结果仅对被校对象有效的声明、未经批准不得部分复制的声明等。</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校准数据处理：所有数据应先计算后修约，出具的校准数据均保留至个位数。</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复校时间间隔：建议不超过</w:t>
      </w:r>
      <w:r w:rsidRPr="008E1B47">
        <w:rPr>
          <w:rFonts w:eastAsia="仿宋" w:cs="Times New Roman"/>
          <w:sz w:val="32"/>
          <w:szCs w:val="32"/>
        </w:rPr>
        <w:t>12</w:t>
      </w:r>
      <w:r w:rsidRPr="008E1B47">
        <w:rPr>
          <w:rFonts w:eastAsia="仿宋" w:cs="Times New Roman"/>
          <w:sz w:val="32"/>
          <w:szCs w:val="32"/>
        </w:rPr>
        <w:t>个月。送校单位可根据仪器实际使用情况自主决定复校时间间隔。</w:t>
      </w:r>
    </w:p>
    <w:p w:rsidR="00194388" w:rsidRPr="008E1B47" w:rsidRDefault="009F5E0F" w:rsidP="008E1B47">
      <w:pPr>
        <w:pStyle w:val="3"/>
        <w:spacing w:before="0"/>
        <w:ind w:firstLineChars="200" w:firstLine="640"/>
        <w:rPr>
          <w:rFonts w:ascii="Times New Roman" w:eastAsia="仿宋" w:hAnsi="Times New Roman" w:cs="Times New Roman"/>
          <w:b w:val="0"/>
          <w:sz w:val="32"/>
          <w:szCs w:val="32"/>
          <w:lang w:eastAsia="zh-CN"/>
        </w:rPr>
      </w:pPr>
      <w:bookmarkStart w:id="17" w:name="关于附录"/>
      <w:bookmarkEnd w:id="16"/>
      <w:r w:rsidRPr="008E1B47">
        <w:rPr>
          <w:rFonts w:ascii="Times New Roman" w:eastAsia="仿宋" w:hAnsi="Times New Roman" w:cs="Times New Roman"/>
          <w:b w:val="0"/>
          <w:sz w:val="32"/>
          <w:szCs w:val="32"/>
          <w:lang w:eastAsia="zh-CN"/>
        </w:rPr>
        <w:t xml:space="preserve">7. </w:t>
      </w:r>
      <w:r w:rsidRPr="008E1B47">
        <w:rPr>
          <w:rFonts w:ascii="Times New Roman" w:eastAsia="仿宋" w:hAnsi="Times New Roman" w:cs="Times New Roman"/>
          <w:b w:val="0"/>
          <w:sz w:val="32"/>
          <w:szCs w:val="32"/>
          <w:lang w:eastAsia="zh-CN"/>
        </w:rPr>
        <w:t>关于附录</w:t>
      </w:r>
    </w:p>
    <w:p w:rsidR="00194388" w:rsidRPr="008E1B47" w:rsidRDefault="009F5E0F" w:rsidP="008E1B47">
      <w:pPr>
        <w:pStyle w:val="FirstParagraph"/>
        <w:spacing w:before="0"/>
        <w:ind w:firstLine="640"/>
        <w:rPr>
          <w:rFonts w:eastAsia="仿宋" w:cs="Times New Roman"/>
          <w:sz w:val="32"/>
          <w:szCs w:val="32"/>
        </w:rPr>
      </w:pPr>
      <w:r w:rsidRPr="008E1B47">
        <w:rPr>
          <w:rFonts w:eastAsia="仿宋" w:cs="Times New Roman"/>
          <w:sz w:val="32"/>
          <w:szCs w:val="32"/>
        </w:rPr>
        <w:t>本规范包括四个附录：</w:t>
      </w:r>
    </w:p>
    <w:p w:rsidR="00194388" w:rsidRPr="008E1B47" w:rsidRDefault="009F5E0F" w:rsidP="008E1B47">
      <w:pPr>
        <w:pStyle w:val="Compact"/>
        <w:numPr>
          <w:ilvl w:val="0"/>
          <w:numId w:val="15"/>
        </w:numPr>
        <w:spacing w:before="0" w:after="0"/>
        <w:ind w:firstLineChars="200" w:firstLine="640"/>
        <w:rPr>
          <w:rFonts w:eastAsia="仿宋" w:cs="Times New Roman"/>
          <w:sz w:val="32"/>
          <w:szCs w:val="32"/>
        </w:rPr>
      </w:pPr>
      <w:r w:rsidRPr="008E1B47">
        <w:rPr>
          <w:rFonts w:eastAsia="仿宋" w:cs="Times New Roman"/>
          <w:bCs/>
          <w:sz w:val="32"/>
          <w:szCs w:val="32"/>
        </w:rPr>
        <w:t>附录</w:t>
      </w:r>
      <w:r w:rsidRPr="008E1B47">
        <w:rPr>
          <w:rFonts w:eastAsia="仿宋" w:cs="Times New Roman"/>
          <w:bCs/>
          <w:sz w:val="32"/>
          <w:szCs w:val="32"/>
        </w:rPr>
        <w:t>A</w:t>
      </w:r>
      <w:r w:rsidRPr="008E1B47">
        <w:rPr>
          <w:rFonts w:eastAsia="仿宋" w:cs="Times New Roman"/>
          <w:bCs/>
          <w:sz w:val="32"/>
          <w:szCs w:val="32"/>
        </w:rPr>
        <w:t>（规范性）</w:t>
      </w:r>
      <w:r w:rsidRPr="008E1B47">
        <w:rPr>
          <w:rFonts w:eastAsia="仿宋" w:cs="Times New Roman"/>
          <w:sz w:val="32"/>
          <w:szCs w:val="32"/>
        </w:rPr>
        <w:t>：钢丝绳探伤仪校准用标准样绳技术要求。规定了标准样绳的制作要求、灵敏度校准标准样段、</w:t>
      </w:r>
      <w:r w:rsidRPr="008E1B47">
        <w:rPr>
          <w:rFonts w:eastAsia="仿宋" w:cs="Times New Roman"/>
          <w:sz w:val="32"/>
          <w:szCs w:val="32"/>
        </w:rPr>
        <w:t>LF</w:t>
      </w:r>
      <w:r w:rsidRPr="008E1B47">
        <w:rPr>
          <w:rFonts w:eastAsia="仿宋" w:cs="Times New Roman"/>
          <w:sz w:val="32"/>
          <w:szCs w:val="32"/>
        </w:rPr>
        <w:t>缺陷测量标准样段、</w:t>
      </w:r>
      <w:r w:rsidRPr="008E1B47">
        <w:rPr>
          <w:rFonts w:eastAsia="仿宋" w:cs="Times New Roman"/>
          <w:sz w:val="32"/>
          <w:szCs w:val="32"/>
        </w:rPr>
        <w:t>LMA</w:t>
      </w:r>
      <w:r w:rsidRPr="008E1B47">
        <w:rPr>
          <w:rFonts w:eastAsia="仿宋" w:cs="Times New Roman"/>
          <w:sz w:val="32"/>
          <w:szCs w:val="32"/>
        </w:rPr>
        <w:t>缺陷校准标准样段、钢条技术要求、缺陷制作和计量确认等内容。标准样绳的直径、结构和材质应与被校仪器常用检测对象一致，宜配备不少于两种规格的标准样绳（如</w:t>
      </w:r>
      <w:r w:rsidRPr="008E1B47">
        <w:rPr>
          <w:rFonts w:eastAsia="仿宋" w:cs="Times New Roman"/>
          <w:sz w:val="32"/>
          <w:szCs w:val="32"/>
        </w:rPr>
        <w:t>Φ18 mm 6×37</w:t>
      </w:r>
      <w:r w:rsidRPr="008E1B47">
        <w:rPr>
          <w:rFonts w:eastAsia="仿宋" w:cs="Times New Roman"/>
          <w:sz w:val="32"/>
          <w:szCs w:val="32"/>
        </w:rPr>
        <w:t>和</w:t>
      </w:r>
      <w:r w:rsidRPr="008E1B47">
        <w:rPr>
          <w:rFonts w:eastAsia="仿宋" w:cs="Times New Roman"/>
          <w:sz w:val="32"/>
          <w:szCs w:val="32"/>
        </w:rPr>
        <w:t>Φ24 mm 6×19</w:t>
      </w:r>
      <w:r w:rsidRPr="008E1B47">
        <w:rPr>
          <w:rFonts w:eastAsia="仿宋" w:cs="Times New Roman"/>
          <w:sz w:val="32"/>
          <w:szCs w:val="32"/>
        </w:rPr>
        <w:t>）。</w:t>
      </w:r>
    </w:p>
    <w:p w:rsidR="00194388" w:rsidRPr="008E1B47" w:rsidRDefault="009F5E0F" w:rsidP="008E1B47">
      <w:pPr>
        <w:pStyle w:val="Compact"/>
        <w:numPr>
          <w:ilvl w:val="0"/>
          <w:numId w:val="15"/>
        </w:numPr>
        <w:spacing w:before="0" w:after="0"/>
        <w:ind w:firstLineChars="200" w:firstLine="640"/>
        <w:rPr>
          <w:rFonts w:eastAsia="仿宋" w:cs="Times New Roman"/>
          <w:sz w:val="32"/>
          <w:szCs w:val="32"/>
        </w:rPr>
      </w:pPr>
      <w:r w:rsidRPr="008E1B47">
        <w:rPr>
          <w:rFonts w:eastAsia="仿宋" w:cs="Times New Roman"/>
          <w:bCs/>
          <w:sz w:val="32"/>
          <w:szCs w:val="32"/>
        </w:rPr>
        <w:t>附录</w:t>
      </w:r>
      <w:r w:rsidRPr="008E1B47">
        <w:rPr>
          <w:rFonts w:eastAsia="仿宋" w:cs="Times New Roman"/>
          <w:bCs/>
          <w:sz w:val="32"/>
          <w:szCs w:val="32"/>
        </w:rPr>
        <w:t>B</w:t>
      </w:r>
      <w:r w:rsidRPr="008E1B47">
        <w:rPr>
          <w:rFonts w:eastAsia="仿宋" w:cs="Times New Roman"/>
          <w:bCs/>
          <w:sz w:val="32"/>
          <w:szCs w:val="32"/>
        </w:rPr>
        <w:t>（资料性）</w:t>
      </w:r>
      <w:r w:rsidRPr="008E1B47">
        <w:rPr>
          <w:rFonts w:eastAsia="仿宋" w:cs="Times New Roman"/>
          <w:sz w:val="32"/>
          <w:szCs w:val="32"/>
        </w:rPr>
        <w:t>：校准原始记录格式。提供了校准原始记录的推荐格式，便于校准人员使用。</w:t>
      </w:r>
    </w:p>
    <w:p w:rsidR="00194388" w:rsidRPr="008E1B47" w:rsidRDefault="009F5E0F" w:rsidP="008E1B47">
      <w:pPr>
        <w:pStyle w:val="Compact"/>
        <w:numPr>
          <w:ilvl w:val="0"/>
          <w:numId w:val="15"/>
        </w:numPr>
        <w:spacing w:before="0" w:after="0"/>
        <w:ind w:firstLineChars="200" w:firstLine="640"/>
        <w:rPr>
          <w:rFonts w:eastAsia="仿宋" w:cs="Times New Roman"/>
          <w:sz w:val="32"/>
          <w:szCs w:val="32"/>
        </w:rPr>
      </w:pPr>
      <w:r w:rsidRPr="008E1B47">
        <w:rPr>
          <w:rFonts w:eastAsia="仿宋" w:cs="Times New Roman"/>
          <w:bCs/>
          <w:sz w:val="32"/>
          <w:szCs w:val="32"/>
        </w:rPr>
        <w:t>附录</w:t>
      </w:r>
      <w:r w:rsidRPr="008E1B47">
        <w:rPr>
          <w:rFonts w:eastAsia="仿宋" w:cs="Times New Roman"/>
          <w:bCs/>
          <w:sz w:val="32"/>
          <w:szCs w:val="32"/>
        </w:rPr>
        <w:t>C</w:t>
      </w:r>
      <w:r w:rsidRPr="008E1B47">
        <w:rPr>
          <w:rFonts w:eastAsia="仿宋" w:cs="Times New Roman"/>
          <w:bCs/>
          <w:sz w:val="32"/>
          <w:szCs w:val="32"/>
        </w:rPr>
        <w:t>（资料性）</w:t>
      </w:r>
      <w:r w:rsidRPr="008E1B47">
        <w:rPr>
          <w:rFonts w:eastAsia="仿宋" w:cs="Times New Roman"/>
          <w:sz w:val="32"/>
          <w:szCs w:val="32"/>
        </w:rPr>
        <w:t>：磁感应强度测量不确定度评定示例。给出了磁感应强度测量不确定度的评定方法和示例。</w:t>
      </w:r>
    </w:p>
    <w:p w:rsidR="00194388" w:rsidRPr="008E1B47" w:rsidRDefault="009F5E0F" w:rsidP="008E1B47">
      <w:pPr>
        <w:pStyle w:val="Compact"/>
        <w:numPr>
          <w:ilvl w:val="0"/>
          <w:numId w:val="15"/>
        </w:numPr>
        <w:spacing w:before="0" w:after="0"/>
        <w:ind w:firstLineChars="200" w:firstLine="640"/>
        <w:rPr>
          <w:rFonts w:eastAsia="仿宋" w:cs="Times New Roman"/>
          <w:sz w:val="32"/>
          <w:szCs w:val="32"/>
        </w:rPr>
      </w:pPr>
      <w:r w:rsidRPr="008E1B47">
        <w:rPr>
          <w:rFonts w:eastAsia="仿宋" w:cs="Times New Roman"/>
          <w:bCs/>
          <w:sz w:val="32"/>
          <w:szCs w:val="32"/>
        </w:rPr>
        <w:lastRenderedPageBreak/>
        <w:t>附录</w:t>
      </w:r>
      <w:r w:rsidRPr="008E1B47">
        <w:rPr>
          <w:rFonts w:eastAsia="仿宋" w:cs="Times New Roman"/>
          <w:bCs/>
          <w:sz w:val="32"/>
          <w:szCs w:val="32"/>
        </w:rPr>
        <w:t>D</w:t>
      </w:r>
      <w:r w:rsidRPr="008E1B47">
        <w:rPr>
          <w:rFonts w:eastAsia="仿宋" w:cs="Times New Roman"/>
          <w:bCs/>
          <w:sz w:val="32"/>
          <w:szCs w:val="32"/>
        </w:rPr>
        <w:t>（资料性）</w:t>
      </w:r>
      <w:r w:rsidRPr="008E1B47">
        <w:rPr>
          <w:rFonts w:eastAsia="仿宋" w:cs="Times New Roman"/>
          <w:sz w:val="32"/>
          <w:szCs w:val="32"/>
        </w:rPr>
        <w:t>：金属横截面积损失（</w:t>
      </w:r>
      <w:r w:rsidRPr="008E1B47">
        <w:rPr>
          <w:rFonts w:eastAsia="仿宋" w:cs="Times New Roman"/>
          <w:sz w:val="32"/>
          <w:szCs w:val="32"/>
        </w:rPr>
        <w:t>LMA</w:t>
      </w:r>
      <w:r w:rsidRPr="008E1B47">
        <w:rPr>
          <w:rFonts w:eastAsia="仿宋" w:cs="Times New Roman"/>
          <w:sz w:val="32"/>
          <w:szCs w:val="32"/>
        </w:rPr>
        <w:t>）示值测量不确定度评定示例。给出了</w:t>
      </w:r>
      <w:r w:rsidRPr="008E1B47">
        <w:rPr>
          <w:rFonts w:eastAsia="仿宋" w:cs="Times New Roman"/>
          <w:sz w:val="32"/>
          <w:szCs w:val="32"/>
        </w:rPr>
        <w:t>LMA</w:t>
      </w:r>
      <w:r w:rsidRPr="008E1B47">
        <w:rPr>
          <w:rFonts w:eastAsia="仿宋" w:cs="Times New Roman"/>
          <w:sz w:val="32"/>
          <w:szCs w:val="32"/>
        </w:rPr>
        <w:t>示值测量不确定度的评定方法和示例。</w:t>
      </w:r>
    </w:p>
    <w:p w:rsidR="00194388" w:rsidRPr="008E1B47" w:rsidRDefault="009F5E0F" w:rsidP="008E1B47">
      <w:pPr>
        <w:pStyle w:val="3"/>
        <w:spacing w:before="0"/>
        <w:ind w:firstLineChars="200" w:firstLine="640"/>
        <w:rPr>
          <w:rFonts w:ascii="Times New Roman" w:eastAsia="仿宋" w:hAnsi="Times New Roman" w:cs="Times New Roman"/>
          <w:b w:val="0"/>
          <w:sz w:val="32"/>
          <w:szCs w:val="32"/>
          <w:lang w:eastAsia="zh-CN"/>
        </w:rPr>
      </w:pPr>
      <w:bookmarkStart w:id="18" w:name="关于公式的说明"/>
      <w:bookmarkEnd w:id="17"/>
      <w:r w:rsidRPr="008E1B47">
        <w:rPr>
          <w:rFonts w:ascii="Times New Roman" w:eastAsia="仿宋" w:hAnsi="Times New Roman" w:cs="Times New Roman"/>
          <w:b w:val="0"/>
          <w:sz w:val="32"/>
          <w:szCs w:val="32"/>
          <w:lang w:eastAsia="zh-CN"/>
        </w:rPr>
        <w:t xml:space="preserve">8. </w:t>
      </w:r>
      <w:r w:rsidRPr="008E1B47">
        <w:rPr>
          <w:rFonts w:ascii="Times New Roman" w:eastAsia="仿宋" w:hAnsi="Times New Roman" w:cs="Times New Roman"/>
          <w:b w:val="0"/>
          <w:sz w:val="32"/>
          <w:szCs w:val="32"/>
          <w:lang w:eastAsia="zh-CN"/>
        </w:rPr>
        <w:t>关于公式的说明</w:t>
      </w:r>
    </w:p>
    <w:p w:rsidR="00194388" w:rsidRPr="008E1B47" w:rsidRDefault="009F5E0F" w:rsidP="008E1B47">
      <w:pPr>
        <w:pStyle w:val="FirstParagraph"/>
        <w:spacing w:before="0"/>
        <w:ind w:firstLine="640"/>
        <w:rPr>
          <w:rFonts w:eastAsia="仿宋" w:cs="Times New Roman"/>
          <w:sz w:val="32"/>
          <w:szCs w:val="32"/>
        </w:rPr>
      </w:pPr>
      <w:r w:rsidRPr="008E1B47">
        <w:rPr>
          <w:rFonts w:eastAsia="仿宋" w:cs="Times New Roman"/>
          <w:sz w:val="32"/>
          <w:szCs w:val="32"/>
        </w:rPr>
        <w:t>规范正文中部分公式的变量说明存在笔误，实际使用时以正确含义为准。例如：</w:t>
      </w:r>
      <w:r w:rsidRPr="008E1B47">
        <w:rPr>
          <w:rFonts w:eastAsia="仿宋" w:cs="Times New Roman"/>
          <w:sz w:val="32"/>
          <w:szCs w:val="32"/>
        </w:rPr>
        <w:br/>
        <w:t xml:space="preserve">- </w:t>
      </w:r>
      <w:r w:rsidRPr="008E1B47">
        <w:rPr>
          <w:rFonts w:eastAsia="仿宋" w:cs="Times New Roman"/>
          <w:sz w:val="32"/>
          <w:szCs w:val="32"/>
        </w:rPr>
        <w:t>磁感应强度偏差公式</w:t>
      </w:r>
      <w:r w:rsidRPr="008E1B47">
        <w:rPr>
          <w:rFonts w:eastAsia="仿宋" w:cs="Times New Roman"/>
          <w:sz w:val="32"/>
          <w:szCs w:val="32"/>
        </w:rPr>
        <w:t xml:space="preserve"> </w:t>
      </w:r>
      <m:oMath>
        <m:sSub>
          <m:sSubPr>
            <m:ctrlPr>
              <w:rPr>
                <w:rFonts w:ascii="Cambria Math" w:eastAsia="仿宋" w:hAnsi="Cambria Math" w:cs="Times New Roman"/>
                <w:sz w:val="32"/>
                <w:szCs w:val="32"/>
              </w:rPr>
            </m:ctrlPr>
          </m:sSubPr>
          <m:e>
            <m:r>
              <w:rPr>
                <w:rFonts w:ascii="Cambria Math" w:eastAsia="仿宋" w:hAnsi="Cambria Math" w:cs="Times New Roman"/>
                <w:sz w:val="32"/>
                <w:szCs w:val="32"/>
              </w:rPr>
              <m:t>δ</m:t>
            </m:r>
          </m:e>
          <m:sub>
            <m:r>
              <w:rPr>
                <w:rFonts w:ascii="Cambria Math" w:eastAsia="仿宋" w:hAnsi="Cambria Math" w:cs="Times New Roman"/>
                <w:sz w:val="32"/>
                <w:szCs w:val="32"/>
              </w:rPr>
              <m:t>B</m:t>
            </m:r>
          </m:sub>
        </m:sSub>
        <m:r>
          <m:rPr>
            <m:sty m:val="p"/>
          </m:rPr>
          <w:rPr>
            <w:rFonts w:ascii="Cambria Math" w:eastAsia="仿宋" w:hAnsi="Cambria Math" w:cs="Times New Roman"/>
            <w:sz w:val="32"/>
            <w:szCs w:val="32"/>
          </w:rPr>
          <m:t>=</m:t>
        </m:r>
        <m:f>
          <m:fPr>
            <m:ctrlPr>
              <w:rPr>
                <w:rFonts w:ascii="Cambria Math" w:eastAsia="仿宋" w:hAnsi="Cambria Math" w:cs="Times New Roman"/>
                <w:sz w:val="32"/>
                <w:szCs w:val="32"/>
              </w:rPr>
            </m:ctrlPr>
          </m:fPr>
          <m:num>
            <m:acc>
              <m:accPr>
                <m:chr m:val="‾"/>
                <m:ctrlPr>
                  <w:rPr>
                    <w:rFonts w:ascii="Cambria Math" w:eastAsia="仿宋" w:hAnsi="Cambria Math" w:cs="Times New Roman"/>
                    <w:sz w:val="32"/>
                    <w:szCs w:val="32"/>
                  </w:rPr>
                </m:ctrlPr>
              </m:accPr>
              <m:e>
                <m:r>
                  <w:rPr>
                    <w:rFonts w:ascii="Cambria Math" w:eastAsia="仿宋" w:hAnsi="Cambria Math" w:cs="Times New Roman"/>
                    <w:sz w:val="32"/>
                    <w:szCs w:val="32"/>
                  </w:rPr>
                  <m:t>B</m:t>
                </m:r>
              </m:e>
            </m:acc>
            <m:r>
              <m:rPr>
                <m:sty m:val="p"/>
              </m:rPr>
              <w:rPr>
                <w:rFonts w:ascii="Cambria Math" w:eastAsia="仿宋" w:hAnsi="Cambria Math" w:cs="Times New Roman"/>
                <w:sz w:val="32"/>
                <w:szCs w:val="32"/>
              </w:rPr>
              <m:t>-</m:t>
            </m:r>
            <m:sSub>
              <m:sSubPr>
                <m:ctrlPr>
                  <w:rPr>
                    <w:rFonts w:ascii="Cambria Math" w:eastAsia="仿宋" w:hAnsi="Cambria Math" w:cs="Times New Roman"/>
                    <w:sz w:val="32"/>
                    <w:szCs w:val="32"/>
                  </w:rPr>
                </m:ctrlPr>
              </m:sSubPr>
              <m:e>
                <m:r>
                  <w:rPr>
                    <w:rFonts w:ascii="Cambria Math" w:eastAsia="仿宋" w:hAnsi="Cambria Math" w:cs="Times New Roman"/>
                    <w:sz w:val="32"/>
                    <w:szCs w:val="32"/>
                  </w:rPr>
                  <m:t>B</m:t>
                </m:r>
              </m:e>
              <m:sub>
                <m:r>
                  <w:rPr>
                    <w:rFonts w:ascii="Cambria Math" w:eastAsia="仿宋" w:hAnsi="Cambria Math" w:cs="Times New Roman"/>
                    <w:sz w:val="32"/>
                    <w:szCs w:val="32"/>
                  </w:rPr>
                  <m:t>0</m:t>
                </m:r>
              </m:sub>
            </m:sSub>
          </m:num>
          <m:den>
            <m:sSub>
              <m:sSubPr>
                <m:ctrlPr>
                  <w:rPr>
                    <w:rFonts w:ascii="Cambria Math" w:eastAsia="仿宋" w:hAnsi="Cambria Math" w:cs="Times New Roman"/>
                    <w:sz w:val="32"/>
                    <w:szCs w:val="32"/>
                  </w:rPr>
                </m:ctrlPr>
              </m:sSubPr>
              <m:e>
                <m:r>
                  <w:rPr>
                    <w:rFonts w:ascii="Cambria Math" w:eastAsia="仿宋" w:hAnsi="Cambria Math" w:cs="Times New Roman"/>
                    <w:sz w:val="32"/>
                    <w:szCs w:val="32"/>
                  </w:rPr>
                  <m:t>B</m:t>
                </m:r>
              </m:e>
              <m:sub>
                <m:r>
                  <w:rPr>
                    <w:rFonts w:ascii="Cambria Math" w:eastAsia="仿宋" w:hAnsi="Cambria Math" w:cs="Times New Roman"/>
                    <w:sz w:val="32"/>
                    <w:szCs w:val="32"/>
                  </w:rPr>
                  <m:t>0</m:t>
                </m:r>
              </m:sub>
            </m:sSub>
          </m:den>
        </m:f>
        <m:r>
          <m:rPr>
            <m:sty m:val="p"/>
          </m:rPr>
          <w:rPr>
            <w:rFonts w:ascii="Cambria Math" w:eastAsia="仿宋" w:hAnsi="Cambria Math" w:cs="Times New Roman"/>
            <w:sz w:val="32"/>
            <w:szCs w:val="32"/>
          </w:rPr>
          <m:t>×</m:t>
        </m:r>
        <m:r>
          <w:rPr>
            <w:rFonts w:ascii="Cambria Math" w:eastAsia="仿宋" w:hAnsi="Cambria Math" w:cs="Times New Roman"/>
            <w:sz w:val="32"/>
            <w:szCs w:val="32"/>
          </w:rPr>
          <m:t>100</m:t>
        </m:r>
        <m:r>
          <m:rPr>
            <m:sty m:val="p"/>
          </m:rPr>
          <w:rPr>
            <w:rFonts w:ascii="Cambria Math" w:eastAsia="仿宋" w:hAnsi="Cambria Math" w:cs="Times New Roman"/>
            <w:sz w:val="32"/>
            <w:szCs w:val="32"/>
          </w:rPr>
          <m:t>%</m:t>
        </m:r>
      </m:oMath>
      <w:r w:rsidRPr="008E1B47">
        <w:rPr>
          <w:rFonts w:eastAsia="仿宋" w:cs="Times New Roman"/>
          <w:sz w:val="32"/>
          <w:szCs w:val="32"/>
        </w:rPr>
        <w:t xml:space="preserve"> </w:t>
      </w:r>
      <w:r w:rsidRPr="008E1B47">
        <w:rPr>
          <w:rFonts w:eastAsia="仿宋" w:cs="Times New Roman"/>
          <w:sz w:val="32"/>
          <w:szCs w:val="32"/>
        </w:rPr>
        <w:t>中，</w:t>
      </w:r>
      <m:oMath>
        <m:acc>
          <m:accPr>
            <m:chr m:val="‾"/>
            <m:ctrlPr>
              <w:rPr>
                <w:rFonts w:ascii="Cambria Math" w:eastAsia="仿宋" w:hAnsi="Cambria Math" w:cs="Times New Roman"/>
                <w:sz w:val="32"/>
                <w:szCs w:val="32"/>
              </w:rPr>
            </m:ctrlPr>
          </m:accPr>
          <m:e>
            <m:r>
              <w:rPr>
                <w:rFonts w:ascii="Cambria Math" w:eastAsia="仿宋" w:hAnsi="Cambria Math" w:cs="Times New Roman"/>
                <w:sz w:val="32"/>
                <w:szCs w:val="32"/>
              </w:rPr>
              <m:t>B</m:t>
            </m:r>
          </m:e>
        </m:acc>
      </m:oMath>
      <w:r w:rsidRPr="008E1B47">
        <w:rPr>
          <w:rFonts w:eastAsia="仿宋" w:cs="Times New Roman"/>
          <w:sz w:val="32"/>
          <w:szCs w:val="32"/>
        </w:rPr>
        <w:t>为磁感应强度实测平均值，</w:t>
      </w:r>
      <m:oMath>
        <m:sSub>
          <m:sSubPr>
            <m:ctrlPr>
              <w:rPr>
                <w:rFonts w:ascii="Cambria Math" w:eastAsia="仿宋" w:hAnsi="Cambria Math" w:cs="Times New Roman"/>
                <w:sz w:val="32"/>
                <w:szCs w:val="32"/>
              </w:rPr>
            </m:ctrlPr>
          </m:sSubPr>
          <m:e>
            <m:r>
              <w:rPr>
                <w:rFonts w:ascii="Cambria Math" w:eastAsia="仿宋" w:hAnsi="Cambria Math" w:cs="Times New Roman"/>
                <w:sz w:val="32"/>
                <w:szCs w:val="32"/>
              </w:rPr>
              <m:t>B</m:t>
            </m:r>
          </m:e>
          <m:sub>
            <m:r>
              <w:rPr>
                <w:rFonts w:ascii="Cambria Math" w:eastAsia="仿宋" w:hAnsi="Cambria Math" w:cs="Times New Roman"/>
                <w:sz w:val="32"/>
                <w:szCs w:val="32"/>
              </w:rPr>
              <m:t>0</m:t>
            </m:r>
          </m:sub>
        </m:sSub>
      </m:oMath>
      <w:r w:rsidRPr="008E1B47">
        <w:rPr>
          <w:rFonts w:eastAsia="仿宋" w:cs="Times New Roman"/>
          <w:sz w:val="32"/>
          <w:szCs w:val="32"/>
        </w:rPr>
        <w:t>为仪器标称磁感应强度值。</w:t>
      </w:r>
      <w:r w:rsidRPr="008E1B47">
        <w:rPr>
          <w:rFonts w:eastAsia="仿宋" w:cs="Times New Roman"/>
          <w:sz w:val="32"/>
          <w:szCs w:val="32"/>
        </w:rPr>
        <w:br/>
        <w:t>- LF</w:t>
      </w:r>
      <w:r w:rsidRPr="008E1B47">
        <w:rPr>
          <w:rFonts w:eastAsia="仿宋" w:cs="Times New Roman"/>
          <w:sz w:val="32"/>
          <w:szCs w:val="32"/>
        </w:rPr>
        <w:t>定量示值误差公式</w:t>
      </w:r>
      <w:r w:rsidRPr="008E1B47">
        <w:rPr>
          <w:rFonts w:eastAsia="仿宋" w:cs="Times New Roman"/>
          <w:sz w:val="32"/>
          <w:szCs w:val="32"/>
        </w:rPr>
        <w:t xml:space="preserve"> </w:t>
      </w:r>
      <m:oMath>
        <m:sSub>
          <m:sSubPr>
            <m:ctrlPr>
              <w:rPr>
                <w:rFonts w:ascii="Cambria Math" w:eastAsia="仿宋" w:hAnsi="Cambria Math" w:cs="Times New Roman"/>
                <w:sz w:val="32"/>
                <w:szCs w:val="32"/>
              </w:rPr>
            </m:ctrlPr>
          </m:sSubPr>
          <m:e>
            <m:r>
              <w:rPr>
                <w:rFonts w:ascii="Cambria Math" w:eastAsia="仿宋" w:hAnsi="Cambria Math" w:cs="Times New Roman"/>
                <w:sz w:val="32"/>
                <w:szCs w:val="32"/>
              </w:rPr>
              <m:t>δ</m:t>
            </m:r>
          </m:e>
          <m:sub>
            <m:r>
              <w:rPr>
                <w:rFonts w:ascii="Cambria Math" w:eastAsia="仿宋" w:hAnsi="Cambria Math" w:cs="Times New Roman"/>
                <w:sz w:val="32"/>
                <w:szCs w:val="32"/>
              </w:rPr>
              <m:t>LF</m:t>
            </m:r>
          </m:sub>
        </m:sSub>
        <m:r>
          <m:rPr>
            <m:sty m:val="p"/>
          </m:rPr>
          <w:rPr>
            <w:rFonts w:ascii="Cambria Math" w:eastAsia="仿宋" w:hAnsi="Cambria Math" w:cs="Times New Roman"/>
            <w:sz w:val="32"/>
            <w:szCs w:val="32"/>
          </w:rPr>
          <m:t>=</m:t>
        </m:r>
        <m:sSub>
          <m:sSubPr>
            <m:ctrlPr>
              <w:rPr>
                <w:rFonts w:ascii="Cambria Math" w:eastAsia="仿宋" w:hAnsi="Cambria Math" w:cs="Times New Roman"/>
                <w:sz w:val="32"/>
                <w:szCs w:val="32"/>
              </w:rPr>
            </m:ctrlPr>
          </m:sSubPr>
          <m:e>
            <m:acc>
              <m:accPr>
                <m:chr m:val="‾"/>
                <m:ctrlPr>
                  <w:rPr>
                    <w:rFonts w:ascii="Cambria Math" w:eastAsia="仿宋" w:hAnsi="Cambria Math" w:cs="Times New Roman"/>
                    <w:sz w:val="32"/>
                    <w:szCs w:val="32"/>
                  </w:rPr>
                </m:ctrlPr>
              </m:accPr>
              <m:e>
                <m:r>
                  <w:rPr>
                    <w:rFonts w:ascii="Cambria Math" w:eastAsia="仿宋" w:hAnsi="Cambria Math" w:cs="Times New Roman"/>
                    <w:sz w:val="32"/>
                    <w:szCs w:val="32"/>
                  </w:rPr>
                  <m:t>N</m:t>
                </m:r>
              </m:e>
            </m:acc>
          </m:e>
          <m:sub>
            <m:r>
              <w:rPr>
                <w:rFonts w:ascii="Cambria Math" w:eastAsia="仿宋" w:hAnsi="Cambria Math" w:cs="Times New Roman"/>
                <w:sz w:val="32"/>
                <w:szCs w:val="32"/>
              </w:rPr>
              <m:t>i</m:t>
            </m:r>
          </m:sub>
        </m:sSub>
        <m:r>
          <m:rPr>
            <m:sty m:val="p"/>
          </m:rPr>
          <w:rPr>
            <w:rFonts w:ascii="Cambria Math" w:eastAsia="仿宋" w:hAnsi="Cambria Math" w:cs="Times New Roman"/>
            <w:sz w:val="32"/>
            <w:szCs w:val="32"/>
          </w:rPr>
          <m:t>-</m:t>
        </m:r>
        <m:sSub>
          <m:sSubPr>
            <m:ctrlPr>
              <w:rPr>
                <w:rFonts w:ascii="Cambria Math" w:eastAsia="仿宋" w:hAnsi="Cambria Math" w:cs="Times New Roman"/>
                <w:sz w:val="32"/>
                <w:szCs w:val="32"/>
              </w:rPr>
            </m:ctrlPr>
          </m:sSubPr>
          <m:e>
            <m:r>
              <w:rPr>
                <w:rFonts w:ascii="Cambria Math" w:eastAsia="仿宋" w:hAnsi="Cambria Math" w:cs="Times New Roman"/>
                <w:sz w:val="32"/>
                <w:szCs w:val="32"/>
              </w:rPr>
              <m:t>N</m:t>
            </m:r>
          </m:e>
          <m:sub>
            <m:r>
              <w:rPr>
                <w:rFonts w:ascii="Cambria Math" w:eastAsia="仿宋" w:hAnsi="Cambria Math" w:cs="Times New Roman"/>
                <w:sz w:val="32"/>
                <w:szCs w:val="32"/>
              </w:rPr>
              <m:t>0i</m:t>
            </m:r>
          </m:sub>
        </m:sSub>
      </m:oMath>
      <w:r w:rsidRPr="008E1B47">
        <w:rPr>
          <w:rFonts w:eastAsia="仿宋" w:cs="Times New Roman"/>
          <w:sz w:val="32"/>
          <w:szCs w:val="32"/>
        </w:rPr>
        <w:t xml:space="preserve"> </w:t>
      </w:r>
      <w:r w:rsidRPr="008E1B47">
        <w:rPr>
          <w:rFonts w:eastAsia="仿宋" w:cs="Times New Roman"/>
          <w:sz w:val="32"/>
          <w:szCs w:val="32"/>
        </w:rPr>
        <w:t>中，</w:t>
      </w:r>
      <m:oMath>
        <m:sSub>
          <m:sSubPr>
            <m:ctrlPr>
              <w:rPr>
                <w:rFonts w:ascii="Cambria Math" w:eastAsia="仿宋" w:hAnsi="Cambria Math" w:cs="Times New Roman"/>
                <w:sz w:val="32"/>
                <w:szCs w:val="32"/>
              </w:rPr>
            </m:ctrlPr>
          </m:sSubPr>
          <m:e>
            <m:acc>
              <m:accPr>
                <m:chr m:val="‾"/>
                <m:ctrlPr>
                  <w:rPr>
                    <w:rFonts w:ascii="Cambria Math" w:eastAsia="仿宋" w:hAnsi="Cambria Math" w:cs="Times New Roman"/>
                    <w:sz w:val="32"/>
                    <w:szCs w:val="32"/>
                  </w:rPr>
                </m:ctrlPr>
              </m:accPr>
              <m:e>
                <m:r>
                  <w:rPr>
                    <w:rFonts w:ascii="Cambria Math" w:eastAsia="仿宋" w:hAnsi="Cambria Math" w:cs="Times New Roman"/>
                    <w:sz w:val="32"/>
                    <w:szCs w:val="32"/>
                  </w:rPr>
                  <m:t>N</m:t>
                </m:r>
              </m:e>
            </m:acc>
          </m:e>
          <m:sub>
            <m:r>
              <w:rPr>
                <w:rFonts w:ascii="Cambria Math" w:eastAsia="仿宋" w:hAnsi="Cambria Math" w:cs="Times New Roman"/>
                <w:sz w:val="32"/>
                <w:szCs w:val="32"/>
              </w:rPr>
              <m:t>i</m:t>
            </m:r>
          </m:sub>
        </m:sSub>
      </m:oMath>
      <w:r w:rsidRPr="008E1B47">
        <w:rPr>
          <w:rFonts w:eastAsia="仿宋" w:cs="Times New Roman"/>
          <w:sz w:val="32"/>
          <w:szCs w:val="32"/>
        </w:rPr>
        <w:t>为仪器示值平均值，</w:t>
      </w:r>
      <m:oMath>
        <m:sSub>
          <m:sSubPr>
            <m:ctrlPr>
              <w:rPr>
                <w:rFonts w:ascii="Cambria Math" w:eastAsia="仿宋" w:hAnsi="Cambria Math" w:cs="Times New Roman"/>
                <w:sz w:val="32"/>
                <w:szCs w:val="32"/>
              </w:rPr>
            </m:ctrlPr>
          </m:sSubPr>
          <m:e>
            <m:r>
              <w:rPr>
                <w:rFonts w:ascii="Cambria Math" w:eastAsia="仿宋" w:hAnsi="Cambria Math" w:cs="Times New Roman"/>
                <w:sz w:val="32"/>
                <w:szCs w:val="32"/>
              </w:rPr>
              <m:t>N</m:t>
            </m:r>
          </m:e>
          <m:sub>
            <m:r>
              <w:rPr>
                <w:rFonts w:ascii="Cambria Math" w:eastAsia="仿宋" w:hAnsi="Cambria Math" w:cs="Times New Roman"/>
                <w:sz w:val="32"/>
                <w:szCs w:val="32"/>
              </w:rPr>
              <m:t>0i</m:t>
            </m:r>
          </m:sub>
        </m:sSub>
      </m:oMath>
      <w:r w:rsidRPr="008E1B47">
        <w:rPr>
          <w:rFonts w:eastAsia="仿宋" w:cs="Times New Roman"/>
          <w:sz w:val="32"/>
          <w:szCs w:val="32"/>
        </w:rPr>
        <w:t>为标准样绳实际断丝根数。</w:t>
      </w:r>
      <w:r w:rsidRPr="008E1B47">
        <w:rPr>
          <w:rFonts w:eastAsia="仿宋" w:cs="Times New Roman"/>
          <w:sz w:val="32"/>
          <w:szCs w:val="32"/>
        </w:rPr>
        <w:br/>
        <w:t>- LMA</w:t>
      </w:r>
      <w:r w:rsidRPr="008E1B47">
        <w:rPr>
          <w:rFonts w:eastAsia="仿宋" w:cs="Times New Roman"/>
          <w:sz w:val="32"/>
          <w:szCs w:val="32"/>
        </w:rPr>
        <w:t>示值误差公式</w:t>
      </w:r>
      <w:r w:rsidRPr="008E1B47">
        <w:rPr>
          <w:rFonts w:eastAsia="仿宋" w:cs="Times New Roman"/>
          <w:sz w:val="32"/>
          <w:szCs w:val="32"/>
        </w:rPr>
        <w:t xml:space="preserve"> </w:t>
      </w:r>
      <m:oMath>
        <m:sSub>
          <m:sSubPr>
            <m:ctrlPr>
              <w:rPr>
                <w:rFonts w:ascii="Cambria Math" w:eastAsia="仿宋" w:hAnsi="Cambria Math" w:cs="Times New Roman"/>
                <w:sz w:val="32"/>
                <w:szCs w:val="32"/>
              </w:rPr>
            </m:ctrlPr>
          </m:sSubPr>
          <m:e>
            <m:r>
              <w:rPr>
                <w:rFonts w:ascii="Cambria Math" w:eastAsia="仿宋" w:hAnsi="Cambria Math" w:cs="Times New Roman"/>
                <w:sz w:val="32"/>
                <w:szCs w:val="32"/>
              </w:rPr>
              <m:t>δ</m:t>
            </m:r>
          </m:e>
          <m:sub>
            <m:r>
              <w:rPr>
                <w:rFonts w:ascii="Cambria Math" w:eastAsia="仿宋" w:hAnsi="Cambria Math" w:cs="Times New Roman"/>
                <w:sz w:val="32"/>
                <w:szCs w:val="32"/>
              </w:rPr>
              <m:t>LMA</m:t>
            </m:r>
          </m:sub>
        </m:sSub>
        <m:r>
          <m:rPr>
            <m:sty m:val="p"/>
          </m:rPr>
          <w:rPr>
            <w:rFonts w:ascii="Cambria Math" w:eastAsia="仿宋" w:hAnsi="Cambria Math" w:cs="Times New Roman"/>
            <w:sz w:val="32"/>
            <w:szCs w:val="32"/>
          </w:rPr>
          <m:t>=</m:t>
        </m:r>
        <m:sSub>
          <m:sSubPr>
            <m:ctrlPr>
              <w:rPr>
                <w:rFonts w:ascii="Cambria Math" w:eastAsia="仿宋" w:hAnsi="Cambria Math" w:cs="Times New Roman"/>
                <w:sz w:val="32"/>
                <w:szCs w:val="32"/>
              </w:rPr>
            </m:ctrlPr>
          </m:sSubPr>
          <m:e>
            <m:bar>
              <m:barPr>
                <m:pos m:val="top"/>
                <m:ctrlPr>
                  <w:rPr>
                    <w:rFonts w:ascii="Cambria Math" w:eastAsia="仿宋" w:hAnsi="Cambria Math" w:cs="Times New Roman"/>
                    <w:sz w:val="32"/>
                    <w:szCs w:val="32"/>
                  </w:rPr>
                </m:ctrlPr>
              </m:barPr>
              <m:e>
                <m:r>
                  <w:rPr>
                    <w:rFonts w:ascii="Cambria Math" w:eastAsia="仿宋" w:hAnsi="Cambria Math" w:cs="Times New Roman"/>
                    <w:sz w:val="32"/>
                    <w:szCs w:val="32"/>
                  </w:rPr>
                  <m:t>LMA</m:t>
                </m:r>
              </m:e>
            </m:bar>
          </m:e>
          <m:sub>
            <m:r>
              <w:rPr>
                <w:rFonts w:ascii="Cambria Math" w:eastAsia="仿宋" w:hAnsi="Cambria Math" w:cs="Times New Roman"/>
                <w:sz w:val="32"/>
                <w:szCs w:val="32"/>
              </w:rPr>
              <m:t>i</m:t>
            </m:r>
          </m:sub>
        </m:sSub>
        <m:r>
          <m:rPr>
            <m:sty m:val="p"/>
          </m:rPr>
          <w:rPr>
            <w:rFonts w:ascii="Cambria Math" w:eastAsia="仿宋" w:hAnsi="Cambria Math" w:cs="Times New Roman"/>
            <w:sz w:val="32"/>
            <w:szCs w:val="32"/>
          </w:rPr>
          <m:t>-</m:t>
        </m:r>
        <m:r>
          <w:rPr>
            <w:rFonts w:ascii="Cambria Math" w:eastAsia="仿宋" w:hAnsi="Cambria Math" w:cs="Times New Roman"/>
            <w:sz w:val="32"/>
            <w:szCs w:val="32"/>
          </w:rPr>
          <m:t>LM</m:t>
        </m:r>
        <m:sSub>
          <m:sSubPr>
            <m:ctrlPr>
              <w:rPr>
                <w:rFonts w:ascii="Cambria Math" w:eastAsia="仿宋" w:hAnsi="Cambria Math" w:cs="Times New Roman"/>
                <w:sz w:val="32"/>
                <w:szCs w:val="32"/>
              </w:rPr>
            </m:ctrlPr>
          </m:sSubPr>
          <m:e>
            <m:r>
              <w:rPr>
                <w:rFonts w:ascii="Cambria Math" w:eastAsia="仿宋" w:hAnsi="Cambria Math" w:cs="Times New Roman"/>
                <w:sz w:val="32"/>
                <w:szCs w:val="32"/>
              </w:rPr>
              <m:t>A</m:t>
            </m:r>
          </m:e>
          <m:sub>
            <m:r>
              <w:rPr>
                <w:rFonts w:ascii="Cambria Math" w:eastAsia="仿宋" w:hAnsi="Cambria Math" w:cs="Times New Roman"/>
                <w:sz w:val="32"/>
                <w:szCs w:val="32"/>
              </w:rPr>
              <m:t>0i</m:t>
            </m:r>
          </m:sub>
        </m:sSub>
      </m:oMath>
      <w:r w:rsidRPr="008E1B47">
        <w:rPr>
          <w:rFonts w:eastAsia="仿宋" w:cs="Times New Roman"/>
          <w:sz w:val="32"/>
          <w:szCs w:val="32"/>
        </w:rPr>
        <w:t xml:space="preserve"> </w:t>
      </w:r>
      <w:r w:rsidRPr="008E1B47">
        <w:rPr>
          <w:rFonts w:eastAsia="仿宋" w:cs="Times New Roman"/>
          <w:sz w:val="32"/>
          <w:szCs w:val="32"/>
        </w:rPr>
        <w:t>中，</w:t>
      </w:r>
      <m:oMath>
        <m:sSub>
          <m:sSubPr>
            <m:ctrlPr>
              <w:rPr>
                <w:rFonts w:ascii="Cambria Math" w:eastAsia="仿宋" w:hAnsi="Cambria Math" w:cs="Times New Roman"/>
                <w:sz w:val="32"/>
                <w:szCs w:val="32"/>
              </w:rPr>
            </m:ctrlPr>
          </m:sSubPr>
          <m:e>
            <m:bar>
              <m:barPr>
                <m:pos m:val="top"/>
                <m:ctrlPr>
                  <w:rPr>
                    <w:rFonts w:ascii="Cambria Math" w:eastAsia="仿宋" w:hAnsi="Cambria Math" w:cs="Times New Roman"/>
                    <w:sz w:val="32"/>
                    <w:szCs w:val="32"/>
                  </w:rPr>
                </m:ctrlPr>
              </m:barPr>
              <m:e>
                <m:r>
                  <w:rPr>
                    <w:rFonts w:ascii="Cambria Math" w:eastAsia="仿宋" w:hAnsi="Cambria Math" w:cs="Times New Roman"/>
                    <w:sz w:val="32"/>
                    <w:szCs w:val="32"/>
                  </w:rPr>
                  <m:t>LMA</m:t>
                </m:r>
              </m:e>
            </m:bar>
          </m:e>
          <m:sub>
            <m:r>
              <w:rPr>
                <w:rFonts w:ascii="Cambria Math" w:eastAsia="仿宋" w:hAnsi="Cambria Math" w:cs="Times New Roman"/>
                <w:sz w:val="32"/>
                <w:szCs w:val="32"/>
              </w:rPr>
              <m:t>i</m:t>
            </m:r>
          </m:sub>
        </m:sSub>
      </m:oMath>
      <w:r w:rsidRPr="008E1B47">
        <w:rPr>
          <w:rFonts w:eastAsia="仿宋" w:cs="Times New Roman"/>
          <w:sz w:val="32"/>
          <w:szCs w:val="32"/>
        </w:rPr>
        <w:t>为仪器示值平均值，</w:t>
      </w:r>
      <m:oMath>
        <m:r>
          <w:rPr>
            <w:rFonts w:ascii="Cambria Math" w:eastAsia="仿宋" w:hAnsi="Cambria Math" w:cs="Times New Roman"/>
            <w:sz w:val="32"/>
            <w:szCs w:val="32"/>
          </w:rPr>
          <m:t>LM</m:t>
        </m:r>
        <m:sSub>
          <m:sSubPr>
            <m:ctrlPr>
              <w:rPr>
                <w:rFonts w:ascii="Cambria Math" w:eastAsia="仿宋" w:hAnsi="Cambria Math" w:cs="Times New Roman"/>
                <w:sz w:val="32"/>
                <w:szCs w:val="32"/>
              </w:rPr>
            </m:ctrlPr>
          </m:sSubPr>
          <m:e>
            <m:r>
              <w:rPr>
                <w:rFonts w:ascii="Cambria Math" w:eastAsia="仿宋" w:hAnsi="Cambria Math" w:cs="Times New Roman"/>
                <w:sz w:val="32"/>
                <w:szCs w:val="32"/>
              </w:rPr>
              <m:t>A</m:t>
            </m:r>
          </m:e>
          <m:sub>
            <m:r>
              <w:rPr>
                <w:rFonts w:ascii="Cambria Math" w:eastAsia="仿宋" w:hAnsi="Cambria Math" w:cs="Times New Roman"/>
                <w:sz w:val="32"/>
                <w:szCs w:val="32"/>
              </w:rPr>
              <m:t>0i</m:t>
            </m:r>
          </m:sub>
        </m:sSub>
      </m:oMath>
      <w:r w:rsidRPr="008E1B47">
        <w:rPr>
          <w:rFonts w:eastAsia="仿宋" w:cs="Times New Roman"/>
          <w:sz w:val="32"/>
          <w:szCs w:val="32"/>
        </w:rPr>
        <w:t>为标准样绳标称</w:t>
      </w:r>
      <w:r w:rsidRPr="008E1B47">
        <w:rPr>
          <w:rFonts w:eastAsia="仿宋" w:cs="Times New Roman"/>
          <w:sz w:val="32"/>
          <w:szCs w:val="32"/>
        </w:rPr>
        <w:t>LMA</w:t>
      </w:r>
      <w:r w:rsidRPr="008E1B47">
        <w:rPr>
          <w:rFonts w:eastAsia="仿宋" w:cs="Times New Roman"/>
          <w:sz w:val="32"/>
          <w:szCs w:val="32"/>
        </w:rPr>
        <w:t>值。</w:t>
      </w:r>
    </w:p>
    <w:p w:rsidR="00194388" w:rsidRPr="008E1B47" w:rsidRDefault="009F5E0F" w:rsidP="008E1B47">
      <w:pPr>
        <w:pStyle w:val="a0"/>
        <w:spacing w:before="0"/>
        <w:ind w:firstLine="640"/>
        <w:rPr>
          <w:rFonts w:eastAsia="仿宋" w:cs="Times New Roman"/>
          <w:sz w:val="32"/>
          <w:szCs w:val="32"/>
        </w:rPr>
      </w:pPr>
      <w:r w:rsidRPr="008E1B47">
        <w:rPr>
          <w:rFonts w:eastAsia="仿宋" w:cs="Times New Roman"/>
          <w:sz w:val="32"/>
          <w:szCs w:val="32"/>
        </w:rPr>
        <w:t>以上说明供审查时参考，正式发布前将统一校正。</w:t>
      </w:r>
      <w:bookmarkEnd w:id="0"/>
      <w:bookmarkEnd w:id="10"/>
      <w:bookmarkEnd w:id="18"/>
    </w:p>
    <w:sectPr w:rsidR="00194388" w:rsidRPr="008E1B47">
      <w:footerReference w:type="default" r:id="rId8"/>
      <w:pgSz w:w="11906" w:h="16838"/>
      <w:pgMar w:top="1440" w:right="1800" w:bottom="1440" w:left="180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DD0" w:rsidRDefault="00A62DD0">
      <w:pPr>
        <w:spacing w:line="240" w:lineRule="auto"/>
      </w:pPr>
      <w:r>
        <w:separator/>
      </w:r>
    </w:p>
  </w:endnote>
  <w:endnote w:type="continuationSeparator" w:id="0">
    <w:p w:rsidR="00A62DD0" w:rsidRDefault="00A62D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New Roman (正文 CS 字体)">
    <w:altName w:val="宋体"/>
    <w:charset w:val="86"/>
    <w:family w:val="roman"/>
    <w:pitch w:val="default"/>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3818139"/>
    </w:sdtPr>
    <w:sdtEndPr/>
    <w:sdtContent>
      <w:p w:rsidR="0063117C" w:rsidRDefault="009F5E0F">
        <w:pPr>
          <w:pStyle w:val="a7"/>
          <w:jc w:val="center"/>
        </w:pPr>
        <w:r>
          <w:fldChar w:fldCharType="begin"/>
        </w:r>
        <w:r>
          <w:instrText>PAGE   \* MERGEFORMAT</w:instrText>
        </w:r>
        <w:r>
          <w:fldChar w:fldCharType="separate"/>
        </w:r>
        <w:r w:rsidR="008E1B47" w:rsidRPr="008E1B47">
          <w:rPr>
            <w:noProof/>
            <w:lang w:val="zh-CN" w:eastAsia="zh-CN"/>
          </w:rPr>
          <w:t>8</w:t>
        </w:r>
        <w:r>
          <w:fldChar w:fldCharType="end"/>
        </w:r>
      </w:p>
    </w:sdtContent>
  </w:sdt>
  <w:p w:rsidR="0063117C" w:rsidRDefault="0063117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DD0" w:rsidRDefault="00A62DD0">
      <w:pPr>
        <w:spacing w:line="240" w:lineRule="auto"/>
      </w:pPr>
      <w:r>
        <w:separator/>
      </w:r>
    </w:p>
  </w:footnote>
  <w:footnote w:type="continuationSeparator" w:id="0">
    <w:p w:rsidR="00A62DD0" w:rsidRDefault="00A62DD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0"/>
    <w:multiLevelType w:val="multilevel"/>
    <w:tmpl w:val="0000A990"/>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nsid w:val="0000A991"/>
    <w:multiLevelType w:val="multilevel"/>
    <w:tmpl w:val="0000A991"/>
    <w:lvl w:ilvl="0">
      <w:numFmt w:val="bullet"/>
      <w:suff w:val="space"/>
      <w:lvlText w:val="•"/>
      <w:lvlJc w:val="left"/>
      <w:pPr>
        <w:ind w:left="0" w:firstLine="567"/>
      </w:pPr>
      <w:rPr>
        <w:rFonts w:ascii="微软雅黑" w:eastAsia="微软雅黑" w:hAnsi="微软雅黑" w:hint="eastAsia"/>
        <w:sz w:val="28"/>
      </w:rPr>
    </w:lvl>
    <w:lvl w:ilvl="1">
      <w:numFmt w:val="bullet"/>
      <w:suff w:val="space"/>
      <w:lvlText w:val=""/>
      <w:lvlJc w:val="left"/>
      <w:pPr>
        <w:ind w:left="567" w:firstLine="567"/>
      </w:pPr>
      <w:rPr>
        <w:rFonts w:ascii="Wingdings" w:hAnsi="Wingdings" w:hint="default"/>
        <w:sz w:val="28"/>
      </w:rPr>
    </w:lvl>
    <w:lvl w:ilvl="2">
      <w:numFmt w:val="bullet"/>
      <w:suff w:val="space"/>
      <w:lvlText w:val=""/>
      <w:lvlJc w:val="left"/>
      <w:pPr>
        <w:ind w:left="1134" w:firstLine="567"/>
      </w:pPr>
      <w:rPr>
        <w:rFonts w:ascii="Wingdings" w:hAnsi="Wingdings" w:hint="default"/>
        <w:sz w:val="28"/>
      </w:rPr>
    </w:lvl>
    <w:lvl w:ilvl="3">
      <w:numFmt w:val="bullet"/>
      <w:suff w:val="space"/>
      <w:lvlText w:val="•"/>
      <w:lvlJc w:val="left"/>
      <w:pPr>
        <w:ind w:left="1701" w:firstLine="567"/>
      </w:pPr>
      <w:rPr>
        <w:rFonts w:ascii="微软雅黑" w:eastAsia="微软雅黑" w:hAnsi="微软雅黑" w:hint="eastAsia"/>
        <w:sz w:val="28"/>
      </w:rPr>
    </w:lvl>
    <w:lvl w:ilvl="4">
      <w:numFmt w:val="bullet"/>
      <w:suff w:val="space"/>
      <w:lvlText w:val="•"/>
      <w:lvlJc w:val="left"/>
      <w:pPr>
        <w:ind w:left="2268" w:firstLine="567"/>
      </w:pPr>
      <w:rPr>
        <w:rFonts w:ascii="微软雅黑" w:eastAsia="微软雅黑" w:hAnsi="微软雅黑" w:hint="eastAsia"/>
        <w:sz w:val="28"/>
      </w:rPr>
    </w:lvl>
    <w:lvl w:ilvl="5">
      <w:numFmt w:val="bullet"/>
      <w:suff w:val="space"/>
      <w:lvlText w:val="•"/>
      <w:lvlJc w:val="left"/>
      <w:pPr>
        <w:ind w:left="2835" w:firstLine="567"/>
      </w:pPr>
      <w:rPr>
        <w:rFonts w:hint="eastAsia"/>
        <w:sz w:val="28"/>
      </w:rPr>
    </w:lvl>
    <w:lvl w:ilvl="6">
      <w:numFmt w:val="bullet"/>
      <w:suff w:val="space"/>
      <w:lvlText w:val="•"/>
      <w:lvlJc w:val="left"/>
      <w:pPr>
        <w:ind w:left="3402" w:firstLine="567"/>
      </w:pPr>
      <w:rPr>
        <w:rFonts w:hint="eastAsia"/>
        <w:sz w:val="28"/>
      </w:rPr>
    </w:lvl>
    <w:lvl w:ilvl="7">
      <w:numFmt w:val="bullet"/>
      <w:suff w:val="space"/>
      <w:lvlText w:val="•"/>
      <w:lvlJc w:val="left"/>
      <w:pPr>
        <w:ind w:left="3969" w:firstLine="567"/>
      </w:pPr>
      <w:rPr>
        <w:rFonts w:hint="eastAsia"/>
        <w:sz w:val="28"/>
      </w:rPr>
    </w:lvl>
    <w:lvl w:ilvl="8">
      <w:numFmt w:val="bullet"/>
      <w:suff w:val="space"/>
      <w:lvlText w:val="•"/>
      <w:lvlJc w:val="left"/>
      <w:pPr>
        <w:ind w:left="4536" w:firstLine="567"/>
      </w:pPr>
      <w:rPr>
        <w:rFonts w:hint="eastAsia"/>
        <w:sz w:val="28"/>
      </w:rPr>
    </w:lvl>
  </w:abstractNum>
  <w:abstractNum w:abstractNumId="2">
    <w:nsid w:val="00A99201"/>
    <w:multiLevelType w:val="multilevel"/>
    <w:tmpl w:val="00A99201"/>
    <w:lvl w:ilvl="0">
      <w:start w:val="1"/>
      <w:numFmt w:val="decimal"/>
      <w:suff w:val="space"/>
      <w:lvlText w:val="%1."/>
      <w:lvlJc w:val="right"/>
      <w:pPr>
        <w:ind w:left="0" w:firstLine="851"/>
      </w:pPr>
      <w:rPr>
        <w:rFonts w:hint="eastAsia"/>
      </w:rPr>
    </w:lvl>
    <w:lvl w:ilvl="1">
      <w:start w:val="1"/>
      <w:numFmt w:val="decimal"/>
      <w:suff w:val="space"/>
      <w:lvlText w:val="%2)"/>
      <w:lvlJc w:val="right"/>
      <w:pPr>
        <w:ind w:left="567" w:firstLine="851"/>
      </w:pPr>
      <w:rPr>
        <w:rFonts w:hint="eastAsia"/>
      </w:rPr>
    </w:lvl>
    <w:lvl w:ilvl="2">
      <w:start w:val="1"/>
      <w:numFmt w:val="upperLetter"/>
      <w:suff w:val="space"/>
      <w:lvlText w:val="%3."/>
      <w:lvlJc w:val="right"/>
      <w:pPr>
        <w:ind w:left="1134" w:firstLine="851"/>
      </w:pPr>
      <w:rPr>
        <w:rFonts w:hint="eastAsia"/>
      </w:rPr>
    </w:lvl>
    <w:lvl w:ilvl="3">
      <w:start w:val="1"/>
      <w:numFmt w:val="lowerLetter"/>
      <w:suff w:val="space"/>
      <w:lvlText w:val="%4."/>
      <w:lvlJc w:val="right"/>
      <w:pPr>
        <w:ind w:left="1701" w:firstLine="851"/>
      </w:pPr>
      <w:rPr>
        <w:rFonts w:hint="eastAsia"/>
      </w:rPr>
    </w:lvl>
    <w:lvl w:ilvl="4">
      <w:start w:val="1"/>
      <w:numFmt w:val="decimal"/>
      <w:suff w:val="space"/>
      <w:lvlText w:val="%5."/>
      <w:lvlJc w:val="right"/>
      <w:pPr>
        <w:ind w:left="2268" w:firstLine="851"/>
      </w:pPr>
      <w:rPr>
        <w:rFonts w:hint="eastAsia"/>
      </w:rPr>
    </w:lvl>
    <w:lvl w:ilvl="5">
      <w:start w:val="1"/>
      <w:numFmt w:val="decimal"/>
      <w:suff w:val="space"/>
      <w:lvlText w:val="%6)"/>
      <w:lvlJc w:val="right"/>
      <w:pPr>
        <w:ind w:left="2835" w:firstLine="851"/>
      </w:pPr>
      <w:rPr>
        <w:rFonts w:hint="eastAsia"/>
      </w:rPr>
    </w:lvl>
    <w:lvl w:ilvl="6">
      <w:start w:val="1"/>
      <w:numFmt w:val="upperLetter"/>
      <w:suff w:val="space"/>
      <w:lvlText w:val="%7."/>
      <w:lvlJc w:val="right"/>
      <w:pPr>
        <w:ind w:left="3402" w:firstLine="851"/>
      </w:pPr>
      <w:rPr>
        <w:rFonts w:hint="eastAsia"/>
      </w:rPr>
    </w:lvl>
    <w:lvl w:ilvl="7">
      <w:start w:val="1"/>
      <w:numFmt w:val="lowerLetter"/>
      <w:suff w:val="space"/>
      <w:lvlText w:val="%8."/>
      <w:lvlJc w:val="right"/>
      <w:pPr>
        <w:ind w:left="3969" w:firstLine="851"/>
      </w:pPr>
      <w:rPr>
        <w:rFonts w:hint="eastAsia"/>
      </w:rPr>
    </w:lvl>
    <w:lvl w:ilvl="8">
      <w:start w:val="1"/>
      <w:numFmt w:val="lowerRoman"/>
      <w:suff w:val="space"/>
      <w:lvlText w:val="%9."/>
      <w:lvlJc w:val="right"/>
      <w:pPr>
        <w:ind w:left="4536" w:firstLine="851"/>
      </w:pPr>
      <w:rPr>
        <w:rFonts w:hint="eastAsia"/>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num>
  <w:num w:numId="13">
    <w:abstractNumId w:val="1"/>
  </w:num>
  <w:num w:numId="14">
    <w:abstractNumId w:val="1"/>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45B"/>
    <w:rsid w:val="00025AF3"/>
    <w:rsid w:val="00047E47"/>
    <w:rsid w:val="00055426"/>
    <w:rsid w:val="00087D78"/>
    <w:rsid w:val="00091BE4"/>
    <w:rsid w:val="00113CC5"/>
    <w:rsid w:val="0017089F"/>
    <w:rsid w:val="00194388"/>
    <w:rsid w:val="001B6BBA"/>
    <w:rsid w:val="001D786D"/>
    <w:rsid w:val="00221DDC"/>
    <w:rsid w:val="002C5429"/>
    <w:rsid w:val="002D5FFF"/>
    <w:rsid w:val="002F133B"/>
    <w:rsid w:val="00323C90"/>
    <w:rsid w:val="0033595C"/>
    <w:rsid w:val="00382843"/>
    <w:rsid w:val="00482A2A"/>
    <w:rsid w:val="00515C81"/>
    <w:rsid w:val="005C5C9E"/>
    <w:rsid w:val="00620234"/>
    <w:rsid w:val="0062126C"/>
    <w:rsid w:val="0063117C"/>
    <w:rsid w:val="006747B6"/>
    <w:rsid w:val="00683C59"/>
    <w:rsid w:val="006B564A"/>
    <w:rsid w:val="007B7F35"/>
    <w:rsid w:val="007F1979"/>
    <w:rsid w:val="007F29BC"/>
    <w:rsid w:val="008E1B47"/>
    <w:rsid w:val="008F4924"/>
    <w:rsid w:val="009013F6"/>
    <w:rsid w:val="009149B5"/>
    <w:rsid w:val="009555FF"/>
    <w:rsid w:val="00970C9D"/>
    <w:rsid w:val="00977B74"/>
    <w:rsid w:val="009E3952"/>
    <w:rsid w:val="009F5E0F"/>
    <w:rsid w:val="00A02DA1"/>
    <w:rsid w:val="00A14FF3"/>
    <w:rsid w:val="00A62DD0"/>
    <w:rsid w:val="00AA1B8B"/>
    <w:rsid w:val="00AB21C4"/>
    <w:rsid w:val="00AF14BC"/>
    <w:rsid w:val="00B25A83"/>
    <w:rsid w:val="00BB0144"/>
    <w:rsid w:val="00BC0B3A"/>
    <w:rsid w:val="00BD4F7D"/>
    <w:rsid w:val="00BF6B73"/>
    <w:rsid w:val="00C00C92"/>
    <w:rsid w:val="00C06AC9"/>
    <w:rsid w:val="00C214C8"/>
    <w:rsid w:val="00C47116"/>
    <w:rsid w:val="00C63491"/>
    <w:rsid w:val="00D14922"/>
    <w:rsid w:val="00D83FFB"/>
    <w:rsid w:val="00DC0840"/>
    <w:rsid w:val="00DC6394"/>
    <w:rsid w:val="00E1645B"/>
    <w:rsid w:val="00E44B39"/>
    <w:rsid w:val="00E56281"/>
    <w:rsid w:val="00EC19F7"/>
    <w:rsid w:val="00FC335F"/>
    <w:rsid w:val="00FE1EFD"/>
    <w:rsid w:val="04D35E52"/>
    <w:rsid w:val="07B93491"/>
    <w:rsid w:val="367E3A4E"/>
    <w:rsid w:val="380A4A6F"/>
    <w:rsid w:val="444A6219"/>
    <w:rsid w:val="51BB0241"/>
    <w:rsid w:val="5A365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footnote text" w:uiPriority="9" w:unhideWhenUsed="1" w:qFormat="1"/>
    <w:lsdException w:name="header" w:qFormat="1"/>
    <w:lsdException w:name="footer" w:uiPriority="99" w:qFormat="1"/>
    <w:lsdException w:name="caption" w:qFormat="1"/>
    <w:lsdException w:name="footnote reference" w:qFormat="1"/>
    <w:lsdException w:name="Title" w:qFormat="1"/>
    <w:lsdException w:name="Default Paragraph Font" w:semiHidden="1" w:uiPriority="1" w:unhideWhenUsed="1"/>
    <w:lsdException w:name="Body Text" w:qFormat="1"/>
    <w:lsdException w:name="Subtitle" w:qFormat="1"/>
    <w:lsdException w:name="Date" w:qFormat="1"/>
    <w:lsdException w:name="Block Text" w:uiPriority="9" w:unhideWhenUsed="1" w:qFormat="1"/>
    <w:lsdException w:name="Hyperlink"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pacing w:line="360" w:lineRule="auto"/>
    </w:pPr>
    <w:rPr>
      <w:rFonts w:ascii="Times New Roman" w:eastAsia="宋体" w:hAnsi="Times New Roman"/>
      <w:sz w:val="24"/>
      <w:szCs w:val="24"/>
      <w:lang w:eastAsia="en-US"/>
    </w:rPr>
  </w:style>
  <w:style w:type="paragraph" w:styleId="1">
    <w:name w:val="heading 1"/>
    <w:basedOn w:val="a"/>
    <w:next w:val="a0"/>
    <w:autoRedefine/>
    <w:uiPriority w:val="9"/>
    <w:qFormat/>
    <w:pPr>
      <w:keepNext/>
      <w:keepLines/>
      <w:pageBreakBefore/>
      <w:spacing w:before="480"/>
      <w:jc w:val="center"/>
      <w:outlineLvl w:val="0"/>
    </w:pPr>
    <w:rPr>
      <w:rFonts w:eastAsia="黑体" w:cstheme="majorBidi"/>
      <w:b/>
      <w:bCs/>
      <w:sz w:val="36"/>
      <w:szCs w:val="32"/>
    </w:rPr>
  </w:style>
  <w:style w:type="paragraph" w:styleId="2">
    <w:name w:val="heading 2"/>
    <w:basedOn w:val="a"/>
    <w:next w:val="a0"/>
    <w:uiPriority w:val="9"/>
    <w:unhideWhenUsed/>
    <w:qFormat/>
    <w:pPr>
      <w:keepNext/>
      <w:keepLines/>
      <w:spacing w:before="300"/>
      <w:outlineLvl w:val="1"/>
    </w:pPr>
    <w:rPr>
      <w:rFonts w:eastAsia="黑体" w:cstheme="majorBidi"/>
      <w:b/>
      <w:bCs/>
      <w:sz w:val="32"/>
      <w:szCs w:val="32"/>
    </w:rPr>
  </w:style>
  <w:style w:type="paragraph" w:styleId="3">
    <w:name w:val="heading 3"/>
    <w:basedOn w:val="a"/>
    <w:next w:val="a0"/>
    <w:uiPriority w:val="9"/>
    <w:unhideWhenUsed/>
    <w:qFormat/>
    <w:pPr>
      <w:keepNext/>
      <w:keepLines/>
      <w:spacing w:before="200"/>
      <w:outlineLvl w:val="2"/>
    </w:pPr>
    <w:rPr>
      <w:rFonts w:asciiTheme="majorHAnsi" w:eastAsia="黑体" w:hAnsiTheme="majorHAnsi" w:cstheme="majorBidi"/>
      <w:b/>
      <w:bCs/>
      <w:sz w:val="26"/>
      <w:szCs w:val="28"/>
    </w:rPr>
  </w:style>
  <w:style w:type="paragraph" w:styleId="4">
    <w:name w:val="heading 4"/>
    <w:basedOn w:val="a"/>
    <w:next w:val="a0"/>
    <w:uiPriority w:val="9"/>
    <w:unhideWhenUsed/>
    <w:qFormat/>
    <w:pPr>
      <w:keepNext/>
      <w:keepLines/>
      <w:spacing w:before="200"/>
      <w:outlineLvl w:val="3"/>
    </w:pPr>
    <w:rPr>
      <w:rFonts w:asciiTheme="majorHAnsi" w:eastAsia="黑体" w:hAnsiTheme="majorHAnsi" w:cstheme="majorBidi"/>
      <w:bCs/>
    </w:rPr>
  </w:style>
  <w:style w:type="paragraph" w:styleId="5">
    <w:name w:val="heading 5"/>
    <w:basedOn w:val="a"/>
    <w:next w:val="a0"/>
    <w:uiPriority w:val="9"/>
    <w:unhideWhenUsed/>
    <w:qFormat/>
    <w:pPr>
      <w:keepNext/>
      <w:keepLines/>
      <w:spacing w:before="200"/>
      <w:outlineLvl w:val="4"/>
    </w:pPr>
    <w:rPr>
      <w:rFonts w:asciiTheme="majorHAnsi" w:eastAsia="黑体" w:hAnsiTheme="majorHAnsi" w:cstheme="majorBidi"/>
      <w:iCs/>
    </w:rPr>
  </w:style>
  <w:style w:type="paragraph" w:styleId="6">
    <w:name w:val="heading 6"/>
    <w:basedOn w:val="a"/>
    <w:next w:val="a0"/>
    <w:uiPriority w:val="9"/>
    <w:unhideWhenUsed/>
    <w:qFormat/>
    <w:pPr>
      <w:keepNext/>
      <w:keepLines/>
      <w:spacing w:before="200"/>
      <w:outlineLvl w:val="5"/>
    </w:pPr>
    <w:rPr>
      <w:rFonts w:asciiTheme="majorHAnsi" w:eastAsia="黑体" w:hAnsiTheme="majorHAnsi" w:cstheme="majorBidi"/>
    </w:rPr>
  </w:style>
  <w:style w:type="paragraph" w:styleId="7">
    <w:name w:val="heading 7"/>
    <w:basedOn w:val="a"/>
    <w:next w:val="a0"/>
    <w:uiPriority w:val="9"/>
    <w:unhideWhenUsed/>
    <w:qFormat/>
    <w:pPr>
      <w:keepNext/>
      <w:keepLines/>
      <w:spacing w:before="20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FirstParagraph"/>
    <w:link w:val="Char"/>
    <w:qFormat/>
  </w:style>
  <w:style w:type="paragraph" w:customStyle="1" w:styleId="FirstParagraph">
    <w:name w:val="First Paragraph"/>
    <w:basedOn w:val="a"/>
    <w:next w:val="a0"/>
    <w:qFormat/>
    <w:pPr>
      <w:spacing w:before="180"/>
      <w:ind w:firstLineChars="200" w:firstLine="480"/>
    </w:pPr>
    <w:rPr>
      <w:rFonts w:eastAsia="Cambria Math"/>
      <w:lang w:eastAsia="zh-CN"/>
    </w:rPr>
  </w:style>
  <w:style w:type="paragraph" w:styleId="a4">
    <w:name w:val="caption"/>
    <w:basedOn w:val="a"/>
    <w:link w:val="Char0"/>
    <w:qFormat/>
    <w:pPr>
      <w:spacing w:after="120"/>
      <w:jc w:val="center"/>
    </w:pPr>
  </w:style>
  <w:style w:type="paragraph" w:styleId="a5">
    <w:name w:val="Block Text"/>
    <w:basedOn w:val="a"/>
    <w:uiPriority w:val="9"/>
    <w:unhideWhenUsed/>
    <w:qFormat/>
    <w:pPr>
      <w:pBdr>
        <w:left w:val="single" w:sz="48" w:space="4" w:color="BFBFBF" w:themeColor="background1" w:themeShade="BF"/>
      </w:pBdr>
      <w:spacing w:before="100"/>
      <w:ind w:leftChars="200" w:left="200" w:rightChars="100" w:right="100"/>
    </w:pPr>
    <w:rPr>
      <w:rFonts w:eastAsiaTheme="minorEastAsia"/>
      <w:lang w:eastAsia="zh-CN"/>
    </w:rPr>
  </w:style>
  <w:style w:type="paragraph" w:styleId="a6">
    <w:name w:val="Date"/>
    <w:next w:val="a0"/>
    <w:qFormat/>
    <w:pPr>
      <w:keepNext/>
      <w:keepLines/>
      <w:spacing w:after="200"/>
      <w:jc w:val="center"/>
    </w:pPr>
    <w:rPr>
      <w:sz w:val="24"/>
      <w:szCs w:val="24"/>
      <w:lang w:eastAsia="en-US"/>
    </w:rPr>
  </w:style>
  <w:style w:type="paragraph" w:styleId="a7">
    <w:name w:val="footer"/>
    <w:basedOn w:val="a"/>
    <w:link w:val="Char1"/>
    <w:uiPriority w:val="99"/>
    <w:qFormat/>
    <w:pPr>
      <w:tabs>
        <w:tab w:val="center" w:pos="4153"/>
        <w:tab w:val="right" w:pos="8306"/>
      </w:tabs>
      <w:snapToGrid w:val="0"/>
    </w:pPr>
    <w:rPr>
      <w:sz w:val="18"/>
      <w:szCs w:val="18"/>
    </w:rPr>
  </w:style>
  <w:style w:type="paragraph" w:styleId="a8">
    <w:name w:val="header"/>
    <w:basedOn w:val="a"/>
    <w:link w:val="Char2"/>
    <w:qFormat/>
    <w:pPr>
      <w:tabs>
        <w:tab w:val="center" w:pos="4153"/>
        <w:tab w:val="right" w:pos="8306"/>
      </w:tabs>
      <w:snapToGrid w:val="0"/>
      <w:jc w:val="center"/>
    </w:pPr>
    <w:rPr>
      <w:sz w:val="18"/>
      <w:szCs w:val="18"/>
    </w:rPr>
  </w:style>
  <w:style w:type="paragraph" w:styleId="a9">
    <w:name w:val="Subtitle"/>
    <w:basedOn w:val="aa"/>
    <w:next w:val="a0"/>
    <w:qFormat/>
    <w:pPr>
      <w:spacing w:before="240"/>
    </w:pPr>
    <w:rPr>
      <w:sz w:val="30"/>
      <w:szCs w:val="30"/>
    </w:rPr>
  </w:style>
  <w:style w:type="paragraph" w:styleId="aa">
    <w:name w:val="Title"/>
    <w:basedOn w:val="a"/>
    <w:next w:val="a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b">
    <w:name w:val="footnote text"/>
    <w:basedOn w:val="a"/>
    <w:uiPriority w:val="9"/>
    <w:unhideWhenUsed/>
    <w:qFormat/>
  </w:style>
  <w:style w:type="character" w:styleId="ac">
    <w:name w:val="Hyperlink"/>
    <w:basedOn w:val="Char0"/>
    <w:qFormat/>
    <w:rPr>
      <w:rFonts w:ascii="Times New Roman" w:eastAsia="宋体" w:hAnsi="Times New Roman"/>
      <w:color w:val="0070C0"/>
    </w:rPr>
  </w:style>
  <w:style w:type="character" w:customStyle="1" w:styleId="Char0">
    <w:name w:val="题注 Char"/>
    <w:basedOn w:val="a1"/>
    <w:link w:val="a4"/>
    <w:qFormat/>
    <w:rPr>
      <w:rFonts w:ascii="Times New Roman" w:eastAsia="宋体" w:hAnsi="Times New Roman"/>
    </w:rPr>
  </w:style>
  <w:style w:type="character" w:styleId="ad">
    <w:name w:val="footnote reference"/>
    <w:basedOn w:val="Char0"/>
    <w:qFormat/>
    <w:rPr>
      <w:rFonts w:ascii="Times New Roman" w:eastAsia="宋体" w:hAnsi="Times New Roman"/>
      <w:vertAlign w:val="superscript"/>
    </w:rPr>
  </w:style>
  <w:style w:type="paragraph" w:customStyle="1" w:styleId="Compact">
    <w:name w:val="Compact"/>
    <w:basedOn w:val="a0"/>
    <w:qFormat/>
    <w:pPr>
      <w:spacing w:before="60" w:after="60"/>
      <w:ind w:firstLineChars="0" w:firstLine="0"/>
    </w:pPr>
  </w:style>
  <w:style w:type="paragraph" w:customStyle="1" w:styleId="Author">
    <w:name w:val="Author"/>
    <w:next w:val="a0"/>
    <w:qFormat/>
    <w:pPr>
      <w:keepNext/>
      <w:keepLines/>
      <w:spacing w:after="200"/>
      <w:jc w:val="center"/>
    </w:pPr>
    <w:rPr>
      <w:sz w:val="24"/>
      <w:szCs w:val="24"/>
      <w:lang w:eastAsia="en-US"/>
    </w:rPr>
  </w:style>
  <w:style w:type="paragraph" w:customStyle="1" w:styleId="Abstract">
    <w:name w:val="Abstract"/>
    <w:basedOn w:val="a"/>
    <w:next w:val="a0"/>
    <w:qFormat/>
    <w:pPr>
      <w:keepNext/>
      <w:keepLines/>
      <w:spacing w:before="300" w:after="300"/>
    </w:pPr>
    <w:rPr>
      <w:sz w:val="20"/>
      <w:szCs w:val="20"/>
    </w:rPr>
  </w:style>
  <w:style w:type="paragraph" w:customStyle="1" w:styleId="10">
    <w:name w:val="书目1"/>
    <w:basedOn w:val="a"/>
    <w:qFormat/>
    <w:pPr>
      <w:tabs>
        <w:tab w:val="left" w:pos="384"/>
      </w:tabs>
      <w:spacing w:line="240" w:lineRule="auto"/>
      <w:ind w:left="200" w:hangingChars="200" w:hanging="200"/>
    </w:pPr>
    <w:rPr>
      <w:rFonts w:ascii="Cambria Math" w:hAnsi="Cambria Math"/>
    </w:rPr>
  </w:style>
  <w:style w:type="table" w:customStyle="1" w:styleId="Table">
    <w:name w:val="Table"/>
    <w:semiHidden/>
    <w:unhideWhenUsed/>
    <w:qFormat/>
    <w:pPr>
      <w:jc w:val="center"/>
    </w:pPr>
    <w:rPr>
      <w:rFonts w:ascii="Times New Roman" w:eastAsia="宋体" w:hAnsi="Times New Roman"/>
    </w:rPr>
    <w:tblPr>
      <w:jc w:val="center"/>
      <w:tblBorders>
        <w:top w:val="single" w:sz="12" w:space="0" w:color="auto"/>
        <w:bottom w:val="single" w:sz="12" w:space="0" w:color="auto"/>
      </w:tblBorders>
      <w:tblCellMar>
        <w:top w:w="0" w:type="dxa"/>
        <w:left w:w="108" w:type="dxa"/>
        <w:bottom w:w="0" w:type="dxa"/>
        <w:right w:w="108" w:type="dxa"/>
      </w:tblCellMar>
    </w:tblPr>
    <w:trPr>
      <w:jc w:val="center"/>
    </w:trPr>
    <w:tcPr>
      <w:vAlign w:val="center"/>
    </w:tcPr>
    <w:tblStylePr w:type="firstRow">
      <w:rPr>
        <w:rFonts w:eastAsia="宋体"/>
        <w:b/>
        <w:i w:val="0"/>
      </w:rPr>
      <w:tblPr/>
      <w:tcPr>
        <w:tcBorders>
          <w:bottom w:val="single" w:sz="4" w:space="0" w:color="auto"/>
        </w:tcBorders>
      </w:tcPr>
    </w:tblStylePr>
  </w:style>
  <w:style w:type="paragraph" w:customStyle="1" w:styleId="DefinitionTerm">
    <w:name w:val="Definition Term"/>
    <w:basedOn w:val="a"/>
    <w:next w:val="Definition"/>
    <w:qFormat/>
    <w:pPr>
      <w:keepNext/>
      <w:keepLines/>
    </w:pPr>
    <w:rPr>
      <w:b/>
    </w:rPr>
  </w:style>
  <w:style w:type="paragraph" w:customStyle="1" w:styleId="Definition">
    <w:name w:val="Definition"/>
    <w:basedOn w:val="a"/>
    <w:qFormat/>
  </w:style>
  <w:style w:type="paragraph" w:customStyle="1" w:styleId="TableCaption">
    <w:name w:val="Table Caption"/>
    <w:basedOn w:val="a4"/>
    <w:qFormat/>
    <w:pPr>
      <w:keepNext/>
    </w:pPr>
  </w:style>
  <w:style w:type="paragraph" w:customStyle="1" w:styleId="ImageCaption">
    <w:name w:val="Image Caption"/>
    <w:basedOn w:val="a4"/>
    <w:qFormat/>
  </w:style>
  <w:style w:type="paragraph" w:customStyle="1" w:styleId="Figure">
    <w:name w:val="Figure"/>
    <w:basedOn w:val="a"/>
    <w:qFormat/>
  </w:style>
  <w:style w:type="paragraph" w:customStyle="1" w:styleId="CaptionedFigure">
    <w:name w:val="Captioned Figure"/>
    <w:basedOn w:val="Figure"/>
    <w:qFormat/>
    <w:pPr>
      <w:keepNext/>
    </w:pPr>
  </w:style>
  <w:style w:type="character" w:customStyle="1" w:styleId="VerbatimChar">
    <w:name w:val="Verbatim Char"/>
    <w:basedOn w:val="Char0"/>
    <w:link w:val="SourceCode"/>
    <w:qFormat/>
    <w:rPr>
      <w:rFonts w:ascii="宋体" w:eastAsia="宋体" w:hAnsi="宋体" w:cs="Times New Roman (正文 CS 字体)"/>
      <w:color w:val="404040" w:themeColor="text1" w:themeTint="BF"/>
      <w:sz w:val="21"/>
      <w:shd w:val="solid" w:color="F3F4F4" w:fill="F2F2F2" w:themeFill="background1" w:themeFillShade="F2"/>
      <w:lang w:eastAsia="zh-CN"/>
    </w:rPr>
  </w:style>
  <w:style w:type="paragraph" w:customStyle="1" w:styleId="SourceCode">
    <w:name w:val="Source Code"/>
    <w:basedOn w:val="a"/>
    <w:link w:val="VerbatimChar"/>
    <w:qFormat/>
    <w:pPr>
      <w:pBdr>
        <w:top w:val="single" w:sz="8" w:space="10" w:color="BFBFBF" w:themeColor="background1" w:themeShade="BF"/>
        <w:left w:val="single" w:sz="8" w:space="10" w:color="BFBFBF" w:themeColor="background1" w:themeShade="BF"/>
        <w:bottom w:val="single" w:sz="8" w:space="10" w:color="BFBFBF" w:themeColor="background1" w:themeShade="BF"/>
        <w:right w:val="single" w:sz="8" w:space="10" w:color="BFBFBF" w:themeColor="background1" w:themeShade="BF"/>
      </w:pBdr>
      <w:shd w:val="solid" w:color="F3F4F4" w:fill="F2F2F2" w:themeFill="background1" w:themeFillShade="F2"/>
      <w:wordWrap w:val="0"/>
      <w:ind w:leftChars="300" w:left="300"/>
    </w:pPr>
    <w:rPr>
      <w:rFonts w:ascii="宋体" w:hAnsi="宋体" w:cs="Times New Roman (正文 CS 字体)"/>
      <w:color w:val="404040" w:themeColor="text1" w:themeTint="BF"/>
      <w:sz w:val="21"/>
      <w:shd w:val="pct5" w:color="auto" w:fill="auto"/>
      <w:lang w:eastAsia="zh-CN"/>
    </w:rPr>
  </w:style>
  <w:style w:type="paragraph" w:customStyle="1" w:styleId="TOC1">
    <w:name w:val="TOC 标题1"/>
    <w:basedOn w:val="1"/>
    <w:next w:val="a0"/>
    <w:uiPriority w:val="39"/>
    <w:unhideWhenUsed/>
    <w:qFormat/>
    <w:pPr>
      <w:spacing w:before="240" w:line="259" w:lineRule="auto"/>
      <w:outlineLvl w:val="9"/>
    </w:pPr>
    <w:rPr>
      <w:b w:val="0"/>
      <w:bCs w:val="0"/>
      <w:color w:val="365F91" w:themeColor="accent1" w:themeShade="BF"/>
    </w:rPr>
  </w:style>
  <w:style w:type="character" w:customStyle="1" w:styleId="Char">
    <w:name w:val="正文文本 Char"/>
    <w:basedOn w:val="a1"/>
    <w:link w:val="a0"/>
    <w:qFormat/>
    <w:rPr>
      <w:rFonts w:ascii="Cambria Math" w:eastAsia="Cambria Math" w:hAnsi="Cambria Math"/>
      <w:lang w:eastAsia="zh-CN"/>
    </w:rPr>
  </w:style>
  <w:style w:type="character" w:customStyle="1" w:styleId="Char2">
    <w:name w:val="页眉 Char"/>
    <w:basedOn w:val="a1"/>
    <w:link w:val="a8"/>
    <w:qFormat/>
    <w:rPr>
      <w:sz w:val="18"/>
      <w:szCs w:val="18"/>
    </w:rPr>
  </w:style>
  <w:style w:type="character" w:customStyle="1" w:styleId="Char1">
    <w:name w:val="页脚 Char"/>
    <w:basedOn w:val="a1"/>
    <w:link w:val="a7"/>
    <w:uiPriority w:val="99"/>
    <w:qFormat/>
    <w:rPr>
      <w:sz w:val="18"/>
      <w:szCs w:val="18"/>
    </w:rPr>
  </w:style>
  <w:style w:type="paragraph" w:customStyle="1" w:styleId="ae">
    <w:name w:val="图片"/>
    <w:basedOn w:val="FirstParagraph"/>
    <w:qFormat/>
    <w:pPr>
      <w:keepNext/>
      <w:jc w:val="center"/>
    </w:pPr>
  </w:style>
  <w:style w:type="paragraph" w:customStyle="1" w:styleId="Compact10071">
    <w:name w:val="样式 Compact + 10 磅 首行缩进:  0.71 厘米"/>
    <w:basedOn w:val="Compact"/>
    <w:qFormat/>
    <w:rPr>
      <w:rFonts w:cs="宋体"/>
      <w:sz w:val="20"/>
      <w:szCs w:val="20"/>
    </w:rPr>
  </w:style>
  <w:style w:type="paragraph" w:customStyle="1" w:styleId="Compact100710">
    <w:name w:val="样式 Compact + 10 磅 加粗 首行缩进:  0.71 厘米"/>
    <w:basedOn w:val="Compact"/>
    <w:qFormat/>
    <w:rPr>
      <w:rFonts w:cs="宋体"/>
      <w:bCs/>
      <w:sz w:val="20"/>
      <w:szCs w:val="20"/>
    </w:rPr>
  </w:style>
  <w:style w:type="paragraph" w:customStyle="1" w:styleId="img">
    <w:name w:val="img"/>
    <w:basedOn w:val="a"/>
    <w:qFormat/>
    <w:pPr>
      <w:jc w:val="center"/>
    </w:pPr>
    <w:rPr>
      <w:lang w:eastAsia="zh-CN"/>
    </w:rPr>
  </w:style>
  <w:style w:type="paragraph" w:customStyle="1" w:styleId="11">
    <w:name w:val="样式1"/>
    <w:basedOn w:val="a0"/>
    <w:link w:val="12"/>
    <w:qFormat/>
    <w:rPr>
      <w:rFonts w:cs="Times New Roman"/>
    </w:rPr>
  </w:style>
  <w:style w:type="character" w:customStyle="1" w:styleId="12">
    <w:name w:val="样式1 字符"/>
    <w:basedOn w:val="Char"/>
    <w:link w:val="11"/>
    <w:rPr>
      <w:rFonts w:ascii="Times New Roman" w:eastAsia="Cambria Math" w:hAnsi="Times New Roman" w:cs="Times New Roman"/>
      <w:sz w:val="24"/>
      <w:szCs w:val="24"/>
      <w:lang w:eastAsia="zh-CN"/>
    </w:rPr>
  </w:style>
  <w:style w:type="character" w:customStyle="1" w:styleId="KeywordTok">
    <w:name w:val="KeywordTok"/>
    <w:basedOn w:val="VerbatimChar"/>
    <w:rPr>
      <w:rFonts w:ascii="宋体" w:eastAsia="宋体" w:hAnsi="宋体" w:cs="Times New Roman (正文 CS 字体)"/>
      <w:b/>
      <w:color w:val="007020"/>
      <w:sz w:val="21"/>
      <w:shd w:val="solid" w:color="F3F4F4" w:fill="F2F2F2" w:themeFill="background1" w:themeFillShade="F2"/>
      <w:lang w:eastAsia="zh-CN"/>
    </w:rPr>
  </w:style>
  <w:style w:type="character" w:customStyle="1" w:styleId="DataTypeTok">
    <w:name w:val="DataTypeTok"/>
    <w:basedOn w:val="VerbatimChar"/>
    <w:rPr>
      <w:rFonts w:ascii="宋体" w:eastAsia="宋体" w:hAnsi="宋体" w:cs="Times New Roman (正文 CS 字体)"/>
      <w:color w:val="902000"/>
      <w:sz w:val="21"/>
      <w:shd w:val="solid" w:color="F3F4F4" w:fill="F2F2F2" w:themeFill="background1" w:themeFillShade="F2"/>
      <w:lang w:eastAsia="zh-CN"/>
    </w:rPr>
  </w:style>
  <w:style w:type="character" w:customStyle="1" w:styleId="DecValTok">
    <w:name w:val="DecValTok"/>
    <w:basedOn w:val="VerbatimChar"/>
    <w:rPr>
      <w:rFonts w:ascii="宋体" w:eastAsia="宋体" w:hAnsi="宋体" w:cs="Times New Roman (正文 CS 字体)"/>
      <w:color w:val="40A070"/>
      <w:sz w:val="21"/>
      <w:shd w:val="solid" w:color="F3F4F4" w:fill="F2F2F2" w:themeFill="background1" w:themeFillShade="F2"/>
      <w:lang w:eastAsia="zh-CN"/>
    </w:rPr>
  </w:style>
  <w:style w:type="character" w:customStyle="1" w:styleId="BaseNTok">
    <w:name w:val="BaseNTok"/>
    <w:basedOn w:val="VerbatimChar"/>
    <w:rPr>
      <w:rFonts w:ascii="宋体" w:eastAsia="宋体" w:hAnsi="宋体" w:cs="Times New Roman (正文 CS 字体)"/>
      <w:color w:val="40A070"/>
      <w:sz w:val="21"/>
      <w:shd w:val="solid" w:color="F3F4F4" w:fill="F2F2F2" w:themeFill="background1" w:themeFillShade="F2"/>
      <w:lang w:eastAsia="zh-CN"/>
    </w:rPr>
  </w:style>
  <w:style w:type="character" w:customStyle="1" w:styleId="FloatTok">
    <w:name w:val="FloatTok"/>
    <w:basedOn w:val="VerbatimChar"/>
    <w:rPr>
      <w:rFonts w:ascii="宋体" w:eastAsia="宋体" w:hAnsi="宋体" w:cs="Times New Roman (正文 CS 字体)"/>
      <w:color w:val="40A070"/>
      <w:sz w:val="21"/>
      <w:shd w:val="solid" w:color="F3F4F4" w:fill="F2F2F2" w:themeFill="background1" w:themeFillShade="F2"/>
      <w:lang w:eastAsia="zh-CN"/>
    </w:rPr>
  </w:style>
  <w:style w:type="character" w:customStyle="1" w:styleId="ConstantTok">
    <w:name w:val="ConstantTok"/>
    <w:basedOn w:val="VerbatimChar"/>
    <w:rPr>
      <w:rFonts w:ascii="宋体" w:eastAsia="宋体" w:hAnsi="宋体" w:cs="Times New Roman (正文 CS 字体)"/>
      <w:color w:val="880000"/>
      <w:sz w:val="21"/>
      <w:shd w:val="solid" w:color="F3F4F4" w:fill="F2F2F2" w:themeFill="background1" w:themeFillShade="F2"/>
      <w:lang w:eastAsia="zh-CN"/>
    </w:rPr>
  </w:style>
  <w:style w:type="character" w:customStyle="1" w:styleId="CharTok">
    <w:name w:val="CharTok"/>
    <w:basedOn w:val="VerbatimChar"/>
    <w:rPr>
      <w:rFonts w:ascii="宋体" w:eastAsia="宋体" w:hAnsi="宋体" w:cs="Times New Roman (正文 CS 字体)"/>
      <w:color w:val="4070A0"/>
      <w:sz w:val="21"/>
      <w:shd w:val="solid" w:color="F3F4F4" w:fill="F2F2F2" w:themeFill="background1" w:themeFillShade="F2"/>
      <w:lang w:eastAsia="zh-CN"/>
    </w:rPr>
  </w:style>
  <w:style w:type="character" w:customStyle="1" w:styleId="SpecialCharTok">
    <w:name w:val="SpecialCharTok"/>
    <w:basedOn w:val="VerbatimChar"/>
    <w:rPr>
      <w:rFonts w:ascii="宋体" w:eastAsia="宋体" w:hAnsi="宋体" w:cs="Times New Roman (正文 CS 字体)"/>
      <w:color w:val="4070A0"/>
      <w:sz w:val="21"/>
      <w:shd w:val="solid" w:color="F3F4F4" w:fill="F2F2F2" w:themeFill="background1" w:themeFillShade="F2"/>
      <w:lang w:eastAsia="zh-CN"/>
    </w:rPr>
  </w:style>
  <w:style w:type="character" w:customStyle="1" w:styleId="StringTok">
    <w:name w:val="StringTok"/>
    <w:basedOn w:val="VerbatimChar"/>
    <w:rPr>
      <w:rFonts w:ascii="宋体" w:eastAsia="宋体" w:hAnsi="宋体" w:cs="Times New Roman (正文 CS 字体)"/>
      <w:color w:val="4070A0"/>
      <w:sz w:val="21"/>
      <w:shd w:val="solid" w:color="F3F4F4" w:fill="F2F2F2" w:themeFill="background1" w:themeFillShade="F2"/>
      <w:lang w:eastAsia="zh-CN"/>
    </w:rPr>
  </w:style>
  <w:style w:type="character" w:customStyle="1" w:styleId="VerbatimStringTok">
    <w:name w:val="VerbatimStringTok"/>
    <w:basedOn w:val="VerbatimChar"/>
    <w:rPr>
      <w:rFonts w:ascii="宋体" w:eastAsia="宋体" w:hAnsi="宋体" w:cs="Times New Roman (正文 CS 字体)"/>
      <w:color w:val="4070A0"/>
      <w:sz w:val="21"/>
      <w:shd w:val="solid" w:color="F3F4F4" w:fill="F2F2F2" w:themeFill="background1" w:themeFillShade="F2"/>
      <w:lang w:eastAsia="zh-CN"/>
    </w:rPr>
  </w:style>
  <w:style w:type="character" w:customStyle="1" w:styleId="SpecialStringTok">
    <w:name w:val="SpecialStringTok"/>
    <w:basedOn w:val="VerbatimChar"/>
    <w:rPr>
      <w:rFonts w:ascii="宋体" w:eastAsia="宋体" w:hAnsi="宋体" w:cs="Times New Roman (正文 CS 字体)"/>
      <w:color w:val="BB6688"/>
      <w:sz w:val="21"/>
      <w:shd w:val="solid" w:color="F3F4F4" w:fill="F2F2F2" w:themeFill="background1" w:themeFillShade="F2"/>
      <w:lang w:eastAsia="zh-CN"/>
    </w:rPr>
  </w:style>
  <w:style w:type="character" w:customStyle="1" w:styleId="ImportTok">
    <w:name w:val="ImportTok"/>
    <w:basedOn w:val="VerbatimChar"/>
    <w:rPr>
      <w:rFonts w:ascii="宋体" w:eastAsia="宋体" w:hAnsi="宋体" w:cs="Times New Roman (正文 CS 字体)"/>
      <w:b/>
      <w:color w:val="008000"/>
      <w:sz w:val="21"/>
      <w:shd w:val="solid" w:color="F3F4F4" w:fill="F2F2F2" w:themeFill="background1" w:themeFillShade="F2"/>
      <w:lang w:eastAsia="zh-CN"/>
    </w:rPr>
  </w:style>
  <w:style w:type="character" w:customStyle="1" w:styleId="CommentTok">
    <w:name w:val="CommentTok"/>
    <w:basedOn w:val="VerbatimChar"/>
    <w:rPr>
      <w:rFonts w:ascii="宋体" w:eastAsia="宋体" w:hAnsi="宋体" w:cs="Times New Roman (正文 CS 字体)"/>
      <w:i/>
      <w:color w:val="60A0B0"/>
      <w:sz w:val="21"/>
      <w:shd w:val="solid" w:color="F3F4F4" w:fill="F2F2F2" w:themeFill="background1" w:themeFillShade="F2"/>
      <w:lang w:eastAsia="zh-CN"/>
    </w:rPr>
  </w:style>
  <w:style w:type="character" w:customStyle="1" w:styleId="DocumentationTok">
    <w:name w:val="DocumentationTok"/>
    <w:basedOn w:val="VerbatimChar"/>
    <w:rPr>
      <w:rFonts w:ascii="宋体" w:eastAsia="宋体" w:hAnsi="宋体" w:cs="Times New Roman (正文 CS 字体)"/>
      <w:i/>
      <w:color w:val="BA2121"/>
      <w:sz w:val="21"/>
      <w:shd w:val="solid" w:color="F3F4F4" w:fill="F2F2F2" w:themeFill="background1" w:themeFillShade="F2"/>
      <w:lang w:eastAsia="zh-CN"/>
    </w:rPr>
  </w:style>
  <w:style w:type="character" w:customStyle="1" w:styleId="AnnotationTok">
    <w:name w:val="AnnotationTok"/>
    <w:basedOn w:val="VerbatimChar"/>
    <w:rPr>
      <w:rFonts w:ascii="宋体" w:eastAsia="宋体" w:hAnsi="宋体" w:cs="Times New Roman (正文 CS 字体)"/>
      <w:b/>
      <w:i/>
      <w:color w:val="60A0B0"/>
      <w:sz w:val="21"/>
      <w:shd w:val="solid" w:color="F3F4F4" w:fill="F2F2F2" w:themeFill="background1" w:themeFillShade="F2"/>
      <w:lang w:eastAsia="zh-CN"/>
    </w:rPr>
  </w:style>
  <w:style w:type="character" w:customStyle="1" w:styleId="CommentVarTok">
    <w:name w:val="CommentVarTok"/>
    <w:basedOn w:val="VerbatimChar"/>
    <w:rPr>
      <w:rFonts w:ascii="宋体" w:eastAsia="宋体" w:hAnsi="宋体" w:cs="Times New Roman (正文 CS 字体)"/>
      <w:b/>
      <w:i/>
      <w:color w:val="60A0B0"/>
      <w:sz w:val="21"/>
      <w:shd w:val="solid" w:color="F3F4F4" w:fill="F2F2F2" w:themeFill="background1" w:themeFillShade="F2"/>
      <w:lang w:eastAsia="zh-CN"/>
    </w:rPr>
  </w:style>
  <w:style w:type="character" w:customStyle="1" w:styleId="OtherTok">
    <w:name w:val="OtherTok"/>
    <w:basedOn w:val="VerbatimChar"/>
    <w:rPr>
      <w:rFonts w:ascii="宋体" w:eastAsia="宋体" w:hAnsi="宋体" w:cs="Times New Roman (正文 CS 字体)"/>
      <w:color w:val="007020"/>
      <w:sz w:val="21"/>
      <w:shd w:val="solid" w:color="F3F4F4" w:fill="F2F2F2" w:themeFill="background1" w:themeFillShade="F2"/>
      <w:lang w:eastAsia="zh-CN"/>
    </w:rPr>
  </w:style>
  <w:style w:type="character" w:customStyle="1" w:styleId="FunctionTok">
    <w:name w:val="FunctionTok"/>
    <w:basedOn w:val="VerbatimChar"/>
    <w:rPr>
      <w:rFonts w:ascii="宋体" w:eastAsia="宋体" w:hAnsi="宋体" w:cs="Times New Roman (正文 CS 字体)"/>
      <w:color w:val="06287E"/>
      <w:sz w:val="21"/>
      <w:shd w:val="solid" w:color="F3F4F4" w:fill="F2F2F2" w:themeFill="background1" w:themeFillShade="F2"/>
      <w:lang w:eastAsia="zh-CN"/>
    </w:rPr>
  </w:style>
  <w:style w:type="character" w:customStyle="1" w:styleId="VariableTok">
    <w:name w:val="VariableTok"/>
    <w:basedOn w:val="VerbatimChar"/>
    <w:rPr>
      <w:rFonts w:ascii="宋体" w:eastAsia="宋体" w:hAnsi="宋体" w:cs="Times New Roman (正文 CS 字体)"/>
      <w:color w:val="19177C"/>
      <w:sz w:val="21"/>
      <w:shd w:val="solid" w:color="F3F4F4" w:fill="F2F2F2" w:themeFill="background1" w:themeFillShade="F2"/>
      <w:lang w:eastAsia="zh-CN"/>
    </w:rPr>
  </w:style>
  <w:style w:type="character" w:customStyle="1" w:styleId="ControlFlowTok">
    <w:name w:val="ControlFlowTok"/>
    <w:basedOn w:val="VerbatimChar"/>
    <w:rPr>
      <w:rFonts w:ascii="宋体" w:eastAsia="宋体" w:hAnsi="宋体" w:cs="Times New Roman (正文 CS 字体)"/>
      <w:b/>
      <w:color w:val="007020"/>
      <w:sz w:val="21"/>
      <w:shd w:val="solid" w:color="F3F4F4" w:fill="F2F2F2" w:themeFill="background1" w:themeFillShade="F2"/>
      <w:lang w:eastAsia="zh-CN"/>
    </w:rPr>
  </w:style>
  <w:style w:type="character" w:customStyle="1" w:styleId="OperatorTok">
    <w:name w:val="OperatorTok"/>
    <w:basedOn w:val="VerbatimChar"/>
    <w:rPr>
      <w:rFonts w:ascii="宋体" w:eastAsia="宋体" w:hAnsi="宋体" w:cs="Times New Roman (正文 CS 字体)"/>
      <w:color w:val="666666"/>
      <w:sz w:val="21"/>
      <w:shd w:val="solid" w:color="F3F4F4" w:fill="F2F2F2" w:themeFill="background1" w:themeFillShade="F2"/>
      <w:lang w:eastAsia="zh-CN"/>
    </w:rPr>
  </w:style>
  <w:style w:type="character" w:customStyle="1" w:styleId="BuiltInTok">
    <w:name w:val="BuiltInTok"/>
    <w:basedOn w:val="VerbatimChar"/>
    <w:rPr>
      <w:rFonts w:ascii="宋体" w:eastAsia="宋体" w:hAnsi="宋体" w:cs="Times New Roman (正文 CS 字体)"/>
      <w:color w:val="008000"/>
      <w:sz w:val="21"/>
      <w:shd w:val="solid" w:color="F3F4F4" w:fill="F2F2F2" w:themeFill="background1" w:themeFillShade="F2"/>
      <w:lang w:eastAsia="zh-CN"/>
    </w:rPr>
  </w:style>
  <w:style w:type="character" w:customStyle="1" w:styleId="ExtensionTok">
    <w:name w:val="ExtensionTok"/>
    <w:basedOn w:val="VerbatimChar"/>
    <w:rPr>
      <w:rFonts w:ascii="宋体" w:eastAsia="宋体" w:hAnsi="宋体" w:cs="Times New Roman (正文 CS 字体)"/>
      <w:color w:val="404040" w:themeColor="text1" w:themeTint="BF"/>
      <w:sz w:val="21"/>
      <w:shd w:val="solid" w:color="F3F4F4" w:fill="F2F2F2" w:themeFill="background1" w:themeFillShade="F2"/>
      <w:lang w:eastAsia="zh-CN"/>
    </w:rPr>
  </w:style>
  <w:style w:type="character" w:customStyle="1" w:styleId="PreprocessorTok">
    <w:name w:val="PreprocessorTok"/>
    <w:basedOn w:val="VerbatimChar"/>
    <w:rPr>
      <w:rFonts w:ascii="宋体" w:eastAsia="宋体" w:hAnsi="宋体" w:cs="Times New Roman (正文 CS 字体)"/>
      <w:color w:val="BC7A00"/>
      <w:sz w:val="21"/>
      <w:shd w:val="solid" w:color="F3F4F4" w:fill="F2F2F2" w:themeFill="background1" w:themeFillShade="F2"/>
      <w:lang w:eastAsia="zh-CN"/>
    </w:rPr>
  </w:style>
  <w:style w:type="character" w:customStyle="1" w:styleId="AttributeTok">
    <w:name w:val="AttributeTok"/>
    <w:basedOn w:val="VerbatimChar"/>
    <w:rPr>
      <w:rFonts w:ascii="宋体" w:eastAsia="宋体" w:hAnsi="宋体" w:cs="Times New Roman (正文 CS 字体)"/>
      <w:color w:val="7D9029"/>
      <w:sz w:val="21"/>
      <w:shd w:val="solid" w:color="F3F4F4" w:fill="F2F2F2" w:themeFill="background1" w:themeFillShade="F2"/>
      <w:lang w:eastAsia="zh-CN"/>
    </w:rPr>
  </w:style>
  <w:style w:type="character" w:customStyle="1" w:styleId="RegionMarkerTok">
    <w:name w:val="RegionMarkerTok"/>
    <w:basedOn w:val="VerbatimChar"/>
    <w:rPr>
      <w:rFonts w:ascii="宋体" w:eastAsia="宋体" w:hAnsi="宋体" w:cs="Times New Roman (正文 CS 字体)"/>
      <w:color w:val="404040" w:themeColor="text1" w:themeTint="BF"/>
      <w:sz w:val="21"/>
      <w:shd w:val="solid" w:color="F3F4F4" w:fill="F2F2F2" w:themeFill="background1" w:themeFillShade="F2"/>
      <w:lang w:eastAsia="zh-CN"/>
    </w:rPr>
  </w:style>
  <w:style w:type="character" w:customStyle="1" w:styleId="InformationTok">
    <w:name w:val="InformationTok"/>
    <w:basedOn w:val="VerbatimChar"/>
    <w:rPr>
      <w:rFonts w:ascii="宋体" w:eastAsia="宋体" w:hAnsi="宋体" w:cs="Times New Roman (正文 CS 字体)"/>
      <w:b/>
      <w:i/>
      <w:color w:val="60A0B0"/>
      <w:sz w:val="21"/>
      <w:shd w:val="solid" w:color="F3F4F4" w:fill="F2F2F2" w:themeFill="background1" w:themeFillShade="F2"/>
      <w:lang w:eastAsia="zh-CN"/>
    </w:rPr>
  </w:style>
  <w:style w:type="character" w:customStyle="1" w:styleId="WarningTok">
    <w:name w:val="WarningTok"/>
    <w:basedOn w:val="VerbatimChar"/>
    <w:rPr>
      <w:rFonts w:ascii="宋体" w:eastAsia="宋体" w:hAnsi="宋体" w:cs="Times New Roman (正文 CS 字体)"/>
      <w:b/>
      <w:i/>
      <w:color w:val="60A0B0"/>
      <w:sz w:val="21"/>
      <w:shd w:val="solid" w:color="F3F4F4" w:fill="F2F2F2" w:themeFill="background1" w:themeFillShade="F2"/>
      <w:lang w:eastAsia="zh-CN"/>
    </w:rPr>
  </w:style>
  <w:style w:type="character" w:customStyle="1" w:styleId="AlertTok">
    <w:name w:val="AlertTok"/>
    <w:basedOn w:val="VerbatimChar"/>
    <w:rPr>
      <w:rFonts w:ascii="宋体" w:eastAsia="宋体" w:hAnsi="宋体" w:cs="Times New Roman (正文 CS 字体)"/>
      <w:b/>
      <w:color w:val="FF0000"/>
      <w:sz w:val="21"/>
      <w:shd w:val="solid" w:color="F3F4F4" w:fill="F2F2F2" w:themeFill="background1" w:themeFillShade="F2"/>
      <w:lang w:eastAsia="zh-CN"/>
    </w:rPr>
  </w:style>
  <w:style w:type="character" w:customStyle="1" w:styleId="ErrorTok">
    <w:name w:val="ErrorTok"/>
    <w:basedOn w:val="VerbatimChar"/>
    <w:rPr>
      <w:rFonts w:ascii="宋体" w:eastAsia="宋体" w:hAnsi="宋体" w:cs="Times New Roman (正文 CS 字体)"/>
      <w:b/>
      <w:color w:val="FF0000"/>
      <w:sz w:val="21"/>
      <w:shd w:val="solid" w:color="F3F4F4" w:fill="F2F2F2" w:themeFill="background1" w:themeFillShade="F2"/>
      <w:lang w:eastAsia="zh-CN"/>
    </w:rPr>
  </w:style>
  <w:style w:type="character" w:customStyle="1" w:styleId="NormalTok">
    <w:name w:val="NormalTok"/>
    <w:basedOn w:val="VerbatimChar"/>
    <w:rPr>
      <w:rFonts w:ascii="宋体" w:eastAsia="宋体" w:hAnsi="宋体" w:cs="Times New Roman (正文 CS 字体)"/>
      <w:color w:val="404040" w:themeColor="text1" w:themeTint="BF"/>
      <w:sz w:val="21"/>
      <w:shd w:val="solid" w:color="F3F4F4" w:fill="F2F2F2" w:themeFill="background1" w:themeFillShade="F2"/>
      <w:lang w:eastAsia="zh-CN"/>
    </w:rPr>
  </w:style>
  <w:style w:type="paragraph" w:styleId="af">
    <w:name w:val="Balloon Text"/>
    <w:basedOn w:val="a"/>
    <w:link w:val="Char3"/>
    <w:rsid w:val="00BC0B3A"/>
    <w:pPr>
      <w:spacing w:line="240" w:lineRule="auto"/>
    </w:pPr>
    <w:rPr>
      <w:sz w:val="18"/>
      <w:szCs w:val="18"/>
    </w:rPr>
  </w:style>
  <w:style w:type="character" w:customStyle="1" w:styleId="Char3">
    <w:name w:val="批注框文本 Char"/>
    <w:basedOn w:val="a1"/>
    <w:link w:val="af"/>
    <w:rsid w:val="00BC0B3A"/>
    <w:rPr>
      <w:rFonts w:ascii="Times New Roman" w:eastAsia="宋体" w:hAnsi="Times New Roman"/>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footnote text" w:uiPriority="9" w:unhideWhenUsed="1" w:qFormat="1"/>
    <w:lsdException w:name="header" w:qFormat="1"/>
    <w:lsdException w:name="footer" w:uiPriority="99" w:qFormat="1"/>
    <w:lsdException w:name="caption" w:qFormat="1"/>
    <w:lsdException w:name="footnote reference" w:qFormat="1"/>
    <w:lsdException w:name="Title" w:qFormat="1"/>
    <w:lsdException w:name="Default Paragraph Font" w:semiHidden="1" w:uiPriority="1" w:unhideWhenUsed="1"/>
    <w:lsdException w:name="Body Text" w:qFormat="1"/>
    <w:lsdException w:name="Subtitle" w:qFormat="1"/>
    <w:lsdException w:name="Date" w:qFormat="1"/>
    <w:lsdException w:name="Block Text" w:uiPriority="9" w:unhideWhenUsed="1" w:qFormat="1"/>
    <w:lsdException w:name="Hyperlink"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spacing w:line="360" w:lineRule="auto"/>
    </w:pPr>
    <w:rPr>
      <w:rFonts w:ascii="Times New Roman" w:eastAsia="宋体" w:hAnsi="Times New Roman"/>
      <w:sz w:val="24"/>
      <w:szCs w:val="24"/>
      <w:lang w:eastAsia="en-US"/>
    </w:rPr>
  </w:style>
  <w:style w:type="paragraph" w:styleId="1">
    <w:name w:val="heading 1"/>
    <w:basedOn w:val="a"/>
    <w:next w:val="a0"/>
    <w:autoRedefine/>
    <w:uiPriority w:val="9"/>
    <w:qFormat/>
    <w:pPr>
      <w:keepNext/>
      <w:keepLines/>
      <w:pageBreakBefore/>
      <w:spacing w:before="480"/>
      <w:jc w:val="center"/>
      <w:outlineLvl w:val="0"/>
    </w:pPr>
    <w:rPr>
      <w:rFonts w:eastAsia="黑体" w:cstheme="majorBidi"/>
      <w:b/>
      <w:bCs/>
      <w:sz w:val="36"/>
      <w:szCs w:val="32"/>
    </w:rPr>
  </w:style>
  <w:style w:type="paragraph" w:styleId="2">
    <w:name w:val="heading 2"/>
    <w:basedOn w:val="a"/>
    <w:next w:val="a0"/>
    <w:uiPriority w:val="9"/>
    <w:unhideWhenUsed/>
    <w:qFormat/>
    <w:pPr>
      <w:keepNext/>
      <w:keepLines/>
      <w:spacing w:before="300"/>
      <w:outlineLvl w:val="1"/>
    </w:pPr>
    <w:rPr>
      <w:rFonts w:eastAsia="黑体" w:cstheme="majorBidi"/>
      <w:b/>
      <w:bCs/>
      <w:sz w:val="32"/>
      <w:szCs w:val="32"/>
    </w:rPr>
  </w:style>
  <w:style w:type="paragraph" w:styleId="3">
    <w:name w:val="heading 3"/>
    <w:basedOn w:val="a"/>
    <w:next w:val="a0"/>
    <w:uiPriority w:val="9"/>
    <w:unhideWhenUsed/>
    <w:qFormat/>
    <w:pPr>
      <w:keepNext/>
      <w:keepLines/>
      <w:spacing w:before="200"/>
      <w:outlineLvl w:val="2"/>
    </w:pPr>
    <w:rPr>
      <w:rFonts w:asciiTheme="majorHAnsi" w:eastAsia="黑体" w:hAnsiTheme="majorHAnsi" w:cstheme="majorBidi"/>
      <w:b/>
      <w:bCs/>
      <w:sz w:val="26"/>
      <w:szCs w:val="28"/>
    </w:rPr>
  </w:style>
  <w:style w:type="paragraph" w:styleId="4">
    <w:name w:val="heading 4"/>
    <w:basedOn w:val="a"/>
    <w:next w:val="a0"/>
    <w:uiPriority w:val="9"/>
    <w:unhideWhenUsed/>
    <w:qFormat/>
    <w:pPr>
      <w:keepNext/>
      <w:keepLines/>
      <w:spacing w:before="200"/>
      <w:outlineLvl w:val="3"/>
    </w:pPr>
    <w:rPr>
      <w:rFonts w:asciiTheme="majorHAnsi" w:eastAsia="黑体" w:hAnsiTheme="majorHAnsi" w:cstheme="majorBidi"/>
      <w:bCs/>
    </w:rPr>
  </w:style>
  <w:style w:type="paragraph" w:styleId="5">
    <w:name w:val="heading 5"/>
    <w:basedOn w:val="a"/>
    <w:next w:val="a0"/>
    <w:uiPriority w:val="9"/>
    <w:unhideWhenUsed/>
    <w:qFormat/>
    <w:pPr>
      <w:keepNext/>
      <w:keepLines/>
      <w:spacing w:before="200"/>
      <w:outlineLvl w:val="4"/>
    </w:pPr>
    <w:rPr>
      <w:rFonts w:asciiTheme="majorHAnsi" w:eastAsia="黑体" w:hAnsiTheme="majorHAnsi" w:cstheme="majorBidi"/>
      <w:iCs/>
    </w:rPr>
  </w:style>
  <w:style w:type="paragraph" w:styleId="6">
    <w:name w:val="heading 6"/>
    <w:basedOn w:val="a"/>
    <w:next w:val="a0"/>
    <w:uiPriority w:val="9"/>
    <w:unhideWhenUsed/>
    <w:qFormat/>
    <w:pPr>
      <w:keepNext/>
      <w:keepLines/>
      <w:spacing w:before="200"/>
      <w:outlineLvl w:val="5"/>
    </w:pPr>
    <w:rPr>
      <w:rFonts w:asciiTheme="majorHAnsi" w:eastAsia="黑体" w:hAnsiTheme="majorHAnsi" w:cstheme="majorBidi"/>
    </w:rPr>
  </w:style>
  <w:style w:type="paragraph" w:styleId="7">
    <w:name w:val="heading 7"/>
    <w:basedOn w:val="a"/>
    <w:next w:val="a0"/>
    <w:uiPriority w:val="9"/>
    <w:unhideWhenUsed/>
    <w:qFormat/>
    <w:pPr>
      <w:keepNext/>
      <w:keepLines/>
      <w:spacing w:before="20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FirstParagraph"/>
    <w:link w:val="Char"/>
    <w:qFormat/>
  </w:style>
  <w:style w:type="paragraph" w:customStyle="1" w:styleId="FirstParagraph">
    <w:name w:val="First Paragraph"/>
    <w:basedOn w:val="a"/>
    <w:next w:val="a0"/>
    <w:qFormat/>
    <w:pPr>
      <w:spacing w:before="180"/>
      <w:ind w:firstLineChars="200" w:firstLine="480"/>
    </w:pPr>
    <w:rPr>
      <w:rFonts w:eastAsia="Cambria Math"/>
      <w:lang w:eastAsia="zh-CN"/>
    </w:rPr>
  </w:style>
  <w:style w:type="paragraph" w:styleId="a4">
    <w:name w:val="caption"/>
    <w:basedOn w:val="a"/>
    <w:link w:val="Char0"/>
    <w:qFormat/>
    <w:pPr>
      <w:spacing w:after="120"/>
      <w:jc w:val="center"/>
    </w:pPr>
  </w:style>
  <w:style w:type="paragraph" w:styleId="a5">
    <w:name w:val="Block Text"/>
    <w:basedOn w:val="a"/>
    <w:uiPriority w:val="9"/>
    <w:unhideWhenUsed/>
    <w:qFormat/>
    <w:pPr>
      <w:pBdr>
        <w:left w:val="single" w:sz="48" w:space="4" w:color="BFBFBF" w:themeColor="background1" w:themeShade="BF"/>
      </w:pBdr>
      <w:spacing w:before="100"/>
      <w:ind w:leftChars="200" w:left="200" w:rightChars="100" w:right="100"/>
    </w:pPr>
    <w:rPr>
      <w:rFonts w:eastAsiaTheme="minorEastAsia"/>
      <w:lang w:eastAsia="zh-CN"/>
    </w:rPr>
  </w:style>
  <w:style w:type="paragraph" w:styleId="a6">
    <w:name w:val="Date"/>
    <w:next w:val="a0"/>
    <w:qFormat/>
    <w:pPr>
      <w:keepNext/>
      <w:keepLines/>
      <w:spacing w:after="200"/>
      <w:jc w:val="center"/>
    </w:pPr>
    <w:rPr>
      <w:sz w:val="24"/>
      <w:szCs w:val="24"/>
      <w:lang w:eastAsia="en-US"/>
    </w:rPr>
  </w:style>
  <w:style w:type="paragraph" w:styleId="a7">
    <w:name w:val="footer"/>
    <w:basedOn w:val="a"/>
    <w:link w:val="Char1"/>
    <w:uiPriority w:val="99"/>
    <w:qFormat/>
    <w:pPr>
      <w:tabs>
        <w:tab w:val="center" w:pos="4153"/>
        <w:tab w:val="right" w:pos="8306"/>
      </w:tabs>
      <w:snapToGrid w:val="0"/>
    </w:pPr>
    <w:rPr>
      <w:sz w:val="18"/>
      <w:szCs w:val="18"/>
    </w:rPr>
  </w:style>
  <w:style w:type="paragraph" w:styleId="a8">
    <w:name w:val="header"/>
    <w:basedOn w:val="a"/>
    <w:link w:val="Char2"/>
    <w:qFormat/>
    <w:pPr>
      <w:tabs>
        <w:tab w:val="center" w:pos="4153"/>
        <w:tab w:val="right" w:pos="8306"/>
      </w:tabs>
      <w:snapToGrid w:val="0"/>
      <w:jc w:val="center"/>
    </w:pPr>
    <w:rPr>
      <w:sz w:val="18"/>
      <w:szCs w:val="18"/>
    </w:rPr>
  </w:style>
  <w:style w:type="paragraph" w:styleId="a9">
    <w:name w:val="Subtitle"/>
    <w:basedOn w:val="aa"/>
    <w:next w:val="a0"/>
    <w:qFormat/>
    <w:pPr>
      <w:spacing w:before="240"/>
    </w:pPr>
    <w:rPr>
      <w:sz w:val="30"/>
      <w:szCs w:val="30"/>
    </w:rPr>
  </w:style>
  <w:style w:type="paragraph" w:styleId="aa">
    <w:name w:val="Title"/>
    <w:basedOn w:val="a"/>
    <w:next w:val="a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b">
    <w:name w:val="footnote text"/>
    <w:basedOn w:val="a"/>
    <w:uiPriority w:val="9"/>
    <w:unhideWhenUsed/>
    <w:qFormat/>
  </w:style>
  <w:style w:type="character" w:styleId="ac">
    <w:name w:val="Hyperlink"/>
    <w:basedOn w:val="Char0"/>
    <w:qFormat/>
    <w:rPr>
      <w:rFonts w:ascii="Times New Roman" w:eastAsia="宋体" w:hAnsi="Times New Roman"/>
      <w:color w:val="0070C0"/>
    </w:rPr>
  </w:style>
  <w:style w:type="character" w:customStyle="1" w:styleId="Char0">
    <w:name w:val="题注 Char"/>
    <w:basedOn w:val="a1"/>
    <w:link w:val="a4"/>
    <w:qFormat/>
    <w:rPr>
      <w:rFonts w:ascii="Times New Roman" w:eastAsia="宋体" w:hAnsi="Times New Roman"/>
    </w:rPr>
  </w:style>
  <w:style w:type="character" w:styleId="ad">
    <w:name w:val="footnote reference"/>
    <w:basedOn w:val="Char0"/>
    <w:qFormat/>
    <w:rPr>
      <w:rFonts w:ascii="Times New Roman" w:eastAsia="宋体" w:hAnsi="Times New Roman"/>
      <w:vertAlign w:val="superscript"/>
    </w:rPr>
  </w:style>
  <w:style w:type="paragraph" w:customStyle="1" w:styleId="Compact">
    <w:name w:val="Compact"/>
    <w:basedOn w:val="a0"/>
    <w:qFormat/>
    <w:pPr>
      <w:spacing w:before="60" w:after="60"/>
      <w:ind w:firstLineChars="0" w:firstLine="0"/>
    </w:pPr>
  </w:style>
  <w:style w:type="paragraph" w:customStyle="1" w:styleId="Author">
    <w:name w:val="Author"/>
    <w:next w:val="a0"/>
    <w:qFormat/>
    <w:pPr>
      <w:keepNext/>
      <w:keepLines/>
      <w:spacing w:after="200"/>
      <w:jc w:val="center"/>
    </w:pPr>
    <w:rPr>
      <w:sz w:val="24"/>
      <w:szCs w:val="24"/>
      <w:lang w:eastAsia="en-US"/>
    </w:rPr>
  </w:style>
  <w:style w:type="paragraph" w:customStyle="1" w:styleId="Abstract">
    <w:name w:val="Abstract"/>
    <w:basedOn w:val="a"/>
    <w:next w:val="a0"/>
    <w:qFormat/>
    <w:pPr>
      <w:keepNext/>
      <w:keepLines/>
      <w:spacing w:before="300" w:after="300"/>
    </w:pPr>
    <w:rPr>
      <w:sz w:val="20"/>
      <w:szCs w:val="20"/>
    </w:rPr>
  </w:style>
  <w:style w:type="paragraph" w:customStyle="1" w:styleId="10">
    <w:name w:val="书目1"/>
    <w:basedOn w:val="a"/>
    <w:qFormat/>
    <w:pPr>
      <w:tabs>
        <w:tab w:val="left" w:pos="384"/>
      </w:tabs>
      <w:spacing w:line="240" w:lineRule="auto"/>
      <w:ind w:left="200" w:hangingChars="200" w:hanging="200"/>
    </w:pPr>
    <w:rPr>
      <w:rFonts w:ascii="Cambria Math" w:hAnsi="Cambria Math"/>
    </w:rPr>
  </w:style>
  <w:style w:type="table" w:customStyle="1" w:styleId="Table">
    <w:name w:val="Table"/>
    <w:semiHidden/>
    <w:unhideWhenUsed/>
    <w:qFormat/>
    <w:pPr>
      <w:jc w:val="center"/>
    </w:pPr>
    <w:rPr>
      <w:rFonts w:ascii="Times New Roman" w:eastAsia="宋体" w:hAnsi="Times New Roman"/>
    </w:rPr>
    <w:tblPr>
      <w:jc w:val="center"/>
      <w:tblBorders>
        <w:top w:val="single" w:sz="12" w:space="0" w:color="auto"/>
        <w:bottom w:val="single" w:sz="12" w:space="0" w:color="auto"/>
      </w:tblBorders>
      <w:tblCellMar>
        <w:top w:w="0" w:type="dxa"/>
        <w:left w:w="108" w:type="dxa"/>
        <w:bottom w:w="0" w:type="dxa"/>
        <w:right w:w="108" w:type="dxa"/>
      </w:tblCellMar>
    </w:tblPr>
    <w:trPr>
      <w:jc w:val="center"/>
    </w:trPr>
    <w:tcPr>
      <w:vAlign w:val="center"/>
    </w:tcPr>
    <w:tblStylePr w:type="firstRow">
      <w:rPr>
        <w:rFonts w:eastAsia="宋体"/>
        <w:b/>
        <w:i w:val="0"/>
      </w:rPr>
      <w:tblPr/>
      <w:tcPr>
        <w:tcBorders>
          <w:bottom w:val="single" w:sz="4" w:space="0" w:color="auto"/>
        </w:tcBorders>
      </w:tcPr>
    </w:tblStylePr>
  </w:style>
  <w:style w:type="paragraph" w:customStyle="1" w:styleId="DefinitionTerm">
    <w:name w:val="Definition Term"/>
    <w:basedOn w:val="a"/>
    <w:next w:val="Definition"/>
    <w:qFormat/>
    <w:pPr>
      <w:keepNext/>
      <w:keepLines/>
    </w:pPr>
    <w:rPr>
      <w:b/>
    </w:rPr>
  </w:style>
  <w:style w:type="paragraph" w:customStyle="1" w:styleId="Definition">
    <w:name w:val="Definition"/>
    <w:basedOn w:val="a"/>
    <w:qFormat/>
  </w:style>
  <w:style w:type="paragraph" w:customStyle="1" w:styleId="TableCaption">
    <w:name w:val="Table Caption"/>
    <w:basedOn w:val="a4"/>
    <w:qFormat/>
    <w:pPr>
      <w:keepNext/>
    </w:pPr>
  </w:style>
  <w:style w:type="paragraph" w:customStyle="1" w:styleId="ImageCaption">
    <w:name w:val="Image Caption"/>
    <w:basedOn w:val="a4"/>
    <w:qFormat/>
  </w:style>
  <w:style w:type="paragraph" w:customStyle="1" w:styleId="Figure">
    <w:name w:val="Figure"/>
    <w:basedOn w:val="a"/>
    <w:qFormat/>
  </w:style>
  <w:style w:type="paragraph" w:customStyle="1" w:styleId="CaptionedFigure">
    <w:name w:val="Captioned Figure"/>
    <w:basedOn w:val="Figure"/>
    <w:qFormat/>
    <w:pPr>
      <w:keepNext/>
    </w:pPr>
  </w:style>
  <w:style w:type="character" w:customStyle="1" w:styleId="VerbatimChar">
    <w:name w:val="Verbatim Char"/>
    <w:basedOn w:val="Char0"/>
    <w:link w:val="SourceCode"/>
    <w:qFormat/>
    <w:rPr>
      <w:rFonts w:ascii="宋体" w:eastAsia="宋体" w:hAnsi="宋体" w:cs="Times New Roman (正文 CS 字体)"/>
      <w:color w:val="404040" w:themeColor="text1" w:themeTint="BF"/>
      <w:sz w:val="21"/>
      <w:shd w:val="solid" w:color="F3F4F4" w:fill="F2F2F2" w:themeFill="background1" w:themeFillShade="F2"/>
      <w:lang w:eastAsia="zh-CN"/>
    </w:rPr>
  </w:style>
  <w:style w:type="paragraph" w:customStyle="1" w:styleId="SourceCode">
    <w:name w:val="Source Code"/>
    <w:basedOn w:val="a"/>
    <w:link w:val="VerbatimChar"/>
    <w:qFormat/>
    <w:pPr>
      <w:pBdr>
        <w:top w:val="single" w:sz="8" w:space="10" w:color="BFBFBF" w:themeColor="background1" w:themeShade="BF"/>
        <w:left w:val="single" w:sz="8" w:space="10" w:color="BFBFBF" w:themeColor="background1" w:themeShade="BF"/>
        <w:bottom w:val="single" w:sz="8" w:space="10" w:color="BFBFBF" w:themeColor="background1" w:themeShade="BF"/>
        <w:right w:val="single" w:sz="8" w:space="10" w:color="BFBFBF" w:themeColor="background1" w:themeShade="BF"/>
      </w:pBdr>
      <w:shd w:val="solid" w:color="F3F4F4" w:fill="F2F2F2" w:themeFill="background1" w:themeFillShade="F2"/>
      <w:wordWrap w:val="0"/>
      <w:ind w:leftChars="300" w:left="300"/>
    </w:pPr>
    <w:rPr>
      <w:rFonts w:ascii="宋体" w:hAnsi="宋体" w:cs="Times New Roman (正文 CS 字体)"/>
      <w:color w:val="404040" w:themeColor="text1" w:themeTint="BF"/>
      <w:sz w:val="21"/>
      <w:shd w:val="pct5" w:color="auto" w:fill="auto"/>
      <w:lang w:eastAsia="zh-CN"/>
    </w:rPr>
  </w:style>
  <w:style w:type="paragraph" w:customStyle="1" w:styleId="TOC1">
    <w:name w:val="TOC 标题1"/>
    <w:basedOn w:val="1"/>
    <w:next w:val="a0"/>
    <w:uiPriority w:val="39"/>
    <w:unhideWhenUsed/>
    <w:qFormat/>
    <w:pPr>
      <w:spacing w:before="240" w:line="259" w:lineRule="auto"/>
      <w:outlineLvl w:val="9"/>
    </w:pPr>
    <w:rPr>
      <w:b w:val="0"/>
      <w:bCs w:val="0"/>
      <w:color w:val="365F91" w:themeColor="accent1" w:themeShade="BF"/>
    </w:rPr>
  </w:style>
  <w:style w:type="character" w:customStyle="1" w:styleId="Char">
    <w:name w:val="正文文本 Char"/>
    <w:basedOn w:val="a1"/>
    <w:link w:val="a0"/>
    <w:qFormat/>
    <w:rPr>
      <w:rFonts w:ascii="Cambria Math" w:eastAsia="Cambria Math" w:hAnsi="Cambria Math"/>
      <w:lang w:eastAsia="zh-CN"/>
    </w:rPr>
  </w:style>
  <w:style w:type="character" w:customStyle="1" w:styleId="Char2">
    <w:name w:val="页眉 Char"/>
    <w:basedOn w:val="a1"/>
    <w:link w:val="a8"/>
    <w:qFormat/>
    <w:rPr>
      <w:sz w:val="18"/>
      <w:szCs w:val="18"/>
    </w:rPr>
  </w:style>
  <w:style w:type="character" w:customStyle="1" w:styleId="Char1">
    <w:name w:val="页脚 Char"/>
    <w:basedOn w:val="a1"/>
    <w:link w:val="a7"/>
    <w:uiPriority w:val="99"/>
    <w:qFormat/>
    <w:rPr>
      <w:sz w:val="18"/>
      <w:szCs w:val="18"/>
    </w:rPr>
  </w:style>
  <w:style w:type="paragraph" w:customStyle="1" w:styleId="ae">
    <w:name w:val="图片"/>
    <w:basedOn w:val="FirstParagraph"/>
    <w:qFormat/>
    <w:pPr>
      <w:keepNext/>
      <w:jc w:val="center"/>
    </w:pPr>
  </w:style>
  <w:style w:type="paragraph" w:customStyle="1" w:styleId="Compact10071">
    <w:name w:val="样式 Compact + 10 磅 首行缩进:  0.71 厘米"/>
    <w:basedOn w:val="Compact"/>
    <w:qFormat/>
    <w:rPr>
      <w:rFonts w:cs="宋体"/>
      <w:sz w:val="20"/>
      <w:szCs w:val="20"/>
    </w:rPr>
  </w:style>
  <w:style w:type="paragraph" w:customStyle="1" w:styleId="Compact100710">
    <w:name w:val="样式 Compact + 10 磅 加粗 首行缩进:  0.71 厘米"/>
    <w:basedOn w:val="Compact"/>
    <w:qFormat/>
    <w:rPr>
      <w:rFonts w:cs="宋体"/>
      <w:bCs/>
      <w:sz w:val="20"/>
      <w:szCs w:val="20"/>
    </w:rPr>
  </w:style>
  <w:style w:type="paragraph" w:customStyle="1" w:styleId="img">
    <w:name w:val="img"/>
    <w:basedOn w:val="a"/>
    <w:qFormat/>
    <w:pPr>
      <w:jc w:val="center"/>
    </w:pPr>
    <w:rPr>
      <w:lang w:eastAsia="zh-CN"/>
    </w:rPr>
  </w:style>
  <w:style w:type="paragraph" w:customStyle="1" w:styleId="11">
    <w:name w:val="样式1"/>
    <w:basedOn w:val="a0"/>
    <w:link w:val="12"/>
    <w:qFormat/>
    <w:rPr>
      <w:rFonts w:cs="Times New Roman"/>
    </w:rPr>
  </w:style>
  <w:style w:type="character" w:customStyle="1" w:styleId="12">
    <w:name w:val="样式1 字符"/>
    <w:basedOn w:val="Char"/>
    <w:link w:val="11"/>
    <w:rPr>
      <w:rFonts w:ascii="Times New Roman" w:eastAsia="Cambria Math" w:hAnsi="Times New Roman" w:cs="Times New Roman"/>
      <w:sz w:val="24"/>
      <w:szCs w:val="24"/>
      <w:lang w:eastAsia="zh-CN"/>
    </w:rPr>
  </w:style>
  <w:style w:type="character" w:customStyle="1" w:styleId="KeywordTok">
    <w:name w:val="KeywordTok"/>
    <w:basedOn w:val="VerbatimChar"/>
    <w:rPr>
      <w:rFonts w:ascii="宋体" w:eastAsia="宋体" w:hAnsi="宋体" w:cs="Times New Roman (正文 CS 字体)"/>
      <w:b/>
      <w:color w:val="007020"/>
      <w:sz w:val="21"/>
      <w:shd w:val="solid" w:color="F3F4F4" w:fill="F2F2F2" w:themeFill="background1" w:themeFillShade="F2"/>
      <w:lang w:eastAsia="zh-CN"/>
    </w:rPr>
  </w:style>
  <w:style w:type="character" w:customStyle="1" w:styleId="DataTypeTok">
    <w:name w:val="DataTypeTok"/>
    <w:basedOn w:val="VerbatimChar"/>
    <w:rPr>
      <w:rFonts w:ascii="宋体" w:eastAsia="宋体" w:hAnsi="宋体" w:cs="Times New Roman (正文 CS 字体)"/>
      <w:color w:val="902000"/>
      <w:sz w:val="21"/>
      <w:shd w:val="solid" w:color="F3F4F4" w:fill="F2F2F2" w:themeFill="background1" w:themeFillShade="F2"/>
      <w:lang w:eastAsia="zh-CN"/>
    </w:rPr>
  </w:style>
  <w:style w:type="character" w:customStyle="1" w:styleId="DecValTok">
    <w:name w:val="DecValTok"/>
    <w:basedOn w:val="VerbatimChar"/>
    <w:rPr>
      <w:rFonts w:ascii="宋体" w:eastAsia="宋体" w:hAnsi="宋体" w:cs="Times New Roman (正文 CS 字体)"/>
      <w:color w:val="40A070"/>
      <w:sz w:val="21"/>
      <w:shd w:val="solid" w:color="F3F4F4" w:fill="F2F2F2" w:themeFill="background1" w:themeFillShade="F2"/>
      <w:lang w:eastAsia="zh-CN"/>
    </w:rPr>
  </w:style>
  <w:style w:type="character" w:customStyle="1" w:styleId="BaseNTok">
    <w:name w:val="BaseNTok"/>
    <w:basedOn w:val="VerbatimChar"/>
    <w:rPr>
      <w:rFonts w:ascii="宋体" w:eastAsia="宋体" w:hAnsi="宋体" w:cs="Times New Roman (正文 CS 字体)"/>
      <w:color w:val="40A070"/>
      <w:sz w:val="21"/>
      <w:shd w:val="solid" w:color="F3F4F4" w:fill="F2F2F2" w:themeFill="background1" w:themeFillShade="F2"/>
      <w:lang w:eastAsia="zh-CN"/>
    </w:rPr>
  </w:style>
  <w:style w:type="character" w:customStyle="1" w:styleId="FloatTok">
    <w:name w:val="FloatTok"/>
    <w:basedOn w:val="VerbatimChar"/>
    <w:rPr>
      <w:rFonts w:ascii="宋体" w:eastAsia="宋体" w:hAnsi="宋体" w:cs="Times New Roman (正文 CS 字体)"/>
      <w:color w:val="40A070"/>
      <w:sz w:val="21"/>
      <w:shd w:val="solid" w:color="F3F4F4" w:fill="F2F2F2" w:themeFill="background1" w:themeFillShade="F2"/>
      <w:lang w:eastAsia="zh-CN"/>
    </w:rPr>
  </w:style>
  <w:style w:type="character" w:customStyle="1" w:styleId="ConstantTok">
    <w:name w:val="ConstantTok"/>
    <w:basedOn w:val="VerbatimChar"/>
    <w:rPr>
      <w:rFonts w:ascii="宋体" w:eastAsia="宋体" w:hAnsi="宋体" w:cs="Times New Roman (正文 CS 字体)"/>
      <w:color w:val="880000"/>
      <w:sz w:val="21"/>
      <w:shd w:val="solid" w:color="F3F4F4" w:fill="F2F2F2" w:themeFill="background1" w:themeFillShade="F2"/>
      <w:lang w:eastAsia="zh-CN"/>
    </w:rPr>
  </w:style>
  <w:style w:type="character" w:customStyle="1" w:styleId="CharTok">
    <w:name w:val="CharTok"/>
    <w:basedOn w:val="VerbatimChar"/>
    <w:rPr>
      <w:rFonts w:ascii="宋体" w:eastAsia="宋体" w:hAnsi="宋体" w:cs="Times New Roman (正文 CS 字体)"/>
      <w:color w:val="4070A0"/>
      <w:sz w:val="21"/>
      <w:shd w:val="solid" w:color="F3F4F4" w:fill="F2F2F2" w:themeFill="background1" w:themeFillShade="F2"/>
      <w:lang w:eastAsia="zh-CN"/>
    </w:rPr>
  </w:style>
  <w:style w:type="character" w:customStyle="1" w:styleId="SpecialCharTok">
    <w:name w:val="SpecialCharTok"/>
    <w:basedOn w:val="VerbatimChar"/>
    <w:rPr>
      <w:rFonts w:ascii="宋体" w:eastAsia="宋体" w:hAnsi="宋体" w:cs="Times New Roman (正文 CS 字体)"/>
      <w:color w:val="4070A0"/>
      <w:sz w:val="21"/>
      <w:shd w:val="solid" w:color="F3F4F4" w:fill="F2F2F2" w:themeFill="background1" w:themeFillShade="F2"/>
      <w:lang w:eastAsia="zh-CN"/>
    </w:rPr>
  </w:style>
  <w:style w:type="character" w:customStyle="1" w:styleId="StringTok">
    <w:name w:val="StringTok"/>
    <w:basedOn w:val="VerbatimChar"/>
    <w:rPr>
      <w:rFonts w:ascii="宋体" w:eastAsia="宋体" w:hAnsi="宋体" w:cs="Times New Roman (正文 CS 字体)"/>
      <w:color w:val="4070A0"/>
      <w:sz w:val="21"/>
      <w:shd w:val="solid" w:color="F3F4F4" w:fill="F2F2F2" w:themeFill="background1" w:themeFillShade="F2"/>
      <w:lang w:eastAsia="zh-CN"/>
    </w:rPr>
  </w:style>
  <w:style w:type="character" w:customStyle="1" w:styleId="VerbatimStringTok">
    <w:name w:val="VerbatimStringTok"/>
    <w:basedOn w:val="VerbatimChar"/>
    <w:rPr>
      <w:rFonts w:ascii="宋体" w:eastAsia="宋体" w:hAnsi="宋体" w:cs="Times New Roman (正文 CS 字体)"/>
      <w:color w:val="4070A0"/>
      <w:sz w:val="21"/>
      <w:shd w:val="solid" w:color="F3F4F4" w:fill="F2F2F2" w:themeFill="background1" w:themeFillShade="F2"/>
      <w:lang w:eastAsia="zh-CN"/>
    </w:rPr>
  </w:style>
  <w:style w:type="character" w:customStyle="1" w:styleId="SpecialStringTok">
    <w:name w:val="SpecialStringTok"/>
    <w:basedOn w:val="VerbatimChar"/>
    <w:rPr>
      <w:rFonts w:ascii="宋体" w:eastAsia="宋体" w:hAnsi="宋体" w:cs="Times New Roman (正文 CS 字体)"/>
      <w:color w:val="BB6688"/>
      <w:sz w:val="21"/>
      <w:shd w:val="solid" w:color="F3F4F4" w:fill="F2F2F2" w:themeFill="background1" w:themeFillShade="F2"/>
      <w:lang w:eastAsia="zh-CN"/>
    </w:rPr>
  </w:style>
  <w:style w:type="character" w:customStyle="1" w:styleId="ImportTok">
    <w:name w:val="ImportTok"/>
    <w:basedOn w:val="VerbatimChar"/>
    <w:rPr>
      <w:rFonts w:ascii="宋体" w:eastAsia="宋体" w:hAnsi="宋体" w:cs="Times New Roman (正文 CS 字体)"/>
      <w:b/>
      <w:color w:val="008000"/>
      <w:sz w:val="21"/>
      <w:shd w:val="solid" w:color="F3F4F4" w:fill="F2F2F2" w:themeFill="background1" w:themeFillShade="F2"/>
      <w:lang w:eastAsia="zh-CN"/>
    </w:rPr>
  </w:style>
  <w:style w:type="character" w:customStyle="1" w:styleId="CommentTok">
    <w:name w:val="CommentTok"/>
    <w:basedOn w:val="VerbatimChar"/>
    <w:rPr>
      <w:rFonts w:ascii="宋体" w:eastAsia="宋体" w:hAnsi="宋体" w:cs="Times New Roman (正文 CS 字体)"/>
      <w:i/>
      <w:color w:val="60A0B0"/>
      <w:sz w:val="21"/>
      <w:shd w:val="solid" w:color="F3F4F4" w:fill="F2F2F2" w:themeFill="background1" w:themeFillShade="F2"/>
      <w:lang w:eastAsia="zh-CN"/>
    </w:rPr>
  </w:style>
  <w:style w:type="character" w:customStyle="1" w:styleId="DocumentationTok">
    <w:name w:val="DocumentationTok"/>
    <w:basedOn w:val="VerbatimChar"/>
    <w:rPr>
      <w:rFonts w:ascii="宋体" w:eastAsia="宋体" w:hAnsi="宋体" w:cs="Times New Roman (正文 CS 字体)"/>
      <w:i/>
      <w:color w:val="BA2121"/>
      <w:sz w:val="21"/>
      <w:shd w:val="solid" w:color="F3F4F4" w:fill="F2F2F2" w:themeFill="background1" w:themeFillShade="F2"/>
      <w:lang w:eastAsia="zh-CN"/>
    </w:rPr>
  </w:style>
  <w:style w:type="character" w:customStyle="1" w:styleId="AnnotationTok">
    <w:name w:val="AnnotationTok"/>
    <w:basedOn w:val="VerbatimChar"/>
    <w:rPr>
      <w:rFonts w:ascii="宋体" w:eastAsia="宋体" w:hAnsi="宋体" w:cs="Times New Roman (正文 CS 字体)"/>
      <w:b/>
      <w:i/>
      <w:color w:val="60A0B0"/>
      <w:sz w:val="21"/>
      <w:shd w:val="solid" w:color="F3F4F4" w:fill="F2F2F2" w:themeFill="background1" w:themeFillShade="F2"/>
      <w:lang w:eastAsia="zh-CN"/>
    </w:rPr>
  </w:style>
  <w:style w:type="character" w:customStyle="1" w:styleId="CommentVarTok">
    <w:name w:val="CommentVarTok"/>
    <w:basedOn w:val="VerbatimChar"/>
    <w:rPr>
      <w:rFonts w:ascii="宋体" w:eastAsia="宋体" w:hAnsi="宋体" w:cs="Times New Roman (正文 CS 字体)"/>
      <w:b/>
      <w:i/>
      <w:color w:val="60A0B0"/>
      <w:sz w:val="21"/>
      <w:shd w:val="solid" w:color="F3F4F4" w:fill="F2F2F2" w:themeFill="background1" w:themeFillShade="F2"/>
      <w:lang w:eastAsia="zh-CN"/>
    </w:rPr>
  </w:style>
  <w:style w:type="character" w:customStyle="1" w:styleId="OtherTok">
    <w:name w:val="OtherTok"/>
    <w:basedOn w:val="VerbatimChar"/>
    <w:rPr>
      <w:rFonts w:ascii="宋体" w:eastAsia="宋体" w:hAnsi="宋体" w:cs="Times New Roman (正文 CS 字体)"/>
      <w:color w:val="007020"/>
      <w:sz w:val="21"/>
      <w:shd w:val="solid" w:color="F3F4F4" w:fill="F2F2F2" w:themeFill="background1" w:themeFillShade="F2"/>
      <w:lang w:eastAsia="zh-CN"/>
    </w:rPr>
  </w:style>
  <w:style w:type="character" w:customStyle="1" w:styleId="FunctionTok">
    <w:name w:val="FunctionTok"/>
    <w:basedOn w:val="VerbatimChar"/>
    <w:rPr>
      <w:rFonts w:ascii="宋体" w:eastAsia="宋体" w:hAnsi="宋体" w:cs="Times New Roman (正文 CS 字体)"/>
      <w:color w:val="06287E"/>
      <w:sz w:val="21"/>
      <w:shd w:val="solid" w:color="F3F4F4" w:fill="F2F2F2" w:themeFill="background1" w:themeFillShade="F2"/>
      <w:lang w:eastAsia="zh-CN"/>
    </w:rPr>
  </w:style>
  <w:style w:type="character" w:customStyle="1" w:styleId="VariableTok">
    <w:name w:val="VariableTok"/>
    <w:basedOn w:val="VerbatimChar"/>
    <w:rPr>
      <w:rFonts w:ascii="宋体" w:eastAsia="宋体" w:hAnsi="宋体" w:cs="Times New Roman (正文 CS 字体)"/>
      <w:color w:val="19177C"/>
      <w:sz w:val="21"/>
      <w:shd w:val="solid" w:color="F3F4F4" w:fill="F2F2F2" w:themeFill="background1" w:themeFillShade="F2"/>
      <w:lang w:eastAsia="zh-CN"/>
    </w:rPr>
  </w:style>
  <w:style w:type="character" w:customStyle="1" w:styleId="ControlFlowTok">
    <w:name w:val="ControlFlowTok"/>
    <w:basedOn w:val="VerbatimChar"/>
    <w:rPr>
      <w:rFonts w:ascii="宋体" w:eastAsia="宋体" w:hAnsi="宋体" w:cs="Times New Roman (正文 CS 字体)"/>
      <w:b/>
      <w:color w:val="007020"/>
      <w:sz w:val="21"/>
      <w:shd w:val="solid" w:color="F3F4F4" w:fill="F2F2F2" w:themeFill="background1" w:themeFillShade="F2"/>
      <w:lang w:eastAsia="zh-CN"/>
    </w:rPr>
  </w:style>
  <w:style w:type="character" w:customStyle="1" w:styleId="OperatorTok">
    <w:name w:val="OperatorTok"/>
    <w:basedOn w:val="VerbatimChar"/>
    <w:rPr>
      <w:rFonts w:ascii="宋体" w:eastAsia="宋体" w:hAnsi="宋体" w:cs="Times New Roman (正文 CS 字体)"/>
      <w:color w:val="666666"/>
      <w:sz w:val="21"/>
      <w:shd w:val="solid" w:color="F3F4F4" w:fill="F2F2F2" w:themeFill="background1" w:themeFillShade="F2"/>
      <w:lang w:eastAsia="zh-CN"/>
    </w:rPr>
  </w:style>
  <w:style w:type="character" w:customStyle="1" w:styleId="BuiltInTok">
    <w:name w:val="BuiltInTok"/>
    <w:basedOn w:val="VerbatimChar"/>
    <w:rPr>
      <w:rFonts w:ascii="宋体" w:eastAsia="宋体" w:hAnsi="宋体" w:cs="Times New Roman (正文 CS 字体)"/>
      <w:color w:val="008000"/>
      <w:sz w:val="21"/>
      <w:shd w:val="solid" w:color="F3F4F4" w:fill="F2F2F2" w:themeFill="background1" w:themeFillShade="F2"/>
      <w:lang w:eastAsia="zh-CN"/>
    </w:rPr>
  </w:style>
  <w:style w:type="character" w:customStyle="1" w:styleId="ExtensionTok">
    <w:name w:val="ExtensionTok"/>
    <w:basedOn w:val="VerbatimChar"/>
    <w:rPr>
      <w:rFonts w:ascii="宋体" w:eastAsia="宋体" w:hAnsi="宋体" w:cs="Times New Roman (正文 CS 字体)"/>
      <w:color w:val="404040" w:themeColor="text1" w:themeTint="BF"/>
      <w:sz w:val="21"/>
      <w:shd w:val="solid" w:color="F3F4F4" w:fill="F2F2F2" w:themeFill="background1" w:themeFillShade="F2"/>
      <w:lang w:eastAsia="zh-CN"/>
    </w:rPr>
  </w:style>
  <w:style w:type="character" w:customStyle="1" w:styleId="PreprocessorTok">
    <w:name w:val="PreprocessorTok"/>
    <w:basedOn w:val="VerbatimChar"/>
    <w:rPr>
      <w:rFonts w:ascii="宋体" w:eastAsia="宋体" w:hAnsi="宋体" w:cs="Times New Roman (正文 CS 字体)"/>
      <w:color w:val="BC7A00"/>
      <w:sz w:val="21"/>
      <w:shd w:val="solid" w:color="F3F4F4" w:fill="F2F2F2" w:themeFill="background1" w:themeFillShade="F2"/>
      <w:lang w:eastAsia="zh-CN"/>
    </w:rPr>
  </w:style>
  <w:style w:type="character" w:customStyle="1" w:styleId="AttributeTok">
    <w:name w:val="AttributeTok"/>
    <w:basedOn w:val="VerbatimChar"/>
    <w:rPr>
      <w:rFonts w:ascii="宋体" w:eastAsia="宋体" w:hAnsi="宋体" w:cs="Times New Roman (正文 CS 字体)"/>
      <w:color w:val="7D9029"/>
      <w:sz w:val="21"/>
      <w:shd w:val="solid" w:color="F3F4F4" w:fill="F2F2F2" w:themeFill="background1" w:themeFillShade="F2"/>
      <w:lang w:eastAsia="zh-CN"/>
    </w:rPr>
  </w:style>
  <w:style w:type="character" w:customStyle="1" w:styleId="RegionMarkerTok">
    <w:name w:val="RegionMarkerTok"/>
    <w:basedOn w:val="VerbatimChar"/>
    <w:rPr>
      <w:rFonts w:ascii="宋体" w:eastAsia="宋体" w:hAnsi="宋体" w:cs="Times New Roman (正文 CS 字体)"/>
      <w:color w:val="404040" w:themeColor="text1" w:themeTint="BF"/>
      <w:sz w:val="21"/>
      <w:shd w:val="solid" w:color="F3F4F4" w:fill="F2F2F2" w:themeFill="background1" w:themeFillShade="F2"/>
      <w:lang w:eastAsia="zh-CN"/>
    </w:rPr>
  </w:style>
  <w:style w:type="character" w:customStyle="1" w:styleId="InformationTok">
    <w:name w:val="InformationTok"/>
    <w:basedOn w:val="VerbatimChar"/>
    <w:rPr>
      <w:rFonts w:ascii="宋体" w:eastAsia="宋体" w:hAnsi="宋体" w:cs="Times New Roman (正文 CS 字体)"/>
      <w:b/>
      <w:i/>
      <w:color w:val="60A0B0"/>
      <w:sz w:val="21"/>
      <w:shd w:val="solid" w:color="F3F4F4" w:fill="F2F2F2" w:themeFill="background1" w:themeFillShade="F2"/>
      <w:lang w:eastAsia="zh-CN"/>
    </w:rPr>
  </w:style>
  <w:style w:type="character" w:customStyle="1" w:styleId="WarningTok">
    <w:name w:val="WarningTok"/>
    <w:basedOn w:val="VerbatimChar"/>
    <w:rPr>
      <w:rFonts w:ascii="宋体" w:eastAsia="宋体" w:hAnsi="宋体" w:cs="Times New Roman (正文 CS 字体)"/>
      <w:b/>
      <w:i/>
      <w:color w:val="60A0B0"/>
      <w:sz w:val="21"/>
      <w:shd w:val="solid" w:color="F3F4F4" w:fill="F2F2F2" w:themeFill="background1" w:themeFillShade="F2"/>
      <w:lang w:eastAsia="zh-CN"/>
    </w:rPr>
  </w:style>
  <w:style w:type="character" w:customStyle="1" w:styleId="AlertTok">
    <w:name w:val="AlertTok"/>
    <w:basedOn w:val="VerbatimChar"/>
    <w:rPr>
      <w:rFonts w:ascii="宋体" w:eastAsia="宋体" w:hAnsi="宋体" w:cs="Times New Roman (正文 CS 字体)"/>
      <w:b/>
      <w:color w:val="FF0000"/>
      <w:sz w:val="21"/>
      <w:shd w:val="solid" w:color="F3F4F4" w:fill="F2F2F2" w:themeFill="background1" w:themeFillShade="F2"/>
      <w:lang w:eastAsia="zh-CN"/>
    </w:rPr>
  </w:style>
  <w:style w:type="character" w:customStyle="1" w:styleId="ErrorTok">
    <w:name w:val="ErrorTok"/>
    <w:basedOn w:val="VerbatimChar"/>
    <w:rPr>
      <w:rFonts w:ascii="宋体" w:eastAsia="宋体" w:hAnsi="宋体" w:cs="Times New Roman (正文 CS 字体)"/>
      <w:b/>
      <w:color w:val="FF0000"/>
      <w:sz w:val="21"/>
      <w:shd w:val="solid" w:color="F3F4F4" w:fill="F2F2F2" w:themeFill="background1" w:themeFillShade="F2"/>
      <w:lang w:eastAsia="zh-CN"/>
    </w:rPr>
  </w:style>
  <w:style w:type="character" w:customStyle="1" w:styleId="NormalTok">
    <w:name w:val="NormalTok"/>
    <w:basedOn w:val="VerbatimChar"/>
    <w:rPr>
      <w:rFonts w:ascii="宋体" w:eastAsia="宋体" w:hAnsi="宋体" w:cs="Times New Roman (正文 CS 字体)"/>
      <w:color w:val="404040" w:themeColor="text1" w:themeTint="BF"/>
      <w:sz w:val="21"/>
      <w:shd w:val="solid" w:color="F3F4F4" w:fill="F2F2F2" w:themeFill="background1" w:themeFillShade="F2"/>
      <w:lang w:eastAsia="zh-CN"/>
    </w:rPr>
  </w:style>
  <w:style w:type="paragraph" w:styleId="af">
    <w:name w:val="Balloon Text"/>
    <w:basedOn w:val="a"/>
    <w:link w:val="Char3"/>
    <w:rsid w:val="00BC0B3A"/>
    <w:pPr>
      <w:spacing w:line="240" w:lineRule="auto"/>
    </w:pPr>
    <w:rPr>
      <w:sz w:val="18"/>
      <w:szCs w:val="18"/>
    </w:rPr>
  </w:style>
  <w:style w:type="character" w:customStyle="1" w:styleId="Char3">
    <w:name w:val="批注框文本 Char"/>
    <w:basedOn w:val="a1"/>
    <w:link w:val="af"/>
    <w:rsid w:val="00BC0B3A"/>
    <w:rPr>
      <w:rFonts w:ascii="Times New Roman" w:eastAsia="宋体" w:hAnsi="Times New Roman"/>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816</Words>
  <Characters>4656</Characters>
  <Application>Microsoft Office Word</Application>
  <DocSecurity>0</DocSecurity>
  <Lines>38</Lines>
  <Paragraphs>10</Paragraphs>
  <ScaleCrop>false</ScaleCrop>
  <Company>P R C</Company>
  <LinksUpToDate>false</LinksUpToDate>
  <CharactersWithSpaces>5462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2026-09-12T15:05:00Z</dcterms:created>
  <dcterms:modified xsi:type="dcterms:W3CDTF">2026-09-12T15:05:00Z</dcterms:modified>
</cp:coreProperties>
</file>