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D4D3C">
      <w:pPr>
        <w:ind w:firstLine="5710" w:firstLineChars="395"/>
        <w:jc w:val="right"/>
        <w:rPr>
          <w:b/>
          <w:sz w:val="144"/>
        </w:rPr>
      </w:pPr>
      <w:r>
        <w:rPr>
          <w:b/>
          <w:sz w:val="144"/>
        </w:rPr>
        <w:t>JJF</w:t>
      </w:r>
    </w:p>
    <w:p w14:paraId="7D597E30">
      <w:pPr>
        <w:ind w:hanging="180"/>
        <w:jc w:val="center"/>
        <w:rPr>
          <w:kern w:val="13"/>
          <w:sz w:val="52"/>
        </w:rPr>
      </w:pPr>
      <w:r>
        <w:rPr>
          <w:kern w:val="13"/>
          <w:sz w:val="52"/>
        </w:rPr>
        <w:t>中华人民共和国国家计量技术规范</w:t>
      </w:r>
    </w:p>
    <w:p w14:paraId="32757D00">
      <w:pPr>
        <w:snapToGrid w:val="0"/>
        <w:ind w:hanging="181"/>
        <w:jc w:val="center"/>
        <w:rPr>
          <w:rFonts w:eastAsia="黑体"/>
          <w:b/>
          <w:kern w:val="13"/>
          <w:sz w:val="28"/>
        </w:rPr>
      </w:pPr>
    </w:p>
    <w:p w14:paraId="711DB9C8">
      <w:pPr>
        <w:ind w:hanging="180"/>
        <w:jc w:val="center"/>
        <w:rPr>
          <w:rFonts w:eastAsia="黑体"/>
          <w:kern w:val="13"/>
          <w:sz w:val="28"/>
        </w:rPr>
      </w:pPr>
      <w:r>
        <w:rPr>
          <w:rFonts w:eastAsia="黑体"/>
          <w:kern w:val="13"/>
          <w:sz w:val="28"/>
        </w:rPr>
        <w:t xml:space="preserve"> JJF××××—202×</w:t>
      </w:r>
    </w:p>
    <w:p w14:paraId="53CE8178">
      <w:pPr>
        <w:pBdr>
          <w:bottom w:val="single" w:color="auto" w:sz="12" w:space="0"/>
        </w:pBdr>
        <w:rPr>
          <w:b/>
          <w:spacing w:val="20"/>
          <w:kern w:val="13"/>
        </w:rPr>
      </w:pPr>
    </w:p>
    <w:p w14:paraId="5D04DEAE">
      <w:pPr>
        <w:jc w:val="center"/>
        <w:rPr>
          <w:rFonts w:eastAsia="黑体"/>
          <w:sz w:val="52"/>
        </w:rPr>
      </w:pPr>
    </w:p>
    <w:p w14:paraId="6801AE9E">
      <w:pPr>
        <w:ind w:left="2383" w:hanging="2383" w:hangingChars="950"/>
        <w:rPr>
          <w:b/>
          <w:spacing w:val="20"/>
          <w:kern w:val="13"/>
        </w:rPr>
      </w:pPr>
    </w:p>
    <w:p w14:paraId="4E6C9C35">
      <w:pPr>
        <w:pStyle w:val="29"/>
        <w:jc w:val="center"/>
        <w:rPr>
          <w:rFonts w:ascii="Times New Roman" w:hAnsi="Times New Roman" w:eastAsia="黑体" w:cs="Times New Roman"/>
          <w:kern w:val="2"/>
          <w:sz w:val="52"/>
        </w:rPr>
      </w:pPr>
      <w:r>
        <w:rPr>
          <w:rFonts w:ascii="Times New Roman" w:hAnsi="Times New Roman" w:eastAsia="黑体" w:cs="Times New Roman"/>
          <w:kern w:val="2"/>
          <w:sz w:val="52"/>
        </w:rPr>
        <w:t>自动反应量热仪校准规范</w:t>
      </w:r>
    </w:p>
    <w:p w14:paraId="7430A41C">
      <w:pPr>
        <w:jc w:val="center"/>
        <w:rPr>
          <w:b/>
          <w:spacing w:val="20"/>
          <w:kern w:val="13"/>
          <w:sz w:val="36"/>
        </w:rPr>
      </w:pPr>
      <w:r>
        <w:rPr>
          <w:rFonts w:eastAsia="黑体"/>
          <w:b/>
          <w:kern w:val="13"/>
          <w:sz w:val="28"/>
        </w:rPr>
        <w:t>Calibration Specification for Automatic Reaction Calorimeter</w:t>
      </w:r>
    </w:p>
    <w:p w14:paraId="482DCCE5">
      <w:pPr>
        <w:jc w:val="center"/>
        <w:rPr>
          <w:b/>
          <w:spacing w:val="20"/>
          <w:kern w:val="13"/>
          <w:sz w:val="36"/>
        </w:rPr>
      </w:pPr>
    </w:p>
    <w:p w14:paraId="42523D6A">
      <w:pPr>
        <w:jc w:val="center"/>
        <w:rPr>
          <w:b/>
          <w:spacing w:val="20"/>
          <w:kern w:val="13"/>
          <w:sz w:val="36"/>
        </w:rPr>
      </w:pPr>
      <w:r>
        <w:rPr>
          <w:rFonts w:hint="eastAsia" w:eastAsiaTheme="minorEastAsia"/>
          <w:spacing w:val="11"/>
          <w:sz w:val="26"/>
          <w:szCs w:val="26"/>
        </w:rPr>
        <w:t>（征求意见稿）</w:t>
      </w:r>
    </w:p>
    <w:p w14:paraId="4C57E3F9">
      <w:pPr>
        <w:rPr>
          <w:b/>
          <w:spacing w:val="20"/>
          <w:kern w:val="13"/>
          <w:sz w:val="36"/>
        </w:rPr>
      </w:pPr>
    </w:p>
    <w:p w14:paraId="26D40F03">
      <w:pPr>
        <w:rPr>
          <w:b/>
          <w:spacing w:val="20"/>
          <w:kern w:val="13"/>
          <w:sz w:val="36"/>
        </w:rPr>
      </w:pPr>
    </w:p>
    <w:p w14:paraId="11BA6257">
      <w:pPr>
        <w:pBdr>
          <w:bottom w:val="single" w:color="auto" w:sz="6" w:space="1"/>
        </w:pBdr>
        <w:rPr>
          <w:b/>
          <w:spacing w:val="20"/>
          <w:kern w:val="13"/>
        </w:rPr>
      </w:pPr>
    </w:p>
    <w:p w14:paraId="0DB13080">
      <w:pPr>
        <w:pBdr>
          <w:bottom w:val="single" w:color="auto" w:sz="6" w:space="1"/>
        </w:pBdr>
        <w:rPr>
          <w:b/>
          <w:spacing w:val="20"/>
          <w:kern w:val="13"/>
        </w:rPr>
      </w:pPr>
    </w:p>
    <w:p w14:paraId="354207A8">
      <w:pPr>
        <w:pBdr>
          <w:bottom w:val="single" w:color="auto" w:sz="6" w:space="1"/>
        </w:pBdr>
        <w:rPr>
          <w:b/>
          <w:spacing w:val="20"/>
          <w:kern w:val="13"/>
        </w:rPr>
      </w:pPr>
    </w:p>
    <w:p w14:paraId="34712CAB">
      <w:pPr>
        <w:pBdr>
          <w:bottom w:val="single" w:color="auto" w:sz="6" w:space="1"/>
        </w:pBdr>
        <w:rPr>
          <w:b/>
          <w:spacing w:val="20"/>
          <w:kern w:val="13"/>
        </w:rPr>
      </w:pPr>
    </w:p>
    <w:p w14:paraId="125B8DE8">
      <w:pPr>
        <w:pBdr>
          <w:bottom w:val="single" w:color="auto" w:sz="6" w:space="1"/>
        </w:pBdr>
        <w:rPr>
          <w:b/>
          <w:spacing w:val="20"/>
          <w:kern w:val="13"/>
        </w:rPr>
      </w:pPr>
    </w:p>
    <w:p w14:paraId="0CE9FC49">
      <w:pPr>
        <w:pBdr>
          <w:bottom w:val="single" w:color="auto" w:sz="6" w:space="1"/>
        </w:pBdr>
        <w:rPr>
          <w:b/>
          <w:spacing w:val="20"/>
          <w:kern w:val="13"/>
        </w:rPr>
      </w:pPr>
    </w:p>
    <w:p w14:paraId="6753C3CF">
      <w:pPr>
        <w:pBdr>
          <w:bottom w:val="single" w:color="auto" w:sz="6" w:space="1"/>
        </w:pBdr>
        <w:rPr>
          <w:b/>
          <w:spacing w:val="20"/>
          <w:kern w:val="13"/>
        </w:rPr>
      </w:pPr>
    </w:p>
    <w:p w14:paraId="47373104">
      <w:pPr>
        <w:pBdr>
          <w:bottom w:val="single" w:color="auto" w:sz="6" w:space="1"/>
        </w:pBdr>
        <w:rPr>
          <w:b/>
          <w:spacing w:val="20"/>
          <w:kern w:val="13"/>
        </w:rPr>
      </w:pPr>
    </w:p>
    <w:p w14:paraId="43A45BE1">
      <w:pPr>
        <w:pBdr>
          <w:bottom w:val="single" w:color="auto" w:sz="6" w:space="1"/>
        </w:pBdr>
        <w:rPr>
          <w:b/>
          <w:spacing w:val="20"/>
          <w:kern w:val="13"/>
        </w:rPr>
      </w:pPr>
    </w:p>
    <w:p w14:paraId="0481C5BB">
      <w:pPr>
        <w:pBdr>
          <w:bottom w:val="single" w:color="auto" w:sz="6" w:space="1"/>
        </w:pBdr>
        <w:rPr>
          <w:rFonts w:eastAsia="黑体"/>
          <w:kern w:val="13"/>
          <w:sz w:val="28"/>
        </w:rPr>
      </w:pPr>
      <w:r>
        <w:rPr>
          <w:rFonts w:eastAsia="黑体"/>
          <w:kern w:val="13"/>
          <w:sz w:val="28"/>
        </w:rPr>
        <w:t>202×-××-××发布                   202×-××-××实施</w:t>
      </w:r>
    </w:p>
    <w:p w14:paraId="0C29BB8B">
      <w:pPr>
        <w:jc w:val="center"/>
        <w:rPr>
          <w:rFonts w:eastAsia="黑体"/>
          <w:sz w:val="28"/>
        </w:rPr>
      </w:pPr>
      <w:r>
        <w:rPr>
          <w:sz w:val="36"/>
        </w:rPr>
        <w:t>国家市场监督管理总局</w:t>
      </w:r>
      <w:r>
        <w:rPr>
          <w:rFonts w:eastAsia="黑体"/>
          <w:sz w:val="28"/>
        </w:rPr>
        <w:t>发 布</w:t>
      </w:r>
    </w:p>
    <w:p w14:paraId="6EBFB149">
      <w:pPr>
        <w:ind w:firstLine="440" w:firstLineChars="100"/>
        <w:rPr>
          <w:rFonts w:eastAsia="黑体"/>
          <w:sz w:val="44"/>
        </w:rPr>
      </w:pPr>
      <w:r>
        <w:rPr>
          <w:rFonts w:eastAsia="黑体"/>
          <w:sz w:val="44"/>
        </w:rPr>
        <w:br w:type="page"/>
      </w:r>
    </w:p>
    <w:p w14:paraId="1644D307">
      <w:pPr>
        <w:ind w:firstLine="440" w:firstLineChars="100"/>
        <w:rPr>
          <w:rFonts w:hint="eastAsia" w:eastAsia="黑体"/>
          <w:sz w:val="44"/>
        </w:rPr>
      </w:pPr>
      <w:r>
        <w:rPr>
          <w:rFonts w:eastAsia="黑体"/>
          <w:sz w:val="44"/>
        </w:rPr>
        <mc:AlternateContent>
          <mc:Choice Requires="wps">
            <w:drawing>
              <wp:anchor distT="0" distB="0" distL="114300" distR="114300" simplePos="0" relativeHeight="251660288" behindDoc="0" locked="0" layoutInCell="1" allowOverlap="1">
                <wp:simplePos x="0" y="0"/>
                <wp:positionH relativeFrom="column">
                  <wp:posOffset>3314700</wp:posOffset>
                </wp:positionH>
                <wp:positionV relativeFrom="paragraph">
                  <wp:posOffset>20955</wp:posOffset>
                </wp:positionV>
                <wp:extent cx="1828800" cy="869315"/>
                <wp:effectExtent l="5080" t="4445" r="13970" b="21590"/>
                <wp:wrapNone/>
                <wp:docPr id="7" name="矩形 4"/>
                <wp:cNvGraphicFramePr/>
                <a:graphic xmlns:a="http://schemas.openxmlformats.org/drawingml/2006/main">
                  <a:graphicData uri="http://schemas.microsoft.com/office/word/2010/wordprocessingShape">
                    <wps:wsp>
                      <wps:cNvSpPr>
                        <a:spLocks noChangeArrowheads="1"/>
                      </wps:cNvSpPr>
                      <wps:spPr bwMode="auto">
                        <a:xfrm>
                          <a:off x="0" y="0"/>
                          <a:ext cx="1828800" cy="869315"/>
                        </a:xfrm>
                        <a:prstGeom prst="rect">
                          <a:avLst/>
                        </a:prstGeom>
                        <a:solidFill>
                          <a:srgbClr val="FFFFFF"/>
                        </a:solidFill>
                        <a:ln w="9525">
                          <a:solidFill>
                            <a:srgbClr val="000000"/>
                          </a:solidFill>
                          <a:prstDash val="sysDot"/>
                          <a:miter lim="800000"/>
                        </a:ln>
                        <a:effectLst/>
                      </wps:spPr>
                      <wps:txbx>
                        <w:txbxContent>
                          <w:p w14:paraId="411E4CA8">
                            <w:pPr>
                              <w:jc w:val="center"/>
                              <w:rPr>
                                <w:rFonts w:eastAsia="黑体"/>
                                <w:b/>
                                <w:sz w:val="28"/>
                                <w:szCs w:val="28"/>
                              </w:rPr>
                            </w:pPr>
                            <w:r>
                              <w:rPr>
                                <w:rFonts w:eastAsia="黑体"/>
                                <w:b/>
                                <w:sz w:val="28"/>
                                <w:szCs w:val="28"/>
                              </w:rPr>
                              <w:t>JJF ××××– 202×</w:t>
                            </w:r>
                          </w:p>
                          <w:p w14:paraId="011C0356">
                            <w:pPr>
                              <w:ind w:firstLine="420"/>
                            </w:pPr>
                          </w:p>
                        </w:txbxContent>
                      </wps:txbx>
                      <wps:bodyPr rot="0" vert="horz" wrap="square" lIns="91440" tIns="45720" rIns="91440" bIns="45720" anchor="t" anchorCtr="0" upright="1">
                        <a:noAutofit/>
                      </wps:bodyPr>
                    </wps:wsp>
                  </a:graphicData>
                </a:graphic>
              </wp:anchor>
            </w:drawing>
          </mc:Choice>
          <mc:Fallback>
            <w:pict>
              <v:rect id="矩形 4" o:spid="_x0000_s1026" o:spt="1" style="position:absolute;left:0pt;margin-left:261pt;margin-top:1.65pt;height:68.45pt;width:144pt;z-index:251660288;mso-width-relative:page;mso-height-relative:page;" fillcolor="#FFFFFF" filled="t" stroked="t" coordsize="21600,21600" o:gfxdata="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7olwC1AAAAAkBAAAPAAAAAAAAAAEA&#10;IAAAACIAAABkcnMvZG93bnJldi54bWxQSwECFAAUAAAACACHTuJAV7zSuUwCAACiBAAADgAAAAAA&#10;AAABACAAAAAjAQAAZHJzL2Uyb0RvYy54bWxQSwUGAAAAAAYABgBZAQAA4QUAAAAA&#10;">
                <v:fill on="t" focussize="0,0"/>
                <v:stroke color="#000000" miterlimit="8" joinstyle="miter" dashstyle="1 1"/>
                <v:imagedata o:title=""/>
                <o:lock v:ext="edit" aspectratio="f"/>
                <v:textbox>
                  <w:txbxContent>
                    <w:p w14:paraId="411E4CA8">
                      <w:pPr>
                        <w:jc w:val="center"/>
                        <w:rPr>
                          <w:rFonts w:eastAsia="黑体"/>
                          <w:b/>
                          <w:sz w:val="28"/>
                          <w:szCs w:val="28"/>
                        </w:rPr>
                      </w:pPr>
                      <w:r>
                        <w:rPr>
                          <w:rFonts w:eastAsia="黑体"/>
                          <w:b/>
                          <w:sz w:val="28"/>
                          <w:szCs w:val="28"/>
                        </w:rPr>
                        <w:t>JJF ××××– 202×</w:t>
                      </w:r>
                    </w:p>
                    <w:p w14:paraId="011C0356">
                      <w:pPr>
                        <w:ind w:firstLine="420"/>
                      </w:pPr>
                    </w:p>
                  </w:txbxContent>
                </v:textbox>
              </v:rect>
            </w:pict>
          </mc:Fallback>
        </mc:AlternateContent>
      </w:r>
      <w:r>
        <w:rPr>
          <w:rFonts w:eastAsia="黑体"/>
          <w:sz w:val="44"/>
        </w:rPr>
        <w:t>自动反应量热仪</w:t>
      </w:r>
    </w:p>
    <w:p w14:paraId="714692EB">
      <w:pPr>
        <w:ind w:firstLine="1320" w:firstLineChars="300"/>
        <w:rPr>
          <w:rFonts w:eastAsia="黑体"/>
          <w:sz w:val="44"/>
        </w:rPr>
      </w:pPr>
      <w:r>
        <w:rPr>
          <w:rFonts w:eastAsia="黑体"/>
          <w:sz w:val="44"/>
        </w:rPr>
        <w:t>校准规范</w:t>
      </w:r>
    </w:p>
    <w:p w14:paraId="28813F22">
      <w:pPr>
        <w:ind w:firstLine="0" w:firstLineChars="0"/>
        <w:rPr>
          <w:rFonts w:eastAsia="黑体"/>
          <w:sz w:val="44"/>
        </w:rPr>
      </w:pPr>
    </w:p>
    <w:p w14:paraId="633FDEE2">
      <w:pPr>
        <w:rPr>
          <w:b/>
          <w:spacing w:val="20"/>
          <w:kern w:val="13"/>
          <w:sz w:val="36"/>
        </w:rPr>
      </w:pPr>
      <w:r>
        <w:rPr>
          <w:rFonts w:eastAsia="黑体"/>
          <w:b/>
          <w:kern w:val="13"/>
          <w:sz w:val="28"/>
        </w:rPr>
        <w:t>Calibration Specification for Automatic Reaction Calorimeter</w:t>
      </w:r>
    </w:p>
    <w:p w14:paraId="006AE841">
      <w:pPr>
        <w:pBdr>
          <w:bottom w:val="single" w:color="auto" w:sz="6" w:space="1"/>
        </w:pBdr>
        <w:rPr>
          <w:spacing w:val="20"/>
        </w:rPr>
      </w:pPr>
    </w:p>
    <w:p w14:paraId="36433B64">
      <w:pPr>
        <w:rPr>
          <w:b/>
          <w:spacing w:val="20"/>
          <w:kern w:val="13"/>
        </w:rPr>
      </w:pPr>
    </w:p>
    <w:p w14:paraId="69803813">
      <w:pPr>
        <w:spacing w:line="360" w:lineRule="auto"/>
        <w:ind w:firstLine="640" w:firstLineChars="200"/>
        <w:rPr>
          <w:rFonts w:eastAsia="黑体"/>
          <w:spacing w:val="20"/>
          <w:kern w:val="13"/>
          <w:sz w:val="28"/>
        </w:rPr>
      </w:pPr>
    </w:p>
    <w:p w14:paraId="00162C6C">
      <w:pPr>
        <w:spacing w:line="360" w:lineRule="auto"/>
        <w:rPr>
          <w:rFonts w:eastAsia="黑体"/>
          <w:spacing w:val="20"/>
          <w:kern w:val="13"/>
          <w:sz w:val="28"/>
        </w:rPr>
      </w:pPr>
    </w:p>
    <w:p w14:paraId="3B0F84CF">
      <w:pPr>
        <w:spacing w:line="360" w:lineRule="auto"/>
        <w:rPr>
          <w:rFonts w:eastAsia="黑体"/>
          <w:spacing w:val="20"/>
          <w:kern w:val="13"/>
          <w:sz w:val="28"/>
        </w:rPr>
      </w:pPr>
    </w:p>
    <w:p w14:paraId="2147EDF6">
      <w:pPr>
        <w:spacing w:line="360" w:lineRule="auto"/>
        <w:rPr>
          <w:rFonts w:eastAsia="黑体"/>
          <w:spacing w:val="20"/>
          <w:kern w:val="13"/>
          <w:sz w:val="28"/>
        </w:rPr>
      </w:pPr>
    </w:p>
    <w:p w14:paraId="26479581">
      <w:pPr>
        <w:spacing w:line="360" w:lineRule="auto"/>
        <w:ind w:firstLine="570"/>
        <w:rPr>
          <w:rFonts w:eastAsia="黑体"/>
          <w:spacing w:val="20"/>
          <w:kern w:val="13"/>
          <w:sz w:val="28"/>
        </w:rPr>
      </w:pPr>
      <w:r>
        <w:rPr>
          <w:rFonts w:eastAsia="黑体"/>
          <w:spacing w:val="20"/>
          <w:kern w:val="13"/>
          <w:sz w:val="28"/>
        </w:rPr>
        <w:t>归 口 单 位：</w:t>
      </w:r>
      <w:r>
        <w:rPr>
          <w:rFonts w:eastAsia="黑体"/>
          <w:spacing w:val="20"/>
          <w:kern w:val="13"/>
          <w:sz w:val="28"/>
          <w:szCs w:val="20"/>
        </w:rPr>
        <w:t>全国新材料与纳米计量技术委员会</w:t>
      </w:r>
    </w:p>
    <w:p w14:paraId="6AB93AE7">
      <w:pPr>
        <w:spacing w:line="360" w:lineRule="auto"/>
        <w:ind w:firstLine="570"/>
        <w:rPr>
          <w:rFonts w:eastAsia="黑体"/>
          <w:spacing w:val="20"/>
          <w:kern w:val="13"/>
          <w:sz w:val="28"/>
        </w:rPr>
      </w:pPr>
      <w:r>
        <w:rPr>
          <w:rFonts w:eastAsia="黑体"/>
          <w:spacing w:val="20"/>
          <w:kern w:val="13"/>
          <w:sz w:val="28"/>
        </w:rPr>
        <w:t>主要起草单位：</w:t>
      </w:r>
    </w:p>
    <w:p w14:paraId="521CC481">
      <w:pPr>
        <w:spacing w:line="360" w:lineRule="auto"/>
        <w:ind w:firstLine="570"/>
        <w:rPr>
          <w:rFonts w:eastAsia="黑体"/>
          <w:spacing w:val="20"/>
          <w:kern w:val="13"/>
          <w:sz w:val="28"/>
          <w:szCs w:val="20"/>
        </w:rPr>
      </w:pPr>
      <w:r>
        <w:rPr>
          <w:rFonts w:eastAsia="黑体"/>
          <w:spacing w:val="20"/>
          <w:kern w:val="13"/>
          <w:sz w:val="28"/>
        </w:rPr>
        <w:t>参加起草单位：</w:t>
      </w:r>
    </w:p>
    <w:p w14:paraId="116E8B56">
      <w:pPr>
        <w:spacing w:line="360" w:lineRule="auto"/>
        <w:ind w:firstLine="570"/>
        <w:rPr>
          <w:rFonts w:eastAsia="黑体"/>
          <w:spacing w:val="20"/>
          <w:kern w:val="13"/>
          <w:sz w:val="28"/>
          <w:szCs w:val="20"/>
        </w:rPr>
      </w:pPr>
    </w:p>
    <w:p w14:paraId="30F53231">
      <w:pPr>
        <w:spacing w:line="360" w:lineRule="auto"/>
        <w:ind w:firstLine="570"/>
        <w:rPr>
          <w:rFonts w:eastAsia="黑体"/>
          <w:spacing w:val="20"/>
          <w:kern w:val="13"/>
          <w:sz w:val="28"/>
          <w:szCs w:val="20"/>
        </w:rPr>
      </w:pPr>
    </w:p>
    <w:p w14:paraId="193D38FD">
      <w:pPr>
        <w:spacing w:line="360" w:lineRule="auto"/>
        <w:ind w:firstLine="570"/>
        <w:rPr>
          <w:spacing w:val="20"/>
          <w:kern w:val="13"/>
          <w:sz w:val="28"/>
        </w:rPr>
      </w:pPr>
    </w:p>
    <w:p w14:paraId="264A2851">
      <w:pPr>
        <w:spacing w:line="360" w:lineRule="auto"/>
        <w:ind w:firstLine="570"/>
        <w:rPr>
          <w:spacing w:val="20"/>
          <w:kern w:val="13"/>
          <w:sz w:val="28"/>
        </w:rPr>
      </w:pPr>
    </w:p>
    <w:p w14:paraId="61F3CDE2">
      <w:pPr>
        <w:spacing w:line="360" w:lineRule="auto"/>
        <w:ind w:firstLine="570"/>
        <w:rPr>
          <w:rFonts w:eastAsia="黑体"/>
          <w:spacing w:val="20"/>
          <w:kern w:val="13"/>
          <w:sz w:val="28"/>
        </w:rPr>
      </w:pPr>
    </w:p>
    <w:p w14:paraId="5AF317E9">
      <w:pPr>
        <w:spacing w:line="360" w:lineRule="auto"/>
        <w:ind w:firstLine="570"/>
        <w:rPr>
          <w:rFonts w:eastAsia="黑体"/>
          <w:spacing w:val="20"/>
          <w:kern w:val="13"/>
          <w:sz w:val="28"/>
        </w:rPr>
      </w:pPr>
    </w:p>
    <w:p w14:paraId="05419BAC">
      <w:pPr>
        <w:spacing w:line="360" w:lineRule="auto"/>
        <w:rPr>
          <w:rFonts w:eastAsia="黑体"/>
          <w:spacing w:val="20"/>
          <w:kern w:val="13"/>
          <w:sz w:val="28"/>
        </w:rPr>
      </w:pPr>
    </w:p>
    <w:p w14:paraId="43CDEC47">
      <w:pPr>
        <w:spacing w:line="360" w:lineRule="auto"/>
        <w:ind w:firstLine="560" w:firstLineChars="200"/>
        <w:rPr>
          <w:rFonts w:eastAsia="黑体"/>
          <w:kern w:val="13"/>
          <w:sz w:val="28"/>
          <w:szCs w:val="20"/>
        </w:rPr>
      </w:pPr>
      <w:r>
        <w:rPr>
          <w:rFonts w:eastAsia="黑体"/>
          <w:kern w:val="13"/>
          <w:sz w:val="28"/>
          <w:szCs w:val="20"/>
        </w:rPr>
        <w:t>本规范委托全国新材料与纳米计量技术委员会负责解释</w:t>
      </w:r>
    </w:p>
    <w:p w14:paraId="26A35AC0">
      <w:pPr>
        <w:widowControl/>
        <w:jc w:val="left"/>
        <w:rPr>
          <w:kern w:val="13"/>
          <w:sz w:val="28"/>
        </w:rPr>
      </w:pPr>
      <w:r>
        <w:rPr>
          <w:kern w:val="13"/>
          <w:sz w:val="28"/>
        </w:rPr>
        <w:br w:type="page"/>
      </w:r>
    </w:p>
    <w:p w14:paraId="07ED4E03">
      <w:pPr>
        <w:ind w:firstLine="560" w:firstLineChars="200"/>
        <w:rPr>
          <w:rFonts w:eastAsia="黑体"/>
          <w:kern w:val="13"/>
          <w:sz w:val="28"/>
        </w:rPr>
      </w:pPr>
    </w:p>
    <w:p w14:paraId="11FF6451">
      <w:pPr>
        <w:ind w:firstLine="560" w:firstLineChars="200"/>
        <w:rPr>
          <w:rFonts w:eastAsia="黑体"/>
          <w:kern w:val="13"/>
          <w:sz w:val="28"/>
        </w:rPr>
      </w:pPr>
      <w:r>
        <w:rPr>
          <w:rFonts w:eastAsia="黑体"/>
          <w:kern w:val="13"/>
          <w:sz w:val="28"/>
        </w:rPr>
        <w:t>本规范主要起草人：</w:t>
      </w:r>
    </w:p>
    <w:p w14:paraId="2C7DB9BC">
      <w:pPr>
        <w:rPr>
          <w:rFonts w:eastAsia="黑体"/>
          <w:kern w:val="13"/>
          <w:sz w:val="28"/>
        </w:rPr>
      </w:pPr>
      <w:r>
        <w:rPr>
          <w:rFonts w:eastAsia="黑体"/>
          <w:kern w:val="13"/>
          <w:sz w:val="28"/>
        </w:rPr>
        <w:t xml:space="preserve">              </w:t>
      </w:r>
    </w:p>
    <w:p w14:paraId="521B0BB3">
      <w:pPr>
        <w:rPr>
          <w:rFonts w:eastAsia="黑体"/>
          <w:kern w:val="13"/>
          <w:sz w:val="28"/>
        </w:rPr>
      </w:pPr>
    </w:p>
    <w:p w14:paraId="67E2322F">
      <w:pPr>
        <w:rPr>
          <w:rFonts w:eastAsia="黑体"/>
          <w:kern w:val="13"/>
          <w:sz w:val="28"/>
        </w:rPr>
      </w:pPr>
    </w:p>
    <w:p w14:paraId="67A0576B">
      <w:pPr>
        <w:rPr>
          <w:rFonts w:eastAsia="黑体"/>
          <w:kern w:val="13"/>
          <w:sz w:val="28"/>
        </w:rPr>
      </w:pPr>
      <w:bookmarkStart w:id="266" w:name="_GoBack"/>
      <w:bookmarkEnd w:id="266"/>
    </w:p>
    <w:p w14:paraId="7987072B">
      <w:pPr>
        <w:ind w:firstLine="560" w:firstLineChars="200"/>
        <w:rPr>
          <w:rFonts w:eastAsia="黑体"/>
          <w:kern w:val="13"/>
          <w:sz w:val="28"/>
        </w:rPr>
      </w:pPr>
      <w:r>
        <w:rPr>
          <w:rFonts w:eastAsia="黑体"/>
          <w:kern w:val="13"/>
          <w:sz w:val="28"/>
        </w:rPr>
        <w:t xml:space="preserve">参加起草人：          </w:t>
      </w:r>
    </w:p>
    <w:p w14:paraId="07EE0C82">
      <w:pPr>
        <w:rPr>
          <w:rFonts w:eastAsia="黑体"/>
          <w:kern w:val="13"/>
          <w:sz w:val="28"/>
        </w:rPr>
      </w:pPr>
    </w:p>
    <w:p w14:paraId="5E016657">
      <w:pPr>
        <w:rPr>
          <w:rFonts w:eastAsia="黑体"/>
          <w:kern w:val="13"/>
          <w:sz w:val="28"/>
        </w:rPr>
      </w:pPr>
    </w:p>
    <w:p w14:paraId="044E8AB4">
      <w:pPr>
        <w:rPr>
          <w:rFonts w:eastAsia="黑体"/>
          <w:kern w:val="13"/>
          <w:sz w:val="28"/>
        </w:rPr>
      </w:pPr>
    </w:p>
    <w:p w14:paraId="7693B7CC">
      <w:pPr>
        <w:ind w:firstLine="1842" w:firstLineChars="658"/>
        <w:rPr>
          <w:kern w:val="13"/>
          <w:sz w:val="28"/>
        </w:rPr>
      </w:pPr>
    </w:p>
    <w:p w14:paraId="43D51835">
      <w:pPr>
        <w:widowControl/>
        <w:jc w:val="center"/>
        <w:rPr>
          <w:rFonts w:eastAsia="黑体"/>
          <w:spacing w:val="20"/>
          <w:kern w:val="13"/>
          <w:sz w:val="44"/>
          <w:szCs w:val="20"/>
        </w:rPr>
        <w:sectPr>
          <w:pgSz w:w="11906" w:h="16838"/>
          <w:pgMar w:top="1440" w:right="1800" w:bottom="1440" w:left="1800" w:header="851" w:footer="992" w:gutter="0"/>
          <w:cols w:space="425" w:num="1"/>
          <w:docGrid w:type="lines" w:linePitch="312" w:charSpace="0"/>
        </w:sectPr>
      </w:pPr>
      <w:r>
        <w:rPr>
          <w:sz w:val="36"/>
          <w:szCs w:val="36"/>
        </w:rPr>
        <w:br w:type="page"/>
      </w:r>
    </w:p>
    <w:sdt>
      <w:sdtPr>
        <w:id w:val="147467307"/>
        <w:docPartObj>
          <w:docPartGallery w:val="Table of Contents"/>
          <w:docPartUnique/>
        </w:docPartObj>
      </w:sdtPr>
      <w:sdtEndPr>
        <w:rPr>
          <w:rFonts w:eastAsia="黑体"/>
          <w:sz w:val="24"/>
        </w:rPr>
      </w:sdtEndPr>
      <w:sdtContent>
        <w:p w14:paraId="1AAB8E78">
          <w:pPr>
            <w:spacing w:line="500" w:lineRule="exact"/>
            <w:jc w:val="center"/>
            <w:rPr>
              <w:rFonts w:hint="default"/>
              <w:sz w:val="28"/>
              <w:szCs w:val="28"/>
            </w:rPr>
          </w:pPr>
          <w:r>
            <w:rPr>
              <w:rFonts w:hint="eastAsia" w:ascii="Times New Roman" w:hAnsi="Times New Roman" w:eastAsia="黑体" w:cs="Times New Roman"/>
              <w:kern w:val="2"/>
              <w:sz w:val="44"/>
              <w:szCs w:val="44"/>
              <w:lang w:val="en-US" w:eastAsia="zh-CN" w:bidi="ar"/>
            </w:rPr>
            <w:t>目</w:t>
          </w:r>
          <w:r>
            <w:rPr>
              <w:rFonts w:hint="default" w:ascii="Times New Roman" w:hAnsi="Times New Roman" w:eastAsia="黑体" w:cs="Times New Roman"/>
              <w:kern w:val="2"/>
              <w:sz w:val="44"/>
              <w:szCs w:val="44"/>
              <w:lang w:val="en-US" w:eastAsia="zh-CN" w:bidi="ar"/>
            </w:rPr>
            <w:t xml:space="preserve">    </w:t>
          </w:r>
          <w:r>
            <w:rPr>
              <w:rFonts w:hint="eastAsia" w:ascii="Times New Roman" w:hAnsi="Times New Roman" w:eastAsia="黑体" w:cs="Times New Roman"/>
              <w:kern w:val="2"/>
              <w:sz w:val="44"/>
              <w:szCs w:val="44"/>
              <w:lang w:val="en-US" w:eastAsia="zh-CN" w:bidi="ar"/>
            </w:rPr>
            <w:t>录</w:t>
          </w:r>
        </w:p>
        <w:p w14:paraId="4E15BD17">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TOC \o "1-3" \h \u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_Toc17320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spacing w:val="20"/>
              <w:kern w:val="13"/>
              <w:sz w:val="28"/>
              <w:szCs w:val="28"/>
            </w:rPr>
            <w:t>引言</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_Toc17320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II</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38B80A7A">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_Toc2579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1 范围</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_Toc2579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1B2FCB61">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_Toc10604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2 规范性引用文件</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_Toc10604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676B5CED">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_Toc16071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3 术语及定义</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_Toc16071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09B7E908">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_Toc758 </w:instrText>
          </w:r>
          <w:r>
            <w:rPr>
              <w:rFonts w:hint="default" w:eastAsia="宋体"/>
              <w:sz w:val="28"/>
              <w:szCs w:val="28"/>
            </w:rPr>
            <w:fldChar w:fldCharType="separate"/>
          </w:r>
          <w:r>
            <w:rPr>
              <w:rFonts w:hint="default" w:ascii="Times New Roman" w:hAnsi="Times New Roman" w:eastAsia="宋体"/>
              <w:bCs/>
              <w:kern w:val="0"/>
              <w:sz w:val="28"/>
              <w:szCs w:val="28"/>
            </w:rPr>
            <w:t>3.1反应热</w:t>
          </w:r>
          <w:r>
            <w:rPr>
              <w:rFonts w:hint="default"/>
              <w:sz w:val="28"/>
              <w:szCs w:val="28"/>
            </w:rPr>
            <w:tab/>
          </w:r>
          <w:r>
            <w:rPr>
              <w:rFonts w:hint="default"/>
              <w:sz w:val="28"/>
              <w:szCs w:val="28"/>
            </w:rPr>
            <w:fldChar w:fldCharType="begin"/>
          </w:r>
          <w:r>
            <w:rPr>
              <w:rFonts w:hint="default"/>
              <w:sz w:val="28"/>
              <w:szCs w:val="28"/>
            </w:rPr>
            <w:instrText xml:space="preserve"> PAGEREF _Toc758 \h </w:instrText>
          </w:r>
          <w:r>
            <w:rPr>
              <w:rFonts w:hint="default"/>
              <w:sz w:val="28"/>
              <w:szCs w:val="28"/>
            </w:rPr>
            <w:fldChar w:fldCharType="separate"/>
          </w:r>
          <w:r>
            <w:rPr>
              <w:rFonts w:hint="default"/>
              <w:sz w:val="28"/>
              <w:szCs w:val="28"/>
            </w:rPr>
            <w:t>1</w:t>
          </w:r>
          <w:r>
            <w:rPr>
              <w:rFonts w:hint="default"/>
              <w:sz w:val="28"/>
              <w:szCs w:val="28"/>
            </w:rPr>
            <w:fldChar w:fldCharType="end"/>
          </w:r>
          <w:r>
            <w:rPr>
              <w:rFonts w:hint="default" w:eastAsia="宋体"/>
              <w:sz w:val="28"/>
              <w:szCs w:val="28"/>
            </w:rPr>
            <w:fldChar w:fldCharType="end"/>
          </w:r>
        </w:p>
        <w:p w14:paraId="1C4BB5CA">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_Toc20052 </w:instrText>
          </w:r>
          <w:r>
            <w:rPr>
              <w:rFonts w:hint="default" w:eastAsia="宋体"/>
              <w:sz w:val="28"/>
              <w:szCs w:val="28"/>
            </w:rPr>
            <w:fldChar w:fldCharType="separate"/>
          </w:r>
          <w:r>
            <w:rPr>
              <w:rFonts w:hint="default" w:ascii="Times New Roman" w:hAnsi="Times New Roman" w:eastAsia="宋体"/>
              <w:sz w:val="28"/>
              <w:szCs w:val="28"/>
            </w:rPr>
            <w:t>3.2热流法</w:t>
          </w:r>
          <w:r>
            <w:rPr>
              <w:rFonts w:hint="default"/>
              <w:sz w:val="28"/>
              <w:szCs w:val="28"/>
            </w:rPr>
            <w:tab/>
          </w:r>
          <w:r>
            <w:rPr>
              <w:rFonts w:hint="default"/>
              <w:sz w:val="28"/>
              <w:szCs w:val="28"/>
            </w:rPr>
            <w:fldChar w:fldCharType="begin"/>
          </w:r>
          <w:r>
            <w:rPr>
              <w:rFonts w:hint="default"/>
              <w:sz w:val="28"/>
              <w:szCs w:val="28"/>
            </w:rPr>
            <w:instrText xml:space="preserve"> PAGEREF _Toc20052 \h </w:instrText>
          </w:r>
          <w:r>
            <w:rPr>
              <w:rFonts w:hint="default"/>
              <w:sz w:val="28"/>
              <w:szCs w:val="28"/>
            </w:rPr>
            <w:fldChar w:fldCharType="separate"/>
          </w:r>
          <w:r>
            <w:rPr>
              <w:rFonts w:hint="default"/>
              <w:sz w:val="28"/>
              <w:szCs w:val="28"/>
            </w:rPr>
            <w:t>1</w:t>
          </w:r>
          <w:r>
            <w:rPr>
              <w:rFonts w:hint="default"/>
              <w:sz w:val="28"/>
              <w:szCs w:val="28"/>
            </w:rPr>
            <w:fldChar w:fldCharType="end"/>
          </w:r>
          <w:r>
            <w:rPr>
              <w:rFonts w:hint="default" w:eastAsia="宋体"/>
              <w:sz w:val="28"/>
              <w:szCs w:val="28"/>
            </w:rPr>
            <w:fldChar w:fldCharType="end"/>
          </w:r>
        </w:p>
        <w:p w14:paraId="33F6EDF2">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_Toc30311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4 概述</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_Toc30311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7926E87D">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_Toc10713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5 计量特性</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_Toc10713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2</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2F3E3C11">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_Toc28148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6校准条件</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_Toc28148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3</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00A4106F">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_Toc8698 </w:instrText>
          </w:r>
          <w:r>
            <w:rPr>
              <w:rFonts w:hint="default" w:eastAsia="宋体"/>
              <w:sz w:val="28"/>
              <w:szCs w:val="28"/>
            </w:rPr>
            <w:fldChar w:fldCharType="separate"/>
          </w:r>
          <w:r>
            <w:rPr>
              <w:rFonts w:hint="default" w:ascii="Times New Roman" w:hAnsi="Times New Roman" w:eastAsia="宋体"/>
              <w:iCs/>
              <w:sz w:val="28"/>
              <w:szCs w:val="28"/>
            </w:rPr>
            <w:t>6.1 环境条件</w:t>
          </w:r>
          <w:r>
            <w:rPr>
              <w:rFonts w:hint="default"/>
              <w:sz w:val="28"/>
              <w:szCs w:val="28"/>
            </w:rPr>
            <w:tab/>
          </w:r>
          <w:r>
            <w:rPr>
              <w:rFonts w:hint="default"/>
              <w:sz w:val="28"/>
              <w:szCs w:val="28"/>
            </w:rPr>
            <w:fldChar w:fldCharType="begin"/>
          </w:r>
          <w:r>
            <w:rPr>
              <w:rFonts w:hint="default"/>
              <w:sz w:val="28"/>
              <w:szCs w:val="28"/>
            </w:rPr>
            <w:instrText xml:space="preserve"> PAGEREF _Toc8698 \h </w:instrText>
          </w:r>
          <w:r>
            <w:rPr>
              <w:rFonts w:hint="default"/>
              <w:sz w:val="28"/>
              <w:szCs w:val="28"/>
            </w:rPr>
            <w:fldChar w:fldCharType="separate"/>
          </w:r>
          <w:r>
            <w:rPr>
              <w:rFonts w:hint="default"/>
              <w:sz w:val="28"/>
              <w:szCs w:val="28"/>
            </w:rPr>
            <w:t>3</w:t>
          </w:r>
          <w:r>
            <w:rPr>
              <w:rFonts w:hint="default"/>
              <w:sz w:val="28"/>
              <w:szCs w:val="28"/>
            </w:rPr>
            <w:fldChar w:fldCharType="end"/>
          </w:r>
          <w:r>
            <w:rPr>
              <w:rFonts w:hint="default" w:eastAsia="宋体"/>
              <w:sz w:val="28"/>
              <w:szCs w:val="28"/>
            </w:rPr>
            <w:fldChar w:fldCharType="end"/>
          </w:r>
        </w:p>
        <w:p w14:paraId="2F32131D">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_Toc29140 </w:instrText>
          </w:r>
          <w:r>
            <w:rPr>
              <w:rFonts w:hint="default" w:eastAsia="宋体"/>
              <w:sz w:val="28"/>
              <w:szCs w:val="28"/>
            </w:rPr>
            <w:fldChar w:fldCharType="separate"/>
          </w:r>
          <w:r>
            <w:rPr>
              <w:rFonts w:hint="default" w:ascii="Times New Roman" w:hAnsi="Times New Roman" w:eastAsia="宋体"/>
              <w:iCs/>
              <w:sz w:val="28"/>
              <w:szCs w:val="28"/>
            </w:rPr>
            <w:t>6.2测量标准装置及配套设备</w:t>
          </w:r>
          <w:r>
            <w:rPr>
              <w:rFonts w:hint="default"/>
              <w:sz w:val="28"/>
              <w:szCs w:val="28"/>
            </w:rPr>
            <w:tab/>
          </w:r>
          <w:r>
            <w:rPr>
              <w:rFonts w:hint="default"/>
              <w:sz w:val="28"/>
              <w:szCs w:val="28"/>
            </w:rPr>
            <w:fldChar w:fldCharType="begin"/>
          </w:r>
          <w:r>
            <w:rPr>
              <w:rFonts w:hint="default"/>
              <w:sz w:val="28"/>
              <w:szCs w:val="28"/>
            </w:rPr>
            <w:instrText xml:space="preserve"> PAGEREF _Toc29140 \h </w:instrText>
          </w:r>
          <w:r>
            <w:rPr>
              <w:rFonts w:hint="default"/>
              <w:sz w:val="28"/>
              <w:szCs w:val="28"/>
            </w:rPr>
            <w:fldChar w:fldCharType="separate"/>
          </w:r>
          <w:r>
            <w:rPr>
              <w:rFonts w:hint="default"/>
              <w:sz w:val="28"/>
              <w:szCs w:val="28"/>
            </w:rPr>
            <w:t>3</w:t>
          </w:r>
          <w:r>
            <w:rPr>
              <w:rFonts w:hint="default"/>
              <w:sz w:val="28"/>
              <w:szCs w:val="28"/>
            </w:rPr>
            <w:fldChar w:fldCharType="end"/>
          </w:r>
          <w:r>
            <w:rPr>
              <w:rFonts w:hint="default" w:eastAsia="宋体"/>
              <w:sz w:val="28"/>
              <w:szCs w:val="28"/>
            </w:rPr>
            <w:fldChar w:fldCharType="end"/>
          </w:r>
        </w:p>
        <w:p w14:paraId="42405289">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_Toc14256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7校准项目和校准方法</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_Toc14256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4</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41B7A9A9">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_Toc6734 </w:instrText>
          </w:r>
          <w:r>
            <w:rPr>
              <w:rFonts w:hint="default" w:eastAsia="宋体"/>
              <w:sz w:val="28"/>
              <w:szCs w:val="28"/>
            </w:rPr>
            <w:fldChar w:fldCharType="separate"/>
          </w:r>
          <w:r>
            <w:rPr>
              <w:rFonts w:hint="default" w:ascii="Times New Roman" w:hAnsi="Times New Roman" w:eastAsia="宋体"/>
              <w:iCs/>
              <w:sz w:val="28"/>
              <w:szCs w:val="28"/>
            </w:rPr>
            <w:t>7.1质量示值误差</w:t>
          </w:r>
          <w:r>
            <w:rPr>
              <w:rFonts w:hint="default"/>
              <w:sz w:val="28"/>
              <w:szCs w:val="28"/>
            </w:rPr>
            <w:tab/>
          </w:r>
          <w:r>
            <w:rPr>
              <w:rFonts w:hint="default"/>
              <w:sz w:val="28"/>
              <w:szCs w:val="28"/>
            </w:rPr>
            <w:fldChar w:fldCharType="begin"/>
          </w:r>
          <w:r>
            <w:rPr>
              <w:rFonts w:hint="default"/>
              <w:sz w:val="28"/>
              <w:szCs w:val="28"/>
            </w:rPr>
            <w:instrText xml:space="preserve"> PAGEREF _Toc6734 \h </w:instrText>
          </w:r>
          <w:r>
            <w:rPr>
              <w:rFonts w:hint="default"/>
              <w:sz w:val="28"/>
              <w:szCs w:val="28"/>
            </w:rPr>
            <w:fldChar w:fldCharType="separate"/>
          </w:r>
          <w:r>
            <w:rPr>
              <w:rFonts w:hint="default"/>
              <w:sz w:val="28"/>
              <w:szCs w:val="28"/>
            </w:rPr>
            <w:t>4</w:t>
          </w:r>
          <w:r>
            <w:rPr>
              <w:rFonts w:hint="default"/>
              <w:sz w:val="28"/>
              <w:szCs w:val="28"/>
            </w:rPr>
            <w:fldChar w:fldCharType="end"/>
          </w:r>
          <w:r>
            <w:rPr>
              <w:rFonts w:hint="default" w:eastAsia="宋体"/>
              <w:sz w:val="28"/>
              <w:szCs w:val="28"/>
            </w:rPr>
            <w:fldChar w:fldCharType="end"/>
          </w:r>
        </w:p>
        <w:p w14:paraId="65147B60">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_Toc6289 </w:instrText>
          </w:r>
          <w:r>
            <w:rPr>
              <w:rFonts w:hint="default" w:eastAsia="宋体"/>
              <w:sz w:val="28"/>
              <w:szCs w:val="28"/>
            </w:rPr>
            <w:fldChar w:fldCharType="separate"/>
          </w:r>
          <w:r>
            <w:rPr>
              <w:rFonts w:hint="default" w:ascii="Times New Roman" w:hAnsi="Times New Roman" w:eastAsia="宋体"/>
              <w:iCs/>
              <w:sz w:val="28"/>
              <w:szCs w:val="28"/>
            </w:rPr>
            <w:t>7.2温度示值误差</w:t>
          </w:r>
          <w:r>
            <w:rPr>
              <w:rFonts w:hint="default"/>
              <w:sz w:val="28"/>
              <w:szCs w:val="28"/>
            </w:rPr>
            <w:tab/>
          </w:r>
          <w:r>
            <w:rPr>
              <w:rFonts w:hint="default"/>
              <w:sz w:val="28"/>
              <w:szCs w:val="28"/>
            </w:rPr>
            <w:fldChar w:fldCharType="begin"/>
          </w:r>
          <w:r>
            <w:rPr>
              <w:rFonts w:hint="default"/>
              <w:sz w:val="28"/>
              <w:szCs w:val="28"/>
            </w:rPr>
            <w:instrText xml:space="preserve"> PAGEREF _Toc6289 \h </w:instrText>
          </w:r>
          <w:r>
            <w:rPr>
              <w:rFonts w:hint="default"/>
              <w:sz w:val="28"/>
              <w:szCs w:val="28"/>
            </w:rPr>
            <w:fldChar w:fldCharType="separate"/>
          </w:r>
          <w:r>
            <w:rPr>
              <w:rFonts w:hint="default"/>
              <w:sz w:val="28"/>
              <w:szCs w:val="28"/>
            </w:rPr>
            <w:t>4</w:t>
          </w:r>
          <w:r>
            <w:rPr>
              <w:rFonts w:hint="default"/>
              <w:sz w:val="28"/>
              <w:szCs w:val="28"/>
            </w:rPr>
            <w:fldChar w:fldCharType="end"/>
          </w:r>
          <w:r>
            <w:rPr>
              <w:rFonts w:hint="default" w:eastAsia="宋体"/>
              <w:sz w:val="28"/>
              <w:szCs w:val="28"/>
            </w:rPr>
            <w:fldChar w:fldCharType="end"/>
          </w:r>
        </w:p>
        <w:p w14:paraId="6563F2EE">
          <w:pPr>
            <w:pStyle w:val="13"/>
            <w:tabs>
              <w:tab w:val="right" w:leader="dot" w:pos="8306"/>
            </w:tabs>
            <w:spacing w:line="500" w:lineRule="exact"/>
            <w:ind w:left="0" w:leftChars="0"/>
            <w:rPr>
              <w:rFonts w:hint="default"/>
              <w:sz w:val="28"/>
              <w:szCs w:val="28"/>
            </w:rPr>
          </w:pPr>
          <w:r>
            <w:rPr>
              <w:rFonts w:hint="default" w:eastAsia="宋体"/>
              <w:sz w:val="28"/>
              <w:szCs w:val="28"/>
            </w:rPr>
            <w:fldChar w:fldCharType="begin"/>
          </w:r>
          <w:r>
            <w:rPr>
              <w:rFonts w:hint="default" w:eastAsia="宋体"/>
              <w:sz w:val="28"/>
              <w:szCs w:val="28"/>
            </w:rPr>
            <w:instrText xml:space="preserve"> HYPERLINK \l _Toc9056 </w:instrText>
          </w:r>
          <w:r>
            <w:rPr>
              <w:rFonts w:hint="default" w:eastAsia="宋体"/>
              <w:sz w:val="28"/>
              <w:szCs w:val="28"/>
            </w:rPr>
            <w:fldChar w:fldCharType="separate"/>
          </w:r>
          <w:r>
            <w:rPr>
              <w:rFonts w:hint="default" w:ascii="Times New Roman" w:hAnsi="Times New Roman"/>
              <w:iCs/>
              <w:sz w:val="28"/>
              <w:szCs w:val="28"/>
            </w:rPr>
            <w:t>7.3反应热相对误差</w:t>
          </w:r>
          <w:r>
            <w:rPr>
              <w:rFonts w:hint="default"/>
              <w:sz w:val="28"/>
              <w:szCs w:val="28"/>
            </w:rPr>
            <w:tab/>
          </w:r>
          <w:r>
            <w:rPr>
              <w:rFonts w:hint="default"/>
              <w:sz w:val="28"/>
              <w:szCs w:val="28"/>
            </w:rPr>
            <w:fldChar w:fldCharType="begin"/>
          </w:r>
          <w:r>
            <w:rPr>
              <w:rFonts w:hint="default"/>
              <w:sz w:val="28"/>
              <w:szCs w:val="28"/>
            </w:rPr>
            <w:instrText xml:space="preserve"> PAGEREF _Toc9056 \h </w:instrText>
          </w:r>
          <w:r>
            <w:rPr>
              <w:rFonts w:hint="default"/>
              <w:sz w:val="28"/>
              <w:szCs w:val="28"/>
            </w:rPr>
            <w:fldChar w:fldCharType="separate"/>
          </w:r>
          <w:r>
            <w:rPr>
              <w:rFonts w:hint="default"/>
              <w:sz w:val="28"/>
              <w:szCs w:val="28"/>
            </w:rPr>
            <w:t>5</w:t>
          </w:r>
          <w:r>
            <w:rPr>
              <w:rFonts w:hint="default"/>
              <w:sz w:val="28"/>
              <w:szCs w:val="28"/>
            </w:rPr>
            <w:fldChar w:fldCharType="end"/>
          </w:r>
          <w:r>
            <w:rPr>
              <w:rFonts w:hint="default" w:eastAsia="宋体"/>
              <w:sz w:val="28"/>
              <w:szCs w:val="28"/>
            </w:rPr>
            <w:fldChar w:fldCharType="end"/>
          </w:r>
        </w:p>
        <w:p w14:paraId="55D18A1B">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_Toc19034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8 校准结果表达</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_Toc19034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6</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32E56300">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_Toc13991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Cs w:val="0"/>
              <w:kern w:val="2"/>
              <w:sz w:val="28"/>
              <w:szCs w:val="28"/>
            </w:rPr>
            <w:t>9</w:t>
          </w:r>
          <w:r>
            <w:rPr>
              <w:rFonts w:hint="eastAsia" w:ascii="Times New Roman" w:hAnsi="Times New Roman" w:eastAsia="宋体" w:cs="Times New Roman"/>
              <w:bCs w:val="0"/>
              <w:kern w:val="2"/>
              <w:sz w:val="28"/>
              <w:szCs w:val="28"/>
              <w:lang w:val="en-US" w:eastAsia="zh-CN"/>
            </w:rPr>
            <w:t xml:space="preserve"> </w:t>
          </w:r>
          <w:r>
            <w:rPr>
              <w:rFonts w:hint="default" w:ascii="Times New Roman" w:hAnsi="Times New Roman" w:eastAsia="宋体" w:cs="Times New Roman"/>
              <w:bCs w:val="0"/>
              <w:kern w:val="2"/>
              <w:sz w:val="28"/>
              <w:szCs w:val="28"/>
            </w:rPr>
            <w:t>复校时间间隔</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_Toc13991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6</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57AC767E">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_Toc26560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pacing w:val="20"/>
              <w:kern w:val="13"/>
              <w:sz w:val="28"/>
              <w:szCs w:val="28"/>
            </w:rPr>
            <w:t>附录A</w:t>
          </w:r>
          <w:r>
            <w:rPr>
              <w:rFonts w:hint="default" w:ascii="Times New Roman" w:hAnsi="Times New Roman" w:eastAsia="宋体" w:cs="Times New Roman"/>
              <w:sz w:val="28"/>
              <w:szCs w:val="28"/>
            </w:rPr>
            <w:fldChar w:fldCharType="end"/>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_Toc25958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自动反应量热仪反应热相对误差校准结果不确定度评定</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_Toc25958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7</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1A9F75FD">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_Toc8403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pacing w:val="20"/>
              <w:kern w:val="13"/>
              <w:sz w:val="28"/>
              <w:szCs w:val="28"/>
            </w:rPr>
            <w:t>附录B</w:t>
          </w:r>
          <w:r>
            <w:rPr>
              <w:rFonts w:hint="default" w:ascii="Times New Roman" w:hAnsi="Times New Roman" w:eastAsia="宋体" w:cs="Times New Roman"/>
              <w:sz w:val="28"/>
              <w:szCs w:val="28"/>
            </w:rPr>
            <w:fldChar w:fldCharType="end"/>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_Toc23518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自动反应量热仪校准原始记录</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_Toc23518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10</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51F8B155">
          <w:pPr>
            <w:pStyle w:val="12"/>
            <w:tabs>
              <w:tab w:val="right" w:leader="dot" w:pos="8306"/>
            </w:tabs>
            <w:spacing w:line="50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_Toc891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pacing w:val="20"/>
              <w:kern w:val="13"/>
              <w:sz w:val="28"/>
              <w:szCs w:val="28"/>
            </w:rPr>
            <w:t>附录C</w:t>
          </w:r>
          <w:r>
            <w:rPr>
              <w:rFonts w:hint="default" w:ascii="Times New Roman" w:hAnsi="Times New Roman" w:eastAsia="宋体" w:cs="Times New Roman"/>
              <w:sz w:val="28"/>
              <w:szCs w:val="28"/>
            </w:rPr>
            <w:fldChar w:fldCharType="end"/>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HYPERLINK \l _Toc24664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自动反应量热仪校准证书内页格式</w:t>
          </w:r>
          <w:r>
            <w:rPr>
              <w:rFonts w:hint="default" w:ascii="Times New Roman" w:hAnsi="Times New Roman" w:eastAsia="宋体" w:cs="Times New Roman"/>
              <w:sz w:val="28"/>
              <w:szCs w:val="28"/>
            </w:rPr>
            <w:tab/>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PAGEREF _Toc24664 \h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13</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fldChar w:fldCharType="end"/>
          </w:r>
        </w:p>
        <w:p w14:paraId="5B56F172">
          <w:pPr>
            <w:spacing w:line="500" w:lineRule="exact"/>
            <w:rPr>
              <w:rFonts w:eastAsia="黑体"/>
              <w:sz w:val="24"/>
            </w:rPr>
          </w:pPr>
          <w:r>
            <w:rPr>
              <w:rFonts w:hint="default" w:eastAsia="宋体"/>
              <w:sz w:val="28"/>
              <w:szCs w:val="28"/>
            </w:rPr>
            <w:fldChar w:fldCharType="end"/>
          </w:r>
        </w:p>
      </w:sdtContent>
    </w:sdt>
    <w:p w14:paraId="011BDE5A">
      <w:pPr>
        <w:spacing w:line="360" w:lineRule="auto"/>
        <w:rPr>
          <w:rFonts w:eastAsia="黑体"/>
        </w:rPr>
      </w:pPr>
    </w:p>
    <w:p w14:paraId="3C3325A6">
      <w:pPr>
        <w:widowControl/>
        <w:jc w:val="left"/>
      </w:pPr>
      <w:r>
        <w:br w:type="page"/>
      </w:r>
    </w:p>
    <w:p w14:paraId="6A4FA8B2">
      <w:pPr>
        <w:pStyle w:val="2"/>
        <w:keepLines w:val="0"/>
        <w:snapToGrid w:val="0"/>
        <w:spacing w:before="0" w:after="0" w:line="300" w:lineRule="auto"/>
        <w:jc w:val="center"/>
        <w:rPr>
          <w:rFonts w:ascii="Times New Roman" w:hAnsi="Times New Roman" w:eastAsia="黑体" w:cs="Times New Roman"/>
          <w:bCs w:val="0"/>
          <w:spacing w:val="20"/>
          <w:kern w:val="13"/>
          <w:sz w:val="28"/>
          <w:szCs w:val="28"/>
        </w:rPr>
      </w:pPr>
      <w:bookmarkStart w:id="0" w:name="_Toc317077505"/>
      <w:bookmarkStart w:id="1" w:name="_Toc28209"/>
      <w:bookmarkStart w:id="2" w:name="_Toc14743"/>
      <w:bookmarkStart w:id="3" w:name="_Toc29782"/>
      <w:bookmarkStart w:id="4" w:name="_Toc492479690"/>
      <w:bookmarkStart w:id="5" w:name="_Toc28881"/>
      <w:bookmarkStart w:id="6" w:name="_Toc10666"/>
      <w:bookmarkStart w:id="7" w:name="_Toc7868"/>
      <w:bookmarkStart w:id="8" w:name="_Toc22560"/>
      <w:bookmarkStart w:id="9" w:name="_Toc17320"/>
      <w:bookmarkStart w:id="10" w:name="_Toc377976724"/>
      <w:bookmarkStart w:id="11" w:name="_Toc184626245"/>
      <w:bookmarkStart w:id="12" w:name="_Toc1954653149"/>
      <w:r>
        <w:rPr>
          <w:rFonts w:ascii="Times New Roman" w:hAnsi="Times New Roman" w:eastAsia="黑体" w:cs="Times New Roman"/>
          <w:bCs w:val="0"/>
          <w:spacing w:val="20"/>
          <w:kern w:val="13"/>
          <w:sz w:val="28"/>
          <w:szCs w:val="28"/>
        </w:rPr>
        <w:t>引言</w:t>
      </w:r>
      <w:bookmarkEnd w:id="0"/>
      <w:bookmarkEnd w:id="1"/>
      <w:bookmarkEnd w:id="2"/>
      <w:bookmarkEnd w:id="3"/>
      <w:bookmarkEnd w:id="4"/>
      <w:bookmarkEnd w:id="5"/>
      <w:bookmarkEnd w:id="6"/>
      <w:bookmarkEnd w:id="7"/>
      <w:bookmarkEnd w:id="8"/>
      <w:bookmarkEnd w:id="9"/>
      <w:bookmarkEnd w:id="10"/>
      <w:bookmarkEnd w:id="11"/>
      <w:bookmarkEnd w:id="12"/>
    </w:p>
    <w:p w14:paraId="61BA9562">
      <w:pPr>
        <w:snapToGrid w:val="0"/>
        <w:spacing w:before="156" w:beforeLines="50" w:line="500" w:lineRule="exact"/>
        <w:ind w:firstLine="480" w:firstLineChars="200"/>
        <w:rPr>
          <w:rFonts w:eastAsiaTheme="minorEastAsia"/>
          <w:sz w:val="24"/>
        </w:rPr>
      </w:pPr>
      <w:r>
        <w:rPr>
          <w:rFonts w:eastAsiaTheme="minorEastAsia"/>
          <w:sz w:val="24"/>
        </w:rPr>
        <w:t>JJF 1071《国家计量校准规范编写规则》、JJF 1001《通用计量术语及定义》、JJF 1059.1《测量不确定度评定与表示》和JJF 1094《测量仪器特性评定》共同构成支撑本规范制定工作的基础性系列规范。</w:t>
      </w:r>
    </w:p>
    <w:p w14:paraId="52116A3B">
      <w:pPr>
        <w:snapToGrid w:val="0"/>
        <w:spacing w:before="156" w:beforeLines="50" w:line="500" w:lineRule="exact"/>
        <w:ind w:firstLine="480" w:firstLineChars="200"/>
        <w:rPr>
          <w:rFonts w:eastAsiaTheme="minorEastAsia"/>
          <w:sz w:val="24"/>
        </w:rPr>
      </w:pPr>
      <w:r>
        <w:rPr>
          <w:rFonts w:eastAsiaTheme="minorEastAsia"/>
          <w:sz w:val="24"/>
        </w:rPr>
        <w:t>本规范为首次发布。</w:t>
      </w:r>
    </w:p>
    <w:p w14:paraId="6BA9C505">
      <w:pPr>
        <w:snapToGrid w:val="0"/>
        <w:spacing w:before="156" w:beforeLines="50" w:line="300" w:lineRule="auto"/>
        <w:ind w:firstLine="420" w:firstLineChars="200"/>
        <w:jc w:val="left"/>
      </w:pPr>
    </w:p>
    <w:p w14:paraId="6B4C8F80">
      <w:pPr>
        <w:widowControl/>
        <w:jc w:val="left"/>
        <w:sectPr>
          <w:footerReference r:id="rId3" w:type="default"/>
          <w:pgSz w:w="11906" w:h="16838"/>
          <w:pgMar w:top="1440" w:right="1800" w:bottom="1440" w:left="1800" w:header="851" w:footer="992" w:gutter="0"/>
          <w:pgNumType w:fmt="upperRoman" w:start="1"/>
          <w:cols w:space="425" w:num="1"/>
          <w:docGrid w:type="lines" w:linePitch="312" w:charSpace="0"/>
        </w:sectPr>
      </w:pPr>
      <w:r>
        <w:br w:type="page"/>
      </w:r>
    </w:p>
    <w:p w14:paraId="3E229147">
      <w:pPr>
        <w:widowControl/>
        <w:jc w:val="left"/>
      </w:pPr>
    </w:p>
    <w:p w14:paraId="451EE041">
      <w:pPr>
        <w:snapToGrid w:val="0"/>
        <w:spacing w:line="360" w:lineRule="auto"/>
        <w:jc w:val="center"/>
        <w:rPr>
          <w:rFonts w:eastAsia="黑体"/>
          <w:sz w:val="32"/>
          <w:szCs w:val="32"/>
        </w:rPr>
      </w:pPr>
      <w:bookmarkStart w:id="13" w:name="_Toc6705"/>
      <w:bookmarkStart w:id="14" w:name="_Toc17426"/>
      <w:bookmarkStart w:id="15" w:name="_Toc16825"/>
      <w:bookmarkStart w:id="16" w:name="_Toc1555"/>
      <w:bookmarkStart w:id="17" w:name="_Toc492479691"/>
      <w:r>
        <w:rPr>
          <w:rFonts w:eastAsia="黑体"/>
          <w:sz w:val="32"/>
          <w:szCs w:val="32"/>
        </w:rPr>
        <w:t>自动反应量热仪校准规范</w:t>
      </w:r>
    </w:p>
    <w:p w14:paraId="116D335B"/>
    <w:p w14:paraId="7ED3E759">
      <w:pPr>
        <w:pStyle w:val="2"/>
        <w:keepLines w:val="0"/>
        <w:numPr>
          <w:ilvl w:val="255"/>
          <w:numId w:val="0"/>
        </w:numPr>
        <w:tabs>
          <w:tab w:val="left" w:pos="425"/>
        </w:tabs>
        <w:snapToGrid w:val="0"/>
        <w:spacing w:before="0" w:after="0" w:line="500" w:lineRule="exact"/>
        <w:jc w:val="left"/>
        <w:rPr>
          <w:rFonts w:ascii="Times New Roman" w:hAnsi="Times New Roman" w:eastAsia="黑体" w:cs="Times New Roman"/>
          <w:b w:val="0"/>
          <w:bCs w:val="0"/>
          <w:kern w:val="2"/>
          <w:sz w:val="24"/>
          <w:szCs w:val="24"/>
        </w:rPr>
      </w:pPr>
      <w:bookmarkStart w:id="18" w:name="_Toc1842905473"/>
      <w:bookmarkStart w:id="19" w:name="_Toc25729"/>
      <w:bookmarkStart w:id="20" w:name="_Toc2579"/>
      <w:bookmarkStart w:id="21" w:name="_Toc184626246"/>
      <w:bookmarkStart w:id="22" w:name="_Toc10641"/>
      <w:bookmarkStart w:id="23" w:name="_Toc715502079"/>
      <w:bookmarkStart w:id="24" w:name="_Toc213781797"/>
      <w:bookmarkStart w:id="25" w:name="_Toc26781"/>
      <w:r>
        <w:rPr>
          <w:rFonts w:ascii="Times New Roman" w:hAnsi="Times New Roman" w:eastAsia="黑体" w:cs="Times New Roman"/>
          <w:b w:val="0"/>
          <w:bCs w:val="0"/>
          <w:kern w:val="2"/>
          <w:sz w:val="24"/>
          <w:szCs w:val="24"/>
        </w:rPr>
        <w:t>1 范围</w:t>
      </w:r>
      <w:bookmarkEnd w:id="13"/>
      <w:bookmarkEnd w:id="14"/>
      <w:bookmarkEnd w:id="15"/>
      <w:bookmarkEnd w:id="16"/>
      <w:bookmarkEnd w:id="17"/>
      <w:bookmarkEnd w:id="18"/>
      <w:bookmarkEnd w:id="19"/>
      <w:bookmarkEnd w:id="20"/>
      <w:bookmarkEnd w:id="21"/>
      <w:bookmarkEnd w:id="22"/>
      <w:bookmarkEnd w:id="23"/>
      <w:bookmarkEnd w:id="24"/>
      <w:bookmarkEnd w:id="25"/>
    </w:p>
    <w:p w14:paraId="51872243">
      <w:pPr>
        <w:snapToGrid w:val="0"/>
        <w:spacing w:before="156" w:beforeLines="50" w:line="500" w:lineRule="exact"/>
        <w:ind w:firstLine="480" w:firstLineChars="200"/>
        <w:rPr>
          <w:rFonts w:eastAsiaTheme="minorEastAsia"/>
          <w:sz w:val="24"/>
        </w:rPr>
      </w:pPr>
      <w:r>
        <w:rPr>
          <w:rFonts w:eastAsiaTheme="minorEastAsia"/>
          <w:sz w:val="24"/>
        </w:rPr>
        <w:t>本规范适用于</w:t>
      </w:r>
      <w:r>
        <w:rPr>
          <w:rFonts w:hint="default" w:eastAsiaTheme="minorEastAsia"/>
          <w:sz w:val="24"/>
          <w:lang w:eastAsia="zh-CN"/>
        </w:rPr>
        <w:t>自动</w:t>
      </w:r>
      <w:r>
        <w:rPr>
          <w:rFonts w:eastAsiaTheme="minorEastAsia"/>
          <w:sz w:val="24"/>
        </w:rPr>
        <w:t>反应量热仪</w:t>
      </w:r>
      <w:r>
        <w:rPr>
          <w:rFonts w:hint="eastAsia" w:eastAsiaTheme="minorEastAsia"/>
          <w:sz w:val="24"/>
          <w:lang w:eastAsia="zh-CN"/>
        </w:rPr>
        <w:t>（以下简称量热仪）</w:t>
      </w:r>
      <w:r>
        <w:rPr>
          <w:rFonts w:eastAsiaTheme="minorEastAsia"/>
          <w:sz w:val="24"/>
        </w:rPr>
        <w:t>的校准，量热仪的测量原理主要包括热流法、功率补偿法、热平衡法等。</w:t>
      </w:r>
      <w:bookmarkStart w:id="26" w:name="_Toc492479692"/>
      <w:bookmarkStart w:id="27" w:name="_Toc32015"/>
      <w:bookmarkStart w:id="28" w:name="_Toc184626247"/>
      <w:bookmarkStart w:id="29" w:name="_Toc3996"/>
      <w:bookmarkStart w:id="30" w:name="_Toc2918"/>
      <w:bookmarkStart w:id="31" w:name="_Toc371425585"/>
      <w:bookmarkStart w:id="32" w:name="_Toc24226"/>
    </w:p>
    <w:p w14:paraId="4118AFE5">
      <w:pPr>
        <w:pStyle w:val="2"/>
        <w:keepLines w:val="0"/>
        <w:numPr>
          <w:ilvl w:val="255"/>
          <w:numId w:val="0"/>
        </w:numPr>
        <w:tabs>
          <w:tab w:val="left" w:pos="425"/>
        </w:tabs>
        <w:snapToGrid w:val="0"/>
        <w:spacing w:before="0" w:after="0" w:line="500" w:lineRule="exact"/>
        <w:jc w:val="left"/>
        <w:rPr>
          <w:rFonts w:ascii="Times New Roman" w:hAnsi="Times New Roman" w:eastAsia="黑体" w:cs="Times New Roman"/>
          <w:b w:val="0"/>
          <w:bCs w:val="0"/>
          <w:kern w:val="2"/>
          <w:sz w:val="24"/>
          <w:szCs w:val="24"/>
        </w:rPr>
      </w:pPr>
      <w:bookmarkStart w:id="33" w:name="_Toc1825651727"/>
      <w:bookmarkStart w:id="34" w:name="_Toc1937955064"/>
      <w:bookmarkStart w:id="35" w:name="_Toc4344"/>
      <w:bookmarkStart w:id="36" w:name="_Toc1945771839"/>
      <w:bookmarkStart w:id="37" w:name="_Toc25276"/>
      <w:bookmarkStart w:id="38" w:name="_Toc29933"/>
      <w:bookmarkStart w:id="39" w:name="_Toc10604"/>
      <w:r>
        <w:rPr>
          <w:rFonts w:ascii="Times New Roman" w:hAnsi="Times New Roman" w:eastAsia="黑体" w:cs="Times New Roman"/>
          <w:b w:val="0"/>
          <w:bCs w:val="0"/>
          <w:kern w:val="2"/>
          <w:sz w:val="24"/>
          <w:szCs w:val="24"/>
        </w:rPr>
        <w:t>2 规范性引用文件</w:t>
      </w:r>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30F98609">
      <w:pPr>
        <w:spacing w:line="500" w:lineRule="exact"/>
        <w:ind w:firstLine="480" w:firstLineChars="200"/>
        <w:rPr>
          <w:rFonts w:eastAsiaTheme="minorEastAsia"/>
          <w:sz w:val="24"/>
        </w:rPr>
      </w:pPr>
      <w:r>
        <w:rPr>
          <w:rFonts w:eastAsiaTheme="minorEastAsia"/>
          <w:sz w:val="24"/>
        </w:rPr>
        <w:t>本规程引用下列文件：</w:t>
      </w:r>
    </w:p>
    <w:p w14:paraId="5DF359AA">
      <w:pPr>
        <w:spacing w:line="500" w:lineRule="exact"/>
        <w:ind w:firstLine="480" w:firstLineChars="200"/>
        <w:rPr>
          <w:rFonts w:eastAsiaTheme="minorEastAsia"/>
          <w:sz w:val="24"/>
        </w:rPr>
      </w:pPr>
      <w:r>
        <w:rPr>
          <w:rFonts w:eastAsiaTheme="minorEastAsia"/>
          <w:sz w:val="24"/>
        </w:rPr>
        <w:t>JJG 1036  电子天平</w:t>
      </w:r>
    </w:p>
    <w:p w14:paraId="1C360684">
      <w:pPr>
        <w:spacing w:line="500" w:lineRule="exact"/>
        <w:ind w:firstLine="480" w:firstLineChars="200"/>
        <w:rPr>
          <w:rFonts w:eastAsiaTheme="minorEastAsia"/>
          <w:sz w:val="24"/>
        </w:rPr>
      </w:pPr>
      <w:r>
        <w:rPr>
          <w:rFonts w:eastAsiaTheme="minorEastAsia"/>
          <w:sz w:val="24"/>
        </w:rPr>
        <w:t>GB/T 42300  精细化工反应安全风险评估规范</w:t>
      </w:r>
    </w:p>
    <w:p w14:paraId="06A58DF1">
      <w:pPr>
        <w:spacing w:line="500" w:lineRule="exact"/>
        <w:ind w:firstLine="480" w:firstLineChars="200"/>
        <w:rPr>
          <w:rFonts w:eastAsiaTheme="minorEastAsia"/>
          <w:sz w:val="24"/>
        </w:rPr>
      </w:pPr>
      <w:r>
        <w:rPr>
          <w:rFonts w:eastAsiaTheme="minorEastAsia"/>
          <w:sz w:val="24"/>
        </w:rPr>
        <w:t>T/CIESC 0001</w:t>
      </w:r>
      <w:r>
        <w:rPr>
          <w:rFonts w:hint="eastAsia" w:eastAsiaTheme="minorEastAsia"/>
          <w:sz w:val="24"/>
        </w:rPr>
        <w:t>—</w:t>
      </w:r>
      <w:r>
        <w:rPr>
          <w:rFonts w:eastAsiaTheme="minorEastAsia"/>
          <w:sz w:val="24"/>
        </w:rPr>
        <w:t>2020化学反应量热试验规程</w:t>
      </w:r>
    </w:p>
    <w:p w14:paraId="269D080E">
      <w:pPr>
        <w:snapToGrid/>
        <w:spacing w:line="500" w:lineRule="exact"/>
        <w:ind w:left="0" w:leftChars="0" w:firstLine="480" w:firstLineChars="200"/>
        <w:rPr>
          <w:rFonts w:eastAsiaTheme="minorEastAsia"/>
          <w:sz w:val="24"/>
        </w:rPr>
      </w:pPr>
      <w:r>
        <w:rPr>
          <w:rFonts w:eastAsiaTheme="minorEastAsia"/>
          <w:sz w:val="24"/>
        </w:rPr>
        <w:t>凡是注日期的引用文件，仅注日期的版本适用于本规范；凡是不注日期的引用文件，其最新版本（包括所有的修改单）适用于本规范。</w:t>
      </w:r>
    </w:p>
    <w:p w14:paraId="3DBFBECA">
      <w:pPr>
        <w:pStyle w:val="2"/>
        <w:tabs>
          <w:tab w:val="left" w:pos="425"/>
        </w:tabs>
        <w:snapToGrid w:val="0"/>
        <w:spacing w:before="0" w:after="0" w:line="500" w:lineRule="exact"/>
        <w:jc w:val="left"/>
        <w:rPr>
          <w:rFonts w:hint="eastAsia" w:ascii="Times New Roman" w:hAnsi="Times New Roman" w:eastAsia="黑体" w:cs="Times New Roman"/>
          <w:b w:val="0"/>
          <w:bCs w:val="0"/>
          <w:kern w:val="2"/>
          <w:sz w:val="24"/>
          <w:szCs w:val="24"/>
        </w:rPr>
      </w:pPr>
      <w:bookmarkStart w:id="40" w:name="_Toc7284"/>
      <w:bookmarkStart w:id="41" w:name="_Toc2070018845"/>
      <w:bookmarkStart w:id="42" w:name="_Toc24475"/>
      <w:bookmarkStart w:id="43" w:name="_Toc225675946"/>
      <w:bookmarkStart w:id="44" w:name="_Toc492479693"/>
      <w:bookmarkStart w:id="45" w:name="_Toc683364210"/>
      <w:bookmarkStart w:id="46" w:name="_Toc31858"/>
      <w:bookmarkStart w:id="47" w:name="_Toc11798"/>
      <w:bookmarkStart w:id="48" w:name="_Toc24538"/>
      <w:bookmarkStart w:id="49" w:name="_Toc184626248"/>
      <w:bookmarkStart w:id="50" w:name="_Toc28028"/>
      <w:bookmarkStart w:id="51" w:name="_Toc16071"/>
      <w:r>
        <w:rPr>
          <w:rFonts w:ascii="Times New Roman" w:hAnsi="Times New Roman" w:eastAsia="黑体" w:cs="Times New Roman"/>
          <w:b w:val="0"/>
          <w:bCs w:val="0"/>
          <w:kern w:val="2"/>
          <w:sz w:val="24"/>
          <w:szCs w:val="24"/>
        </w:rPr>
        <w:t>3 术语及定义</w:t>
      </w:r>
      <w:bookmarkEnd w:id="40"/>
      <w:bookmarkEnd w:id="41"/>
      <w:bookmarkEnd w:id="42"/>
      <w:bookmarkEnd w:id="43"/>
      <w:bookmarkEnd w:id="44"/>
      <w:bookmarkEnd w:id="45"/>
      <w:bookmarkEnd w:id="46"/>
      <w:bookmarkEnd w:id="47"/>
      <w:bookmarkEnd w:id="48"/>
      <w:bookmarkEnd w:id="49"/>
      <w:bookmarkEnd w:id="50"/>
      <w:bookmarkEnd w:id="51"/>
    </w:p>
    <w:p w14:paraId="36F68B9A">
      <w:pPr>
        <w:widowControl/>
        <w:kinsoku w:val="0"/>
        <w:autoSpaceDE w:val="0"/>
        <w:autoSpaceDN w:val="0"/>
        <w:adjustRightInd w:val="0"/>
        <w:snapToGrid w:val="0"/>
        <w:spacing w:line="500" w:lineRule="exact"/>
        <w:ind w:firstLine="480" w:firstLineChars="200"/>
        <w:textAlignment w:val="baseline"/>
        <w:rPr>
          <w:snapToGrid w:val="0"/>
          <w:color w:val="000000"/>
          <w:spacing w:val="9"/>
          <w:kern w:val="0"/>
          <w:sz w:val="24"/>
        </w:rPr>
      </w:pPr>
      <w:r>
        <w:rPr>
          <w:rFonts w:eastAsiaTheme="minorEastAsia"/>
          <w:sz w:val="24"/>
        </w:rPr>
        <w:t>T/CIESC 0001</w:t>
      </w:r>
      <w:r>
        <w:rPr>
          <w:rFonts w:hint="eastAsia" w:eastAsiaTheme="minorEastAsia"/>
          <w:sz w:val="24"/>
        </w:rPr>
        <w:t>—</w:t>
      </w:r>
      <w:r>
        <w:rPr>
          <w:rFonts w:eastAsiaTheme="minorEastAsia"/>
          <w:sz w:val="24"/>
        </w:rPr>
        <w:t>2020</w:t>
      </w:r>
      <w:r>
        <w:rPr>
          <w:snapToGrid w:val="0"/>
          <w:color w:val="000000"/>
          <w:spacing w:val="9"/>
          <w:kern w:val="0"/>
          <w:sz w:val="24"/>
        </w:rPr>
        <w:t>界定的以及下列术语和定义适用于本</w:t>
      </w:r>
      <w:r>
        <w:rPr>
          <w:rFonts w:hint="eastAsia"/>
          <w:snapToGrid w:val="0"/>
          <w:color w:val="000000"/>
          <w:spacing w:val="9"/>
          <w:kern w:val="0"/>
          <w:sz w:val="24"/>
        </w:rPr>
        <w:t>规范。</w:t>
      </w:r>
    </w:p>
    <w:p w14:paraId="151739EB">
      <w:pPr>
        <w:pStyle w:val="3"/>
        <w:keepLines w:val="0"/>
        <w:tabs>
          <w:tab w:val="left" w:pos="567"/>
        </w:tabs>
        <w:snapToGrid w:val="0"/>
        <w:spacing w:before="0" w:after="0" w:line="500" w:lineRule="exact"/>
        <w:jc w:val="left"/>
        <w:rPr>
          <w:rFonts w:ascii="Times New Roman" w:hAnsi="Times New Roman" w:eastAsiaTheme="minorEastAsia"/>
          <w:b w:val="0"/>
          <w:bCs/>
          <w:kern w:val="0"/>
          <w:sz w:val="24"/>
          <w:szCs w:val="24"/>
        </w:rPr>
      </w:pPr>
      <w:bookmarkStart w:id="52" w:name="_Toc2090530789"/>
      <w:bookmarkStart w:id="53" w:name="_Toc350920467"/>
      <w:bookmarkStart w:id="54" w:name="_Toc184626249"/>
      <w:bookmarkStart w:id="55" w:name="_Toc758"/>
      <w:bookmarkStart w:id="56" w:name="_Toc11891"/>
      <w:bookmarkStart w:id="57" w:name="_Toc10915"/>
      <w:bookmarkStart w:id="58" w:name="_Toc24693"/>
      <w:bookmarkStart w:id="59" w:name="_Toc29595"/>
      <w:bookmarkStart w:id="60" w:name="_Toc134879568"/>
      <w:bookmarkStart w:id="61" w:name="_Toc2226"/>
      <w:bookmarkStart w:id="62" w:name="_Toc24808"/>
      <w:bookmarkStart w:id="63" w:name="_Toc31601"/>
      <w:r>
        <w:rPr>
          <w:rFonts w:ascii="Times New Roman" w:hAnsi="Times New Roman" w:eastAsiaTheme="minorEastAsia"/>
          <w:b w:val="0"/>
          <w:bCs/>
          <w:kern w:val="0"/>
          <w:sz w:val="24"/>
          <w:szCs w:val="24"/>
        </w:rPr>
        <w:t>3.1</w:t>
      </w:r>
      <w:r>
        <w:rPr>
          <w:rFonts w:hint="eastAsia" w:ascii="Times New Roman" w:hAnsi="Times New Roman" w:eastAsiaTheme="minorEastAsia"/>
          <w:b w:val="0"/>
          <w:bCs/>
          <w:kern w:val="0"/>
          <w:sz w:val="24"/>
          <w:szCs w:val="24"/>
          <w:lang w:val="en-US" w:eastAsia="zh-CN"/>
        </w:rPr>
        <w:t xml:space="preserve"> </w:t>
      </w:r>
      <w:r>
        <w:rPr>
          <w:rFonts w:ascii="Times New Roman" w:hAnsi="Times New Roman" w:eastAsiaTheme="minorEastAsia"/>
          <w:b w:val="0"/>
          <w:bCs/>
          <w:kern w:val="0"/>
          <w:sz w:val="24"/>
          <w:szCs w:val="24"/>
        </w:rPr>
        <w:t>反应热</w:t>
      </w:r>
      <w:r>
        <w:rPr>
          <w:rFonts w:hint="eastAsia" w:ascii="Times New Roman" w:hAnsi="Times New Roman" w:eastAsiaTheme="minorEastAsia"/>
          <w:b w:val="0"/>
          <w:bCs/>
          <w:kern w:val="0"/>
          <w:sz w:val="24"/>
          <w:szCs w:val="24"/>
        </w:rPr>
        <w:t xml:space="preserve"> </w:t>
      </w:r>
      <w:r>
        <w:rPr>
          <w:rFonts w:ascii="Times New Roman" w:hAnsi="Times New Roman" w:eastAsiaTheme="minorEastAsia"/>
          <w:b w:val="0"/>
          <w:bCs/>
          <w:kern w:val="0"/>
          <w:sz w:val="24"/>
          <w:szCs w:val="24"/>
        </w:rPr>
        <w:t>heat of reaction</w:t>
      </w:r>
      <w:bookmarkEnd w:id="52"/>
      <w:bookmarkEnd w:id="53"/>
      <w:bookmarkEnd w:id="54"/>
      <w:bookmarkEnd w:id="55"/>
      <w:bookmarkEnd w:id="56"/>
      <w:bookmarkEnd w:id="57"/>
      <w:bookmarkEnd w:id="58"/>
      <w:bookmarkEnd w:id="59"/>
      <w:bookmarkEnd w:id="60"/>
      <w:bookmarkEnd w:id="61"/>
      <w:bookmarkEnd w:id="62"/>
      <w:bookmarkEnd w:id="63"/>
    </w:p>
    <w:p w14:paraId="010443B2">
      <w:pPr>
        <w:snapToGrid w:val="0"/>
        <w:spacing w:line="500" w:lineRule="exact"/>
        <w:ind w:firstLine="480" w:firstLineChars="200"/>
        <w:rPr>
          <w:rFonts w:eastAsiaTheme="minorEastAsia"/>
          <w:sz w:val="24"/>
        </w:rPr>
      </w:pPr>
      <w:r>
        <w:rPr>
          <w:rFonts w:eastAsiaTheme="minorEastAsia"/>
          <w:sz w:val="24"/>
        </w:rPr>
        <w:t>化学反应过程所释放或吸收的热量。</w:t>
      </w:r>
    </w:p>
    <w:p w14:paraId="512DD1ED">
      <w:pPr>
        <w:snapToGrid w:val="0"/>
        <w:spacing w:line="500" w:lineRule="exact"/>
        <w:ind w:firstLine="420" w:firstLineChars="200"/>
        <w:rPr>
          <w:rFonts w:eastAsia="仿宋"/>
          <w:szCs w:val="21"/>
        </w:rPr>
      </w:pPr>
      <w:r>
        <w:rPr>
          <w:rFonts w:eastAsia="仿宋"/>
          <w:szCs w:val="21"/>
        </w:rPr>
        <w:t>注：单位为焦耳（J）。</w:t>
      </w:r>
    </w:p>
    <w:p w14:paraId="30D1D150">
      <w:pPr>
        <w:snapToGrid w:val="0"/>
        <w:spacing w:line="500" w:lineRule="exact"/>
        <w:ind w:firstLine="480" w:firstLineChars="200"/>
        <w:rPr>
          <w:rFonts w:eastAsiaTheme="minorEastAsia"/>
          <w:sz w:val="24"/>
        </w:rPr>
      </w:pPr>
      <w:r>
        <w:rPr>
          <w:rFonts w:eastAsiaTheme="minorEastAsia"/>
          <w:sz w:val="24"/>
        </w:rPr>
        <w:t>[来源：T/CIESC 0001-2020，3.1</w:t>
      </w:r>
      <w:r>
        <w:rPr>
          <w:rFonts w:eastAsiaTheme="minorEastAsia"/>
          <w:bCs/>
          <w:kern w:val="0"/>
          <w:sz w:val="24"/>
        </w:rPr>
        <w:t xml:space="preserve">]  </w:t>
      </w:r>
    </w:p>
    <w:p w14:paraId="71EFA33A">
      <w:pPr>
        <w:pStyle w:val="3"/>
        <w:keepLines w:val="0"/>
        <w:snapToGrid w:val="0"/>
        <w:spacing w:before="0" w:after="0" w:line="500" w:lineRule="exact"/>
        <w:jc w:val="left"/>
        <w:rPr>
          <w:rFonts w:ascii="Times New Roman" w:hAnsi="Times New Roman" w:eastAsiaTheme="minorEastAsia"/>
          <w:b w:val="0"/>
          <w:sz w:val="24"/>
          <w:szCs w:val="24"/>
        </w:rPr>
      </w:pPr>
      <w:bookmarkStart w:id="64" w:name="_Toc750"/>
      <w:bookmarkStart w:id="65" w:name="_Toc115365696"/>
      <w:bookmarkStart w:id="66" w:name="_Toc13005"/>
      <w:bookmarkStart w:id="67" w:name="_Toc20052"/>
      <w:bookmarkStart w:id="68" w:name="_Toc184626250"/>
      <w:bookmarkStart w:id="69" w:name="_Toc1967043611"/>
      <w:bookmarkStart w:id="70" w:name="_Toc21590"/>
      <w:bookmarkStart w:id="71" w:name="_Toc27622"/>
      <w:bookmarkStart w:id="72" w:name="_Toc226142460"/>
      <w:bookmarkStart w:id="73" w:name="_Toc12406"/>
      <w:bookmarkStart w:id="74" w:name="_Toc11718"/>
      <w:bookmarkStart w:id="75" w:name="_Toc1290"/>
      <w:r>
        <w:rPr>
          <w:rFonts w:ascii="Times New Roman" w:hAnsi="Times New Roman" w:eastAsiaTheme="minorEastAsia"/>
          <w:b w:val="0"/>
          <w:sz w:val="24"/>
          <w:szCs w:val="24"/>
        </w:rPr>
        <w:t>3.2</w:t>
      </w:r>
      <w:r>
        <w:rPr>
          <w:rFonts w:hint="eastAsia" w:ascii="Times New Roman" w:hAnsi="Times New Roman" w:eastAsiaTheme="minorEastAsia"/>
          <w:b w:val="0"/>
          <w:sz w:val="24"/>
          <w:szCs w:val="24"/>
          <w:lang w:val="en-US" w:eastAsia="zh-CN"/>
        </w:rPr>
        <w:t xml:space="preserve"> </w:t>
      </w:r>
      <w:r>
        <w:rPr>
          <w:rFonts w:ascii="Times New Roman" w:hAnsi="Times New Roman" w:eastAsiaTheme="minorEastAsia"/>
          <w:b w:val="0"/>
          <w:sz w:val="24"/>
          <w:szCs w:val="24"/>
        </w:rPr>
        <w:t>热流法</w:t>
      </w:r>
      <w:r>
        <w:rPr>
          <w:rFonts w:hint="eastAsia" w:ascii="Times New Roman" w:hAnsi="Times New Roman" w:eastAsiaTheme="minorEastAsia"/>
          <w:b w:val="0"/>
          <w:sz w:val="24"/>
          <w:szCs w:val="24"/>
        </w:rPr>
        <w:t xml:space="preserve"> </w:t>
      </w:r>
      <w:r>
        <w:rPr>
          <w:rFonts w:ascii="Times New Roman" w:hAnsi="Times New Roman" w:eastAsiaTheme="minorEastAsia"/>
          <w:b w:val="0"/>
          <w:sz w:val="24"/>
          <w:szCs w:val="24"/>
        </w:rPr>
        <w:t>heat flow procedure</w:t>
      </w:r>
      <w:bookmarkEnd w:id="64"/>
      <w:bookmarkEnd w:id="65"/>
      <w:bookmarkEnd w:id="66"/>
      <w:bookmarkEnd w:id="67"/>
      <w:bookmarkEnd w:id="68"/>
      <w:bookmarkEnd w:id="69"/>
      <w:bookmarkEnd w:id="70"/>
      <w:bookmarkEnd w:id="71"/>
      <w:bookmarkEnd w:id="72"/>
      <w:bookmarkEnd w:id="73"/>
      <w:bookmarkEnd w:id="74"/>
      <w:bookmarkEnd w:id="75"/>
      <w:r>
        <w:rPr>
          <w:rFonts w:ascii="Times New Roman" w:hAnsi="Times New Roman" w:eastAsiaTheme="minorEastAsia"/>
          <w:b w:val="0"/>
          <w:sz w:val="24"/>
          <w:szCs w:val="24"/>
        </w:rPr>
        <w:tab/>
      </w:r>
    </w:p>
    <w:p w14:paraId="0884D860">
      <w:pPr>
        <w:snapToGrid w:val="0"/>
        <w:spacing w:line="500" w:lineRule="exact"/>
        <w:ind w:left="2" w:leftChars="1" w:firstLine="470" w:firstLineChars="196"/>
        <w:rPr>
          <w:rFonts w:eastAsiaTheme="minorEastAsia"/>
          <w:sz w:val="24"/>
        </w:rPr>
      </w:pPr>
      <w:r>
        <w:rPr>
          <w:rFonts w:eastAsiaTheme="minorEastAsia"/>
          <w:sz w:val="24"/>
        </w:rPr>
        <w:t>在反应量热领域，反应混合物发生放</w:t>
      </w:r>
      <w:r>
        <w:rPr>
          <w:rFonts w:hint="eastAsia" w:eastAsiaTheme="minorEastAsia"/>
          <w:sz w:val="24"/>
        </w:rPr>
        <w:t>（</w:t>
      </w:r>
      <w:r>
        <w:rPr>
          <w:rFonts w:eastAsiaTheme="minorEastAsia"/>
          <w:sz w:val="24"/>
        </w:rPr>
        <w:t>吸</w:t>
      </w:r>
      <w:r>
        <w:rPr>
          <w:rFonts w:hint="eastAsia" w:eastAsiaTheme="minorEastAsia"/>
          <w:sz w:val="24"/>
        </w:rPr>
        <w:t>）</w:t>
      </w:r>
      <w:r>
        <w:rPr>
          <w:rFonts w:eastAsiaTheme="minorEastAsia"/>
          <w:sz w:val="24"/>
        </w:rPr>
        <w:t>热反应时，通过动态调节反应体系的撤热或补热速率，维持反应混合物温度恒定，使反应热效应以热流形式持续传递至环境（如仪器炉膛、控温槽或反应釜夹套等）并实时记录，从而根据补偿热流计算反应热的一种量热方法。</w:t>
      </w:r>
    </w:p>
    <w:p w14:paraId="5CA6FF00">
      <w:pPr>
        <w:snapToGrid w:val="0"/>
        <w:spacing w:line="500" w:lineRule="exact"/>
        <w:ind w:firstLine="480" w:firstLineChars="200"/>
        <w:jc w:val="left"/>
        <w:rPr>
          <w:rFonts w:eastAsiaTheme="minorEastAsia"/>
          <w:color w:val="FF0000"/>
          <w:sz w:val="24"/>
        </w:rPr>
      </w:pPr>
      <w:r>
        <w:rPr>
          <w:rFonts w:eastAsiaTheme="minorEastAsia"/>
          <w:sz w:val="24"/>
        </w:rPr>
        <w:t>[来源：T/CIESC 0001-2020，3.3</w:t>
      </w:r>
      <w:r>
        <w:rPr>
          <w:rFonts w:eastAsiaTheme="minorEastAsia"/>
          <w:bCs/>
          <w:kern w:val="0"/>
          <w:sz w:val="24"/>
        </w:rPr>
        <w:t xml:space="preserve">]  </w:t>
      </w:r>
    </w:p>
    <w:p w14:paraId="57AC3E17">
      <w:pPr>
        <w:pStyle w:val="2"/>
        <w:keepLines w:val="0"/>
        <w:tabs>
          <w:tab w:val="left" w:pos="425"/>
        </w:tabs>
        <w:spacing w:before="0" w:after="0" w:line="500" w:lineRule="exact"/>
        <w:jc w:val="left"/>
        <w:rPr>
          <w:rFonts w:ascii="Times New Roman" w:hAnsi="Times New Roman" w:eastAsia="黑体" w:cs="Times New Roman"/>
          <w:b w:val="0"/>
          <w:bCs w:val="0"/>
          <w:kern w:val="2"/>
          <w:sz w:val="24"/>
          <w:szCs w:val="24"/>
        </w:rPr>
      </w:pPr>
      <w:bookmarkStart w:id="76" w:name="_Toc492479695"/>
      <w:bookmarkStart w:id="77" w:name="_Toc30311"/>
      <w:bookmarkStart w:id="78" w:name="_Toc439457743"/>
      <w:bookmarkStart w:id="79" w:name="_Toc27981"/>
      <w:bookmarkStart w:id="80" w:name="_Toc631805340"/>
      <w:bookmarkStart w:id="81" w:name="_Toc17932"/>
      <w:bookmarkStart w:id="82" w:name="_Toc8669"/>
      <w:bookmarkStart w:id="83" w:name="_Toc31881"/>
      <w:bookmarkStart w:id="84" w:name="_Toc721265104"/>
      <w:bookmarkStart w:id="85" w:name="_Toc24837"/>
      <w:bookmarkStart w:id="86" w:name="_Toc11272"/>
      <w:bookmarkStart w:id="87" w:name="_Toc25264"/>
      <w:bookmarkStart w:id="88" w:name="_Toc184626251"/>
      <w:r>
        <w:rPr>
          <w:rFonts w:ascii="Times New Roman" w:hAnsi="Times New Roman" w:eastAsia="黑体" w:cs="Times New Roman"/>
          <w:b w:val="0"/>
          <w:bCs w:val="0"/>
          <w:kern w:val="2"/>
          <w:sz w:val="24"/>
          <w:szCs w:val="24"/>
        </w:rPr>
        <w:t xml:space="preserve">4 </w:t>
      </w:r>
      <w:bookmarkEnd w:id="76"/>
      <w:r>
        <w:rPr>
          <w:rFonts w:ascii="Times New Roman" w:hAnsi="Times New Roman" w:eastAsia="黑体" w:cs="Times New Roman"/>
          <w:b w:val="0"/>
          <w:bCs w:val="0"/>
          <w:kern w:val="2"/>
          <w:sz w:val="24"/>
          <w:szCs w:val="24"/>
        </w:rPr>
        <w:t>概述</w:t>
      </w:r>
      <w:bookmarkEnd w:id="77"/>
      <w:bookmarkEnd w:id="78"/>
      <w:bookmarkEnd w:id="79"/>
      <w:bookmarkEnd w:id="80"/>
      <w:bookmarkEnd w:id="81"/>
      <w:bookmarkEnd w:id="82"/>
      <w:bookmarkEnd w:id="83"/>
      <w:bookmarkEnd w:id="84"/>
      <w:bookmarkEnd w:id="85"/>
      <w:bookmarkEnd w:id="86"/>
      <w:bookmarkEnd w:id="87"/>
      <w:bookmarkEnd w:id="88"/>
    </w:p>
    <w:p w14:paraId="0834E64D">
      <w:pPr>
        <w:snapToGrid w:val="0"/>
        <w:spacing w:line="500" w:lineRule="exact"/>
        <w:ind w:left="2" w:leftChars="1" w:firstLine="470" w:firstLineChars="196"/>
        <w:rPr>
          <w:rFonts w:eastAsiaTheme="minorEastAsia"/>
          <w:sz w:val="24"/>
        </w:rPr>
      </w:pPr>
      <w:r>
        <w:rPr>
          <w:rFonts w:eastAsiaTheme="minorEastAsia"/>
          <w:sz w:val="24"/>
        </w:rPr>
        <w:t>量热仪主要由反应釜、控温系统、校准加热器控制系统、工艺操作控制模块（搅拌马达、加料装置等）和参数测量模块（</w:t>
      </w:r>
      <w:r>
        <w:rPr>
          <w:rFonts w:hint="eastAsia" w:eastAsiaTheme="minorEastAsia"/>
          <w:sz w:val="24"/>
          <w:lang w:eastAsia="zh-CN"/>
        </w:rPr>
        <w:t>物料</w:t>
      </w:r>
      <w:r>
        <w:rPr>
          <w:rFonts w:eastAsiaTheme="minorEastAsia"/>
          <w:sz w:val="24"/>
        </w:rPr>
        <w:t>温度，</w:t>
      </w:r>
      <w:r>
        <w:rPr>
          <w:rFonts w:hint="eastAsia" w:eastAsiaTheme="minorEastAsia"/>
          <w:sz w:val="24"/>
          <w:lang w:eastAsia="zh-CN"/>
        </w:rPr>
        <w:t>夹套</w:t>
      </w:r>
      <w:r>
        <w:rPr>
          <w:rFonts w:eastAsiaTheme="minorEastAsia"/>
          <w:sz w:val="24"/>
        </w:rPr>
        <w:t>温度等）组成，其主要功能为对样品进行温度程序控制（升温/降温/恒温及其组合），并测量样品发生化学反应的热效应，获得反应釜内样品的放热热流，以计算反应的放热速率、总放热量、比放热量、转化率和物料累积等热行为信息，推算目标反应的绝热温升和失控后体系能够达到的最高温度。量热仪</w:t>
      </w:r>
      <w:r>
        <w:rPr>
          <w:rFonts w:hint="eastAsia" w:eastAsiaTheme="minorEastAsia"/>
          <w:sz w:val="24"/>
          <w:lang w:eastAsia="zh-CN"/>
        </w:rPr>
        <w:t>原理</w:t>
      </w:r>
      <w:r>
        <w:rPr>
          <w:rFonts w:eastAsiaTheme="minorEastAsia"/>
          <w:sz w:val="24"/>
        </w:rPr>
        <w:t>示意图如图1所示。</w:t>
      </w:r>
    </w:p>
    <w:p w14:paraId="19C50E6F">
      <w:pPr>
        <w:snapToGrid/>
        <w:spacing w:line="500" w:lineRule="exact"/>
        <w:ind w:firstLine="480" w:firstLineChars="200"/>
        <w:rPr>
          <w:rFonts w:eastAsiaTheme="minorEastAsia"/>
          <w:sz w:val="24"/>
        </w:rPr>
      </w:pPr>
      <w:r>
        <w:rPr>
          <w:rFonts w:eastAsiaTheme="minorEastAsia"/>
          <w:sz w:val="24"/>
        </w:rPr>
        <w:t>量热仪的基本原理为热量守恒定律，在不对外做功条件下，反应热等于釜壁换热热流、体系内能积累、加料显热、环境热损失各项之和。在工作时，量热仪主要依赖热传导原理。当物质发生吸热或放热反应时，反应体系温度会发生变化。量热仪利用温度传感器来精确测量物质温度的变化，并通过在线计算与标定的方式，结合恒等式运算，获取反应热、相变热、或混合热的热流量，从而间接地测量其热量变化。</w:t>
      </w:r>
    </w:p>
    <w:p w14:paraId="13E123A9">
      <w:pPr>
        <w:snapToGrid w:val="0"/>
        <w:spacing w:line="360" w:lineRule="auto"/>
        <w:ind w:firstLine="480" w:firstLineChars="200"/>
        <w:jc w:val="center"/>
        <w:rPr>
          <w:rFonts w:hint="eastAsia" w:eastAsia="仿宋_GB2312"/>
          <w:sz w:val="24"/>
          <w:lang w:eastAsia="zh-CN"/>
        </w:rPr>
      </w:pPr>
      <w:r>
        <w:rPr>
          <w:rFonts w:eastAsia="仿宋_GB2312"/>
          <w:sz w:val="24"/>
        </w:rPr>
        <w:drawing>
          <wp:inline distT="0" distB="0" distL="114300" distR="114300">
            <wp:extent cx="3912235" cy="3609340"/>
            <wp:effectExtent l="0" t="0" r="12065" b="10160"/>
            <wp:docPr id="1" name="图片 1" descr="8a964a5db450903f1fee2d4f18c76f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a964a5db450903f1fee2d4f18c76fec"/>
                    <pic:cNvPicPr>
                      <a:picLocks noChangeAspect="1"/>
                    </pic:cNvPicPr>
                  </pic:nvPicPr>
                  <pic:blipFill>
                    <a:blip r:embed="rId10"/>
                    <a:stretch>
                      <a:fillRect/>
                    </a:stretch>
                  </pic:blipFill>
                  <pic:spPr>
                    <a:xfrm>
                      <a:off x="0" y="0"/>
                      <a:ext cx="3912235" cy="3609340"/>
                    </a:xfrm>
                    <a:prstGeom prst="rect">
                      <a:avLst/>
                    </a:prstGeom>
                  </pic:spPr>
                </pic:pic>
              </a:graphicData>
            </a:graphic>
          </wp:inline>
        </w:drawing>
      </w:r>
    </w:p>
    <w:p w14:paraId="589F817A">
      <w:pPr>
        <w:snapToGrid w:val="0"/>
        <w:spacing w:line="360" w:lineRule="auto"/>
        <w:ind w:firstLine="420" w:firstLineChars="200"/>
        <w:jc w:val="center"/>
        <w:rPr>
          <w:rFonts w:ascii="宋体" w:hAnsi="宋体" w:eastAsia="宋体"/>
          <w:color w:val="auto"/>
          <w:sz w:val="24"/>
        </w:rPr>
      </w:pPr>
      <w:r>
        <w:rPr>
          <w:rFonts w:eastAsia="宋体"/>
          <w:color w:val="auto"/>
          <w:szCs w:val="21"/>
        </w:rPr>
        <w:t>图1</w:t>
      </w:r>
      <w:r>
        <w:rPr>
          <w:rFonts w:hint="eastAsia" w:ascii="宋体" w:hAnsi="宋体"/>
          <w:color w:val="auto"/>
          <w:szCs w:val="21"/>
        </w:rPr>
        <w:t xml:space="preserve"> </w:t>
      </w:r>
      <w:r>
        <w:rPr>
          <w:rFonts w:ascii="宋体" w:hAnsi="宋体" w:eastAsia="宋体"/>
          <w:color w:val="auto"/>
          <w:szCs w:val="21"/>
        </w:rPr>
        <w:t>自动反应量热仪量热原理示意图</w:t>
      </w:r>
      <w:r>
        <w:rPr>
          <w:rFonts w:ascii="宋体" w:hAnsi="宋体" w:eastAsia="宋体"/>
          <w:color w:val="auto"/>
          <w:sz w:val="24"/>
        </w:rPr>
        <w:t xml:space="preserve"> </w:t>
      </w:r>
    </w:p>
    <w:p w14:paraId="48114427">
      <w:pPr>
        <w:pStyle w:val="2"/>
        <w:keepLines w:val="0"/>
        <w:tabs>
          <w:tab w:val="left" w:pos="425"/>
        </w:tabs>
        <w:spacing w:before="0" w:after="0" w:line="360" w:lineRule="auto"/>
        <w:jc w:val="left"/>
        <w:rPr>
          <w:rFonts w:ascii="Times New Roman" w:hAnsi="Times New Roman" w:eastAsia="黑体" w:cs="Times New Roman"/>
          <w:b w:val="0"/>
          <w:bCs w:val="0"/>
          <w:kern w:val="2"/>
          <w:sz w:val="24"/>
          <w:szCs w:val="24"/>
        </w:rPr>
      </w:pPr>
      <w:bookmarkStart w:id="89" w:name="_Toc8302"/>
      <w:bookmarkStart w:id="90" w:name="_Toc24335"/>
      <w:bookmarkStart w:id="91" w:name="_Toc517384452"/>
      <w:bookmarkStart w:id="92" w:name="_Toc184626252"/>
      <w:bookmarkStart w:id="93" w:name="_Toc845"/>
      <w:bookmarkStart w:id="94" w:name="_Toc29088546"/>
      <w:bookmarkStart w:id="95" w:name="_Toc25298"/>
      <w:bookmarkStart w:id="96" w:name="_Toc53797330"/>
      <w:bookmarkStart w:id="97" w:name="_Toc10713"/>
      <w:bookmarkStart w:id="98" w:name="_Toc5999"/>
      <w:bookmarkStart w:id="99" w:name="_Toc14617"/>
      <w:bookmarkStart w:id="100" w:name="_Toc29633"/>
      <w:r>
        <w:rPr>
          <w:rFonts w:ascii="Times New Roman" w:hAnsi="Times New Roman" w:eastAsia="黑体" w:cs="Times New Roman"/>
          <w:b w:val="0"/>
          <w:bCs w:val="0"/>
          <w:kern w:val="2"/>
          <w:sz w:val="24"/>
          <w:szCs w:val="24"/>
        </w:rPr>
        <w:t>5 计量特性</w:t>
      </w:r>
      <w:bookmarkEnd w:id="89"/>
      <w:bookmarkEnd w:id="90"/>
      <w:bookmarkEnd w:id="91"/>
      <w:bookmarkEnd w:id="92"/>
      <w:bookmarkEnd w:id="93"/>
      <w:bookmarkEnd w:id="94"/>
      <w:bookmarkEnd w:id="95"/>
      <w:bookmarkEnd w:id="96"/>
      <w:bookmarkEnd w:id="97"/>
      <w:bookmarkEnd w:id="98"/>
      <w:bookmarkEnd w:id="99"/>
      <w:bookmarkEnd w:id="100"/>
    </w:p>
    <w:p w14:paraId="214B3803">
      <w:pPr>
        <w:snapToGrid w:val="0"/>
        <w:spacing w:before="156" w:beforeLines="50" w:line="360" w:lineRule="auto"/>
        <w:ind w:firstLine="480" w:firstLineChars="200"/>
        <w:rPr>
          <w:rFonts w:hint="eastAsia" w:eastAsiaTheme="minorEastAsia"/>
          <w:sz w:val="24"/>
        </w:rPr>
      </w:pPr>
      <w:bookmarkStart w:id="101" w:name="_Toc28177"/>
      <w:bookmarkStart w:id="102" w:name="_Toc184626253"/>
      <w:bookmarkStart w:id="103" w:name="_Toc21015"/>
      <w:bookmarkStart w:id="104" w:name="_Toc5973"/>
      <w:bookmarkStart w:id="105" w:name="_Toc29117"/>
      <w:r>
        <w:rPr>
          <w:rFonts w:eastAsiaTheme="minorEastAsia"/>
          <w:sz w:val="24"/>
        </w:rPr>
        <w:t>量热仪</w:t>
      </w:r>
      <w:r>
        <w:rPr>
          <w:rFonts w:hint="eastAsia" w:eastAsiaTheme="minorEastAsia"/>
          <w:sz w:val="24"/>
        </w:rPr>
        <w:t>的计量特性要求如表1所示。</w:t>
      </w:r>
    </w:p>
    <w:p w14:paraId="75BC990F">
      <w:pPr>
        <w:widowControl/>
        <w:kinsoku w:val="0"/>
        <w:autoSpaceDE w:val="0"/>
        <w:autoSpaceDN w:val="0"/>
        <w:adjustRightInd w:val="0"/>
        <w:snapToGrid w:val="0"/>
        <w:spacing w:line="500" w:lineRule="exact"/>
        <w:jc w:val="center"/>
        <w:textAlignment w:val="baseline"/>
        <w:rPr>
          <w:snapToGrid w:val="0"/>
          <w:spacing w:val="18"/>
          <w:kern w:val="0"/>
          <w:sz w:val="24"/>
        </w:rPr>
      </w:pPr>
      <w:r>
        <w:rPr>
          <w:rFonts w:eastAsia="黑体" w:cs="Arial"/>
          <w:snapToGrid w:val="0"/>
          <w:color w:val="000000"/>
          <w:kern w:val="0"/>
          <w:szCs w:val="21"/>
          <w:lang w:eastAsia="en-US"/>
        </w:rPr>
        <w:t xml:space="preserve">表1 </w:t>
      </w:r>
      <w:r>
        <w:rPr>
          <w:rFonts w:hint="eastAsia" w:eastAsia="黑体" w:cs="Arial"/>
          <w:snapToGrid w:val="0"/>
          <w:color w:val="000000"/>
          <w:kern w:val="0"/>
          <w:szCs w:val="21"/>
          <w:lang w:eastAsia="en-US"/>
        </w:rPr>
        <w:t>计量特性要求</w:t>
      </w:r>
    </w:p>
    <w:tbl>
      <w:tblPr>
        <w:tblStyle w:val="17"/>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3005"/>
        <w:gridCol w:w="941"/>
        <w:gridCol w:w="4117"/>
      </w:tblGrid>
      <w:tr w14:paraId="64FF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Align w:val="center"/>
          </w:tcPr>
          <w:p w14:paraId="39AB990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kern w:val="0"/>
                <w:szCs w:val="21"/>
              </w:rPr>
            </w:pPr>
            <w:bookmarkStart w:id="106" w:name="bookmark8"/>
            <w:bookmarkEnd w:id="106"/>
            <w:r>
              <w:rPr>
                <w:rFonts w:hint="default"/>
                <w:snapToGrid w:val="0"/>
                <w:kern w:val="0"/>
                <w:szCs w:val="21"/>
              </w:rPr>
              <w:t>序号</w:t>
            </w:r>
          </w:p>
        </w:tc>
        <w:tc>
          <w:tcPr>
            <w:tcW w:w="3005" w:type="dxa"/>
            <w:vAlign w:val="center"/>
          </w:tcPr>
          <w:p w14:paraId="0396AF4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eastAsia"/>
                <w:snapToGrid w:val="0"/>
                <w:kern w:val="0"/>
                <w:szCs w:val="21"/>
              </w:rPr>
              <w:t>校准项目</w:t>
            </w:r>
          </w:p>
        </w:tc>
        <w:tc>
          <w:tcPr>
            <w:tcW w:w="941" w:type="dxa"/>
            <w:vAlign w:val="center"/>
          </w:tcPr>
          <w:p w14:paraId="24DE11A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snapToGrid w:val="0"/>
                <w:kern w:val="0"/>
                <w:szCs w:val="21"/>
              </w:rPr>
              <w:t>符号</w:t>
            </w:r>
          </w:p>
        </w:tc>
        <w:tc>
          <w:tcPr>
            <w:tcW w:w="4117" w:type="dxa"/>
            <w:vAlign w:val="center"/>
          </w:tcPr>
          <w:p w14:paraId="6AE0711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eastAsia"/>
                <w:snapToGrid w:val="0"/>
                <w:kern w:val="0"/>
                <w:szCs w:val="21"/>
              </w:rPr>
              <w:t>技术</w:t>
            </w:r>
            <w:r>
              <w:rPr>
                <w:rFonts w:hint="default"/>
                <w:snapToGrid w:val="0"/>
                <w:kern w:val="0"/>
                <w:szCs w:val="21"/>
              </w:rPr>
              <w:t>指标</w:t>
            </w:r>
          </w:p>
        </w:tc>
      </w:tr>
      <w:tr w14:paraId="124B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Align w:val="center"/>
          </w:tcPr>
          <w:p w14:paraId="43D5BB5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bookmarkStart w:id="107" w:name="_Hlk219451246"/>
            <w:r>
              <w:rPr>
                <w:rFonts w:hint="default"/>
                <w:snapToGrid w:val="0"/>
                <w:kern w:val="0"/>
                <w:szCs w:val="21"/>
              </w:rPr>
              <w:t>1</w:t>
            </w:r>
          </w:p>
        </w:tc>
        <w:tc>
          <w:tcPr>
            <w:tcW w:w="3005" w:type="dxa"/>
            <w:vAlign w:val="center"/>
          </w:tcPr>
          <w:p w14:paraId="699017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highlight w:val="green"/>
              </w:rPr>
            </w:pPr>
            <w:r>
              <w:rPr>
                <w:rFonts w:hint="eastAsia"/>
                <w:snapToGrid w:val="0"/>
                <w:kern w:val="0"/>
                <w:szCs w:val="21"/>
              </w:rPr>
              <w:t>质量示值误差</w:t>
            </w:r>
          </w:p>
        </w:tc>
        <w:tc>
          <w:tcPr>
            <w:tcW w:w="941" w:type="dxa"/>
            <w:vAlign w:val="center"/>
          </w:tcPr>
          <w:p w14:paraId="1ED6E14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position w:val="-6"/>
              </w:rPr>
              <w:object>
                <v:shape id="_x0000_i1025" o:spt="75" type="#_x0000_t75" style="height:14pt;width:20.05pt;" o:ole="t" filled="f" o:preferrelative="t" stroked="f" coordsize="21600,21600">
                  <v:path/>
                  <v:fill on="f" focussize="0,0"/>
                  <v:stroke on="f" joinstyle="miter"/>
                  <v:imagedata r:id="rId12" o:title=""/>
                  <o:lock v:ext="edit" aspectratio="t"/>
                  <w10:wrap type="none"/>
                  <w10:anchorlock/>
                </v:shape>
                <o:OLEObject Type="Embed" ProgID="Equation.DSMT4" ShapeID="_x0000_i1025" DrawAspect="Content" ObjectID="_1468075725" r:id="rId11">
                  <o:LockedField>false</o:LockedField>
                </o:OLEObject>
              </w:object>
            </w:r>
          </w:p>
        </w:tc>
        <w:tc>
          <w:tcPr>
            <w:tcW w:w="4117" w:type="dxa"/>
            <w:vAlign w:val="center"/>
          </w:tcPr>
          <w:p w14:paraId="0A51FDA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b/>
                <w:kern w:val="0"/>
                <w:szCs w:val="21"/>
              </w:rPr>
            </w:pPr>
            <w:r>
              <w:rPr>
                <w:rFonts w:hint="default"/>
                <w:iCs/>
                <w:snapToGrid w:val="0"/>
                <w:kern w:val="0"/>
                <w:szCs w:val="21"/>
              </w:rPr>
              <w:t>±0.1g</w:t>
            </w:r>
          </w:p>
        </w:tc>
      </w:tr>
      <w:tr w14:paraId="7FDF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Align w:val="center"/>
          </w:tcPr>
          <w:p w14:paraId="4036C5A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snapToGrid w:val="0"/>
                <w:kern w:val="0"/>
                <w:szCs w:val="21"/>
              </w:rPr>
              <w:t>2</w:t>
            </w:r>
          </w:p>
        </w:tc>
        <w:tc>
          <w:tcPr>
            <w:tcW w:w="3005" w:type="dxa"/>
            <w:vAlign w:val="center"/>
          </w:tcPr>
          <w:p w14:paraId="1728B52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highlight w:val="green"/>
              </w:rPr>
            </w:pPr>
            <w:r>
              <w:rPr>
                <w:rFonts w:hint="eastAsia"/>
                <w:snapToGrid w:val="0"/>
                <w:kern w:val="0"/>
                <w:szCs w:val="21"/>
              </w:rPr>
              <w:t>温度示值误差</w:t>
            </w:r>
          </w:p>
        </w:tc>
        <w:tc>
          <w:tcPr>
            <w:tcW w:w="941" w:type="dxa"/>
            <w:vAlign w:val="center"/>
          </w:tcPr>
          <w:p w14:paraId="4CA6BFB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i/>
                <w:iCs/>
                <w:snapToGrid w:val="0"/>
                <w:kern w:val="0"/>
                <w:szCs w:val="21"/>
              </w:rPr>
              <w:t>∆</w:t>
            </w:r>
            <w:r>
              <w:rPr>
                <w:rFonts w:hint="eastAsia"/>
                <w:i/>
                <w:iCs/>
                <w:snapToGrid w:val="0"/>
                <w:kern w:val="0"/>
                <w:szCs w:val="21"/>
              </w:rPr>
              <w:t>T</w:t>
            </w:r>
          </w:p>
        </w:tc>
        <w:tc>
          <w:tcPr>
            <w:tcW w:w="4117" w:type="dxa"/>
            <w:vAlign w:val="center"/>
          </w:tcPr>
          <w:p w14:paraId="5036ED2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snapToGrid w:val="0"/>
                <w:kern w:val="0"/>
                <w:szCs w:val="21"/>
              </w:rPr>
              <w:t>±</w:t>
            </w:r>
            <w:r>
              <w:rPr>
                <w:rFonts w:hint="default" w:ascii="Times New Roman" w:hAnsi="Times New Roman" w:eastAsiaTheme="minorEastAsia"/>
                <w:sz w:val="24"/>
              </w:rPr>
              <w:t>2℃</w:t>
            </w:r>
          </w:p>
        </w:tc>
      </w:tr>
      <w:tr w14:paraId="38FF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Align w:val="center"/>
          </w:tcPr>
          <w:p w14:paraId="40A7172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eastAsia"/>
                <w:snapToGrid w:val="0"/>
                <w:kern w:val="0"/>
                <w:szCs w:val="21"/>
              </w:rPr>
              <w:t>3</w:t>
            </w:r>
          </w:p>
        </w:tc>
        <w:tc>
          <w:tcPr>
            <w:tcW w:w="3005" w:type="dxa"/>
            <w:vAlign w:val="center"/>
          </w:tcPr>
          <w:p w14:paraId="1271956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eastAsia"/>
                <w:snapToGrid w:val="0"/>
                <w:kern w:val="0"/>
                <w:szCs w:val="21"/>
              </w:rPr>
              <w:t>反应热相对误差</w:t>
            </w:r>
          </w:p>
        </w:tc>
        <w:tc>
          <w:tcPr>
            <w:tcW w:w="941" w:type="dxa"/>
            <w:vAlign w:val="center"/>
          </w:tcPr>
          <w:p w14:paraId="72CA393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i/>
                <w:iCs/>
                <w:snapToGrid w:val="0"/>
                <w:kern w:val="0"/>
                <w:szCs w:val="21"/>
              </w:rPr>
            </w:pPr>
            <w:r>
              <w:rPr>
                <w:rFonts w:hint="default"/>
                <w:position w:val="-14"/>
                <w:szCs w:val="21"/>
              </w:rPr>
              <w:object>
                <v:shape id="_x0000_i1026" o:spt="75" type="#_x0000_t75" style="height:19pt;width:12.05pt;" o:ole="t" filled="f" o:preferrelative="t" stroked="f" coordsize="21600,21600">
                  <v:path/>
                  <v:fill on="f" focussize="0,0"/>
                  <v:stroke on="f" joinstyle="miter"/>
                  <v:imagedata r:id="rId14" o:title=""/>
                  <o:lock v:ext="edit" aspectratio="t"/>
                  <w10:wrap type="none"/>
                  <w10:anchorlock/>
                </v:shape>
                <o:OLEObject Type="Embed" ProgID="Equation.DSMT4" ShapeID="_x0000_i1026" DrawAspect="Content" ObjectID="_1468075726" r:id="rId13">
                  <o:LockedField>false</o:LockedField>
                </o:OLEObject>
              </w:object>
            </w:r>
          </w:p>
        </w:tc>
        <w:tc>
          <w:tcPr>
            <w:tcW w:w="4117" w:type="dxa"/>
            <w:vAlign w:val="center"/>
          </w:tcPr>
          <w:p w14:paraId="61B0891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snapToGrid w:val="0"/>
                <w:kern w:val="0"/>
                <w:szCs w:val="21"/>
              </w:rPr>
            </w:pPr>
            <w:r>
              <w:rPr>
                <w:rFonts w:hint="default"/>
                <w:snapToGrid w:val="0"/>
                <w:kern w:val="0"/>
                <w:szCs w:val="21"/>
              </w:rPr>
              <w:t>±5%</w:t>
            </w:r>
          </w:p>
        </w:tc>
      </w:tr>
      <w:bookmarkEnd w:id="107"/>
    </w:tbl>
    <w:p w14:paraId="0BFD9C3F">
      <w:pPr>
        <w:pStyle w:val="2"/>
        <w:keepLines w:val="0"/>
        <w:tabs>
          <w:tab w:val="left" w:pos="425"/>
        </w:tabs>
        <w:spacing w:before="0" w:after="0" w:line="500" w:lineRule="exact"/>
        <w:jc w:val="left"/>
        <w:rPr>
          <w:rFonts w:ascii="Times New Roman" w:hAnsi="Times New Roman" w:eastAsia="黑体" w:cs="Times New Roman"/>
          <w:b w:val="0"/>
          <w:bCs w:val="0"/>
          <w:kern w:val="2"/>
          <w:sz w:val="24"/>
          <w:szCs w:val="24"/>
        </w:rPr>
      </w:pPr>
      <w:bookmarkStart w:id="108" w:name="_Toc16784"/>
      <w:bookmarkStart w:id="109" w:name="_Toc1207254490"/>
      <w:bookmarkStart w:id="110" w:name="_Toc30870"/>
      <w:bookmarkStart w:id="111" w:name="_Toc74790969"/>
      <w:bookmarkStart w:id="112" w:name="_Toc798729907"/>
      <w:bookmarkStart w:id="113" w:name="_Toc15873"/>
      <w:bookmarkStart w:id="114" w:name="_Toc28148"/>
      <w:r>
        <w:rPr>
          <w:rFonts w:ascii="Times New Roman" w:hAnsi="Times New Roman" w:eastAsia="黑体" w:cs="Times New Roman"/>
          <w:b w:val="0"/>
          <w:bCs w:val="0"/>
          <w:kern w:val="2"/>
          <w:sz w:val="24"/>
          <w:szCs w:val="24"/>
        </w:rPr>
        <w:t>6校准条件</w:t>
      </w:r>
      <w:bookmarkEnd w:id="101"/>
      <w:bookmarkEnd w:id="102"/>
      <w:bookmarkEnd w:id="103"/>
      <w:bookmarkEnd w:id="104"/>
      <w:bookmarkEnd w:id="105"/>
      <w:bookmarkEnd w:id="108"/>
      <w:bookmarkEnd w:id="109"/>
      <w:bookmarkEnd w:id="110"/>
      <w:bookmarkEnd w:id="111"/>
      <w:bookmarkEnd w:id="112"/>
      <w:bookmarkEnd w:id="113"/>
      <w:bookmarkEnd w:id="114"/>
    </w:p>
    <w:p w14:paraId="163721AD">
      <w:pPr>
        <w:pStyle w:val="3"/>
        <w:keepLines w:val="0"/>
        <w:snapToGrid w:val="0"/>
        <w:spacing w:before="156" w:beforeLines="50" w:after="0" w:line="500" w:lineRule="exact"/>
        <w:jc w:val="left"/>
        <w:rPr>
          <w:rFonts w:ascii="Times New Roman" w:hAnsi="Times New Roman" w:eastAsiaTheme="minorEastAsia"/>
          <w:b w:val="0"/>
          <w:iCs/>
          <w:sz w:val="24"/>
        </w:rPr>
      </w:pPr>
      <w:bookmarkStart w:id="115" w:name="_Toc382504884"/>
      <w:bookmarkStart w:id="116" w:name="_Toc5352"/>
      <w:bookmarkStart w:id="117" w:name="_Toc8698"/>
      <w:bookmarkStart w:id="118" w:name="_Toc15199"/>
      <w:bookmarkStart w:id="119" w:name="_Toc18644"/>
      <w:bookmarkStart w:id="120" w:name="_Toc184626254"/>
      <w:bookmarkStart w:id="121" w:name="_Toc8094"/>
      <w:bookmarkStart w:id="122" w:name="_Toc25520"/>
      <w:bookmarkStart w:id="123" w:name="_Toc4316704"/>
      <w:bookmarkStart w:id="124" w:name="_Toc1278781647"/>
      <w:bookmarkStart w:id="125" w:name="_Toc9722"/>
      <w:bookmarkStart w:id="126" w:name="_Toc27186"/>
      <w:r>
        <w:rPr>
          <w:rFonts w:ascii="Times New Roman" w:hAnsi="Times New Roman" w:eastAsiaTheme="minorEastAsia"/>
          <w:b w:val="0"/>
          <w:iCs/>
          <w:sz w:val="24"/>
        </w:rPr>
        <w:t>6.1 环境条件</w:t>
      </w:r>
      <w:bookmarkEnd w:id="115"/>
      <w:bookmarkEnd w:id="116"/>
      <w:bookmarkEnd w:id="117"/>
      <w:bookmarkEnd w:id="118"/>
      <w:bookmarkEnd w:id="119"/>
      <w:bookmarkEnd w:id="120"/>
      <w:bookmarkEnd w:id="121"/>
      <w:bookmarkEnd w:id="122"/>
      <w:bookmarkEnd w:id="123"/>
      <w:bookmarkEnd w:id="124"/>
      <w:bookmarkEnd w:id="125"/>
      <w:bookmarkEnd w:id="126"/>
    </w:p>
    <w:p w14:paraId="44DECAD2">
      <w:pPr>
        <w:spacing w:line="500" w:lineRule="exact"/>
        <w:rPr>
          <w:rFonts w:eastAsiaTheme="minorEastAsia"/>
          <w:sz w:val="24"/>
        </w:rPr>
      </w:pPr>
      <w:r>
        <w:rPr>
          <w:rFonts w:eastAsiaTheme="minorEastAsia"/>
          <w:sz w:val="24"/>
        </w:rPr>
        <w:t>6.1.1</w:t>
      </w:r>
      <w:r>
        <w:rPr>
          <w:rFonts w:hint="eastAsia" w:eastAsiaTheme="minorEastAsia"/>
          <w:sz w:val="24"/>
          <w:lang w:val="en-US" w:eastAsia="zh-CN"/>
        </w:rPr>
        <w:t xml:space="preserve"> </w:t>
      </w:r>
      <w:r>
        <w:rPr>
          <w:rFonts w:eastAsiaTheme="minorEastAsia"/>
          <w:sz w:val="24"/>
        </w:rPr>
        <w:t>环境温度</w:t>
      </w:r>
      <w:r>
        <w:rPr>
          <w:rFonts w:hint="eastAsia" w:eastAsiaTheme="minorEastAsia"/>
          <w:sz w:val="24"/>
        </w:rPr>
        <w:t>：</w:t>
      </w:r>
      <w:r>
        <w:rPr>
          <w:rFonts w:eastAsiaTheme="minorEastAsia"/>
          <w:sz w:val="24"/>
        </w:rPr>
        <w:t>20 ℃±2 ℃。</w:t>
      </w:r>
    </w:p>
    <w:p w14:paraId="3A9D4AB8">
      <w:pPr>
        <w:spacing w:line="500" w:lineRule="exact"/>
        <w:rPr>
          <w:rFonts w:eastAsiaTheme="minorEastAsia"/>
          <w:sz w:val="24"/>
        </w:rPr>
      </w:pPr>
      <w:r>
        <w:rPr>
          <w:rFonts w:eastAsiaTheme="minorEastAsia"/>
          <w:sz w:val="24"/>
        </w:rPr>
        <w:t>6.1.2</w:t>
      </w:r>
      <w:r>
        <w:rPr>
          <w:rFonts w:hint="eastAsia" w:eastAsiaTheme="minorEastAsia"/>
          <w:sz w:val="24"/>
          <w:lang w:val="en-US" w:eastAsia="zh-CN"/>
        </w:rPr>
        <w:t xml:space="preserve"> </w:t>
      </w:r>
      <w:r>
        <w:rPr>
          <w:rFonts w:eastAsiaTheme="minorEastAsia"/>
          <w:sz w:val="24"/>
        </w:rPr>
        <w:t>相对湿度：20%～80%。</w:t>
      </w:r>
    </w:p>
    <w:p w14:paraId="1CFC48DB">
      <w:pPr>
        <w:spacing w:line="500" w:lineRule="exact"/>
        <w:rPr>
          <w:rFonts w:eastAsiaTheme="minorEastAsia"/>
          <w:sz w:val="24"/>
        </w:rPr>
      </w:pPr>
      <w:r>
        <w:rPr>
          <w:rFonts w:eastAsiaTheme="minorEastAsia"/>
          <w:sz w:val="24"/>
        </w:rPr>
        <w:t>6.1.3</w:t>
      </w:r>
      <w:r>
        <w:rPr>
          <w:rFonts w:hint="eastAsia" w:eastAsiaTheme="minorEastAsia"/>
          <w:sz w:val="24"/>
          <w:lang w:val="en-US" w:eastAsia="zh-CN"/>
        </w:rPr>
        <w:t xml:space="preserve"> </w:t>
      </w:r>
      <w:r>
        <w:rPr>
          <w:rFonts w:eastAsiaTheme="minorEastAsia"/>
          <w:sz w:val="24"/>
        </w:rPr>
        <w:t>供电电源：电压：220 V±22 V；频率：50 Hz±0.5 Hz。</w:t>
      </w:r>
    </w:p>
    <w:p w14:paraId="7FB6FA06">
      <w:pPr>
        <w:spacing w:line="500" w:lineRule="exact"/>
        <w:rPr>
          <w:rFonts w:eastAsiaTheme="minorEastAsia"/>
          <w:sz w:val="24"/>
        </w:rPr>
      </w:pPr>
      <w:r>
        <w:rPr>
          <w:rFonts w:eastAsiaTheme="minorEastAsia"/>
          <w:sz w:val="24"/>
        </w:rPr>
        <w:t>6.1.4</w:t>
      </w:r>
      <w:r>
        <w:rPr>
          <w:rFonts w:hint="eastAsia" w:eastAsiaTheme="minorEastAsia"/>
          <w:sz w:val="24"/>
          <w:lang w:val="en-US" w:eastAsia="zh-CN"/>
        </w:rPr>
        <w:t xml:space="preserve"> </w:t>
      </w:r>
      <w:r>
        <w:rPr>
          <w:rFonts w:eastAsiaTheme="minorEastAsia"/>
          <w:sz w:val="24"/>
        </w:rPr>
        <w:t>其他：周围无影响正常工作的电磁干扰。</w:t>
      </w:r>
    </w:p>
    <w:p w14:paraId="68669BE6">
      <w:pPr>
        <w:pStyle w:val="3"/>
        <w:keepLines w:val="0"/>
        <w:snapToGrid w:val="0"/>
        <w:spacing w:before="156" w:beforeLines="50" w:after="0" w:line="500" w:lineRule="exact"/>
        <w:jc w:val="left"/>
        <w:rPr>
          <w:rFonts w:ascii="Times New Roman" w:hAnsi="Times New Roman" w:eastAsiaTheme="minorEastAsia"/>
          <w:b w:val="0"/>
          <w:iCs/>
          <w:sz w:val="24"/>
        </w:rPr>
      </w:pPr>
      <w:bookmarkStart w:id="127" w:name="_Toc493"/>
      <w:bookmarkStart w:id="128" w:name="_Toc29140"/>
      <w:bookmarkStart w:id="129" w:name="_Toc21345"/>
      <w:bookmarkStart w:id="130" w:name="_Toc10316"/>
      <w:bookmarkStart w:id="131" w:name="_Toc28524"/>
      <w:bookmarkStart w:id="132" w:name="_Toc184626255"/>
      <w:bookmarkStart w:id="133" w:name="_Toc16513"/>
      <w:bookmarkStart w:id="134" w:name="_Toc953686667"/>
      <w:bookmarkStart w:id="135" w:name="_Toc30274"/>
      <w:bookmarkStart w:id="136" w:name="_Toc1729"/>
      <w:bookmarkStart w:id="137" w:name="_Toc255231006"/>
      <w:bookmarkStart w:id="138" w:name="_Toc245909866"/>
      <w:r>
        <w:rPr>
          <w:rFonts w:ascii="Times New Roman" w:hAnsi="Times New Roman" w:eastAsiaTheme="minorEastAsia"/>
          <w:b w:val="0"/>
          <w:iCs/>
          <w:sz w:val="24"/>
        </w:rPr>
        <w:t>6.2</w:t>
      </w:r>
      <w:r>
        <w:rPr>
          <w:rFonts w:hint="eastAsia" w:ascii="Times New Roman" w:hAnsi="Times New Roman" w:eastAsiaTheme="minorEastAsia"/>
          <w:b w:val="0"/>
          <w:iCs/>
          <w:sz w:val="24"/>
          <w:lang w:val="en-US" w:eastAsia="zh-CN"/>
        </w:rPr>
        <w:t xml:space="preserve"> </w:t>
      </w:r>
      <w:r>
        <w:rPr>
          <w:rFonts w:ascii="Times New Roman" w:hAnsi="Times New Roman" w:eastAsiaTheme="minorEastAsia"/>
          <w:b w:val="0"/>
          <w:iCs/>
          <w:sz w:val="24"/>
        </w:rPr>
        <w:t>测量标准装置及配套设备</w:t>
      </w:r>
      <w:bookmarkEnd w:id="127"/>
      <w:bookmarkEnd w:id="128"/>
      <w:bookmarkEnd w:id="129"/>
      <w:bookmarkEnd w:id="130"/>
      <w:bookmarkEnd w:id="131"/>
      <w:bookmarkEnd w:id="132"/>
      <w:bookmarkEnd w:id="133"/>
      <w:bookmarkEnd w:id="134"/>
      <w:bookmarkEnd w:id="135"/>
      <w:bookmarkEnd w:id="136"/>
      <w:bookmarkEnd w:id="137"/>
      <w:bookmarkEnd w:id="138"/>
    </w:p>
    <w:p w14:paraId="3743A445">
      <w:pPr>
        <w:spacing w:line="500" w:lineRule="exact"/>
        <w:rPr>
          <w:rFonts w:eastAsiaTheme="minorEastAsia"/>
          <w:sz w:val="24"/>
        </w:rPr>
      </w:pPr>
      <w:r>
        <w:rPr>
          <w:rFonts w:eastAsiaTheme="minorEastAsia"/>
          <w:sz w:val="24"/>
        </w:rPr>
        <w:t>6.2.1</w:t>
      </w:r>
      <w:r>
        <w:rPr>
          <w:rFonts w:hint="eastAsia" w:eastAsiaTheme="minorEastAsia"/>
          <w:sz w:val="24"/>
          <w:lang w:val="en-US" w:eastAsia="zh-CN"/>
        </w:rPr>
        <w:t xml:space="preserve"> </w:t>
      </w:r>
      <w:r>
        <w:rPr>
          <w:rFonts w:eastAsiaTheme="minorEastAsia"/>
          <w:sz w:val="24"/>
        </w:rPr>
        <w:t>标准直流电源</w:t>
      </w:r>
    </w:p>
    <w:p w14:paraId="56E73D16">
      <w:pPr>
        <w:spacing w:line="500" w:lineRule="exact"/>
        <w:ind w:firstLine="480" w:firstLineChars="200"/>
        <w:rPr>
          <w:rFonts w:eastAsiaTheme="minorEastAsia"/>
          <w:sz w:val="24"/>
        </w:rPr>
      </w:pPr>
      <w:r>
        <w:rPr>
          <w:rFonts w:eastAsiaTheme="minorEastAsia"/>
          <w:sz w:val="24"/>
        </w:rPr>
        <w:t>最大输出电压：20V；</w:t>
      </w:r>
    </w:p>
    <w:p w14:paraId="2C346F6C">
      <w:pPr>
        <w:spacing w:line="500" w:lineRule="exact"/>
        <w:ind w:firstLine="480" w:firstLineChars="200"/>
        <w:rPr>
          <w:rFonts w:eastAsiaTheme="minorEastAsia"/>
          <w:sz w:val="24"/>
        </w:rPr>
      </w:pPr>
      <w:r>
        <w:rPr>
          <w:rFonts w:eastAsiaTheme="minorEastAsia"/>
          <w:sz w:val="24"/>
        </w:rPr>
        <w:t>最大输出电流：3A；</w:t>
      </w:r>
    </w:p>
    <w:p w14:paraId="22824471">
      <w:pPr>
        <w:spacing w:line="500" w:lineRule="exact"/>
        <w:ind w:firstLine="480" w:firstLineChars="200"/>
        <w:rPr>
          <w:rFonts w:eastAsiaTheme="minorEastAsia"/>
          <w:sz w:val="24"/>
        </w:rPr>
      </w:pPr>
      <w:r>
        <w:rPr>
          <w:rFonts w:eastAsiaTheme="minorEastAsia"/>
          <w:sz w:val="24"/>
        </w:rPr>
        <w:t>电压最大允许误差：±0.5%；</w:t>
      </w:r>
    </w:p>
    <w:p w14:paraId="6A646178">
      <w:pPr>
        <w:spacing w:line="500" w:lineRule="exact"/>
        <w:ind w:firstLine="480" w:firstLineChars="200"/>
        <w:rPr>
          <w:rFonts w:eastAsiaTheme="minorEastAsia"/>
          <w:sz w:val="24"/>
        </w:rPr>
      </w:pPr>
      <w:r>
        <w:rPr>
          <w:rFonts w:eastAsiaTheme="minorEastAsia"/>
          <w:sz w:val="24"/>
        </w:rPr>
        <w:t>电流最大允许误差：±0.5%。</w:t>
      </w:r>
    </w:p>
    <w:p w14:paraId="15AB41E5">
      <w:pPr>
        <w:snapToGrid w:val="0"/>
        <w:spacing w:line="500" w:lineRule="exact"/>
        <w:ind w:firstLine="420" w:firstLineChars="200"/>
        <w:rPr>
          <w:rFonts w:eastAsia="仿宋"/>
          <w:szCs w:val="21"/>
        </w:rPr>
      </w:pPr>
      <w:r>
        <w:rPr>
          <w:rFonts w:eastAsia="仿宋"/>
          <w:szCs w:val="21"/>
        </w:rPr>
        <w:t>注：测量范围满足反应量热仪输出功率的校准需求即可。</w:t>
      </w:r>
    </w:p>
    <w:p w14:paraId="562719D9">
      <w:pPr>
        <w:spacing w:line="500" w:lineRule="exact"/>
        <w:rPr>
          <w:rFonts w:eastAsiaTheme="minorEastAsia"/>
          <w:sz w:val="24"/>
        </w:rPr>
      </w:pPr>
      <w:r>
        <w:rPr>
          <w:rFonts w:eastAsiaTheme="minorEastAsia"/>
          <w:sz w:val="24"/>
        </w:rPr>
        <w:t>6.2.2</w:t>
      </w:r>
      <w:r>
        <w:rPr>
          <w:rFonts w:hint="eastAsia" w:eastAsiaTheme="minorEastAsia"/>
          <w:sz w:val="24"/>
          <w:lang w:val="en-US" w:eastAsia="zh-CN"/>
        </w:rPr>
        <w:t xml:space="preserve"> </w:t>
      </w:r>
      <w:r>
        <w:rPr>
          <w:rFonts w:eastAsiaTheme="minorEastAsia"/>
          <w:sz w:val="24"/>
        </w:rPr>
        <w:t>温度测量标准</w:t>
      </w:r>
    </w:p>
    <w:p w14:paraId="555BC232">
      <w:pPr>
        <w:spacing w:line="500" w:lineRule="exact"/>
        <w:ind w:firstLine="480" w:firstLineChars="200"/>
        <w:rPr>
          <w:rFonts w:eastAsiaTheme="minorEastAsia"/>
          <w:sz w:val="24"/>
        </w:rPr>
      </w:pPr>
      <w:r>
        <w:rPr>
          <w:rFonts w:eastAsiaTheme="minorEastAsia"/>
          <w:sz w:val="24"/>
        </w:rPr>
        <w:t>测量范围：（0～200）℃；</w:t>
      </w:r>
    </w:p>
    <w:p w14:paraId="6A009248">
      <w:pPr>
        <w:spacing w:line="500" w:lineRule="exact"/>
        <w:ind w:firstLine="480" w:firstLineChars="200"/>
        <w:rPr>
          <w:rFonts w:eastAsiaTheme="minorEastAsia"/>
          <w:sz w:val="24"/>
        </w:rPr>
      </w:pPr>
      <w:r>
        <w:rPr>
          <w:rFonts w:eastAsiaTheme="minorEastAsia"/>
          <w:sz w:val="24"/>
        </w:rPr>
        <w:t>分辨力：不低于0.01℃；</w:t>
      </w:r>
    </w:p>
    <w:p w14:paraId="526FCF88">
      <w:pPr>
        <w:spacing w:line="500" w:lineRule="exact"/>
        <w:ind w:firstLine="480" w:firstLineChars="200"/>
        <w:rPr>
          <w:rFonts w:eastAsiaTheme="minorEastAsia"/>
          <w:sz w:val="24"/>
        </w:rPr>
      </w:pPr>
      <w:r>
        <w:rPr>
          <w:rFonts w:eastAsiaTheme="minorEastAsia"/>
          <w:sz w:val="24"/>
        </w:rPr>
        <w:t>最大允许误差：±（0.15℃+0.002t）。</w:t>
      </w:r>
    </w:p>
    <w:p w14:paraId="6BC2C2AC">
      <w:pPr>
        <w:spacing w:before="156" w:beforeLines="50" w:line="500" w:lineRule="exact"/>
        <w:rPr>
          <w:rFonts w:eastAsiaTheme="minorEastAsia"/>
          <w:sz w:val="24"/>
        </w:rPr>
      </w:pPr>
      <w:r>
        <w:rPr>
          <w:rFonts w:eastAsiaTheme="minorEastAsia"/>
          <w:sz w:val="24"/>
        </w:rPr>
        <w:t>6.2.4</w:t>
      </w:r>
      <w:r>
        <w:rPr>
          <w:rFonts w:hint="eastAsia" w:eastAsiaTheme="minorEastAsia"/>
          <w:sz w:val="24"/>
          <w:lang w:val="en-US" w:eastAsia="zh-CN"/>
        </w:rPr>
        <w:t xml:space="preserve"> </w:t>
      </w:r>
      <w:r>
        <w:rPr>
          <w:rFonts w:eastAsiaTheme="minorEastAsia"/>
          <w:sz w:val="24"/>
        </w:rPr>
        <w:t>砝码</w:t>
      </w:r>
    </w:p>
    <w:p w14:paraId="0B4624A9">
      <w:pPr>
        <w:spacing w:line="500" w:lineRule="exact"/>
        <w:ind w:firstLine="480" w:firstLineChars="200"/>
        <w:rPr>
          <w:rFonts w:hint="eastAsia" w:eastAsiaTheme="minorEastAsia"/>
          <w:sz w:val="24"/>
        </w:rPr>
      </w:pPr>
      <w:r>
        <w:rPr>
          <w:rFonts w:eastAsiaTheme="minorEastAsia"/>
          <w:sz w:val="24"/>
        </w:rPr>
        <w:t>标称值：50g、100g、200g、500g和1000g；</w:t>
      </w:r>
    </w:p>
    <w:p w14:paraId="0ABF0BFE">
      <w:pPr>
        <w:spacing w:line="500" w:lineRule="exact"/>
        <w:ind w:firstLine="480" w:firstLineChars="200"/>
        <w:rPr>
          <w:rFonts w:eastAsiaTheme="minorEastAsia"/>
          <w:sz w:val="24"/>
        </w:rPr>
      </w:pPr>
      <w:r>
        <w:rPr>
          <w:rFonts w:eastAsiaTheme="minorEastAsia"/>
          <w:sz w:val="24"/>
        </w:rPr>
        <w:t>准确度等级：不低于M</w:t>
      </w:r>
      <w:r>
        <w:rPr>
          <w:rFonts w:eastAsiaTheme="minorEastAsia"/>
          <w:sz w:val="24"/>
          <w:vertAlign w:val="subscript"/>
        </w:rPr>
        <w:t>1</w:t>
      </w:r>
      <w:r>
        <w:rPr>
          <w:rFonts w:eastAsiaTheme="minorEastAsia"/>
          <w:sz w:val="24"/>
        </w:rPr>
        <w:t>等级。</w:t>
      </w:r>
    </w:p>
    <w:p w14:paraId="25A4FA29">
      <w:pPr>
        <w:snapToGrid w:val="0"/>
        <w:spacing w:line="500" w:lineRule="exact"/>
        <w:ind w:firstLine="420" w:firstLineChars="200"/>
        <w:rPr>
          <w:rFonts w:eastAsia="仿宋"/>
          <w:szCs w:val="21"/>
        </w:rPr>
      </w:pPr>
      <w:r>
        <w:rPr>
          <w:rFonts w:eastAsia="仿宋"/>
          <w:szCs w:val="21"/>
        </w:rPr>
        <w:t>注：砝码的配置与被校仪器最大量程相符即可。</w:t>
      </w:r>
    </w:p>
    <w:p w14:paraId="544D4ABF">
      <w:pPr>
        <w:spacing w:before="156" w:beforeLines="50" w:line="500" w:lineRule="exact"/>
        <w:rPr>
          <w:rFonts w:eastAsiaTheme="minorEastAsia"/>
          <w:sz w:val="24"/>
        </w:rPr>
      </w:pPr>
      <w:r>
        <w:rPr>
          <w:rFonts w:eastAsiaTheme="minorEastAsia"/>
          <w:sz w:val="24"/>
        </w:rPr>
        <w:t>6.2.6</w:t>
      </w:r>
      <w:r>
        <w:rPr>
          <w:rFonts w:hint="eastAsia" w:eastAsiaTheme="minorEastAsia"/>
          <w:sz w:val="24"/>
          <w:lang w:val="en-US" w:eastAsia="zh-CN"/>
        </w:rPr>
        <w:t xml:space="preserve"> </w:t>
      </w:r>
      <w:r>
        <w:rPr>
          <w:rFonts w:eastAsiaTheme="minorEastAsia"/>
          <w:sz w:val="24"/>
        </w:rPr>
        <w:t>电子秒表</w:t>
      </w:r>
    </w:p>
    <w:p w14:paraId="7EE1F733">
      <w:pPr>
        <w:spacing w:line="500" w:lineRule="exact"/>
        <w:ind w:firstLine="480" w:firstLineChars="200"/>
        <w:rPr>
          <w:rFonts w:eastAsiaTheme="minorEastAsia"/>
          <w:sz w:val="24"/>
        </w:rPr>
      </w:pPr>
      <w:r>
        <w:rPr>
          <w:rFonts w:eastAsiaTheme="minorEastAsia"/>
          <w:sz w:val="24"/>
        </w:rPr>
        <w:t>测量范围：（0～3600）s；</w:t>
      </w:r>
    </w:p>
    <w:p w14:paraId="6BEFFF4A">
      <w:pPr>
        <w:spacing w:line="500" w:lineRule="exact"/>
        <w:ind w:firstLine="480" w:firstLineChars="200"/>
        <w:rPr>
          <w:rFonts w:hint="eastAsia" w:eastAsiaTheme="minorEastAsia"/>
          <w:sz w:val="24"/>
        </w:rPr>
      </w:pPr>
      <w:r>
        <w:rPr>
          <w:rFonts w:eastAsiaTheme="minorEastAsia"/>
          <w:sz w:val="24"/>
        </w:rPr>
        <w:t>分辨力：不低于0.01s；</w:t>
      </w:r>
    </w:p>
    <w:p w14:paraId="61731137">
      <w:pPr>
        <w:spacing w:line="500" w:lineRule="exact"/>
        <w:ind w:firstLine="480" w:firstLineChars="200"/>
        <w:rPr>
          <w:rFonts w:eastAsiaTheme="minorEastAsia"/>
          <w:sz w:val="24"/>
        </w:rPr>
      </w:pPr>
      <w:r>
        <w:rPr>
          <w:rFonts w:eastAsiaTheme="minorEastAsia"/>
          <w:sz w:val="24"/>
        </w:rPr>
        <w:t>最大允许误差：±0.5 s/d。</w:t>
      </w:r>
    </w:p>
    <w:p w14:paraId="41AF9AE5">
      <w:pPr>
        <w:pStyle w:val="2"/>
        <w:keepLines w:val="0"/>
        <w:tabs>
          <w:tab w:val="left" w:pos="425"/>
        </w:tabs>
        <w:spacing w:before="0" w:after="0" w:line="500" w:lineRule="exact"/>
        <w:jc w:val="left"/>
        <w:rPr>
          <w:rFonts w:ascii="Times New Roman" w:hAnsi="Times New Roman" w:eastAsia="黑体" w:cs="Times New Roman"/>
          <w:b w:val="0"/>
          <w:bCs w:val="0"/>
          <w:kern w:val="2"/>
          <w:sz w:val="24"/>
          <w:szCs w:val="24"/>
        </w:rPr>
      </w:pPr>
      <w:bookmarkStart w:id="139" w:name="_Toc1537276466"/>
      <w:bookmarkStart w:id="140" w:name="_Toc19385"/>
      <w:bookmarkStart w:id="141" w:name="_Toc14256"/>
      <w:bookmarkStart w:id="142" w:name="_Toc18995"/>
      <w:bookmarkStart w:id="143" w:name="_Toc4532"/>
      <w:bookmarkStart w:id="144" w:name="_Toc1430535247"/>
      <w:bookmarkStart w:id="145" w:name="_Toc775726744"/>
      <w:bookmarkStart w:id="146" w:name="_Toc32492"/>
      <w:bookmarkStart w:id="147" w:name="_Toc2367"/>
      <w:bookmarkStart w:id="148" w:name="_Toc1864"/>
      <w:bookmarkStart w:id="149" w:name="_Toc184626256"/>
      <w:bookmarkStart w:id="150" w:name="_Toc32060"/>
      <w:r>
        <w:rPr>
          <w:rFonts w:ascii="Times New Roman" w:hAnsi="Times New Roman" w:eastAsia="黑体" w:cs="Times New Roman"/>
          <w:b w:val="0"/>
          <w:bCs w:val="0"/>
          <w:kern w:val="2"/>
          <w:sz w:val="24"/>
          <w:szCs w:val="24"/>
        </w:rPr>
        <w:t>7校准项目和校准方法</w:t>
      </w:r>
      <w:bookmarkEnd w:id="139"/>
      <w:bookmarkEnd w:id="140"/>
      <w:bookmarkEnd w:id="141"/>
      <w:bookmarkEnd w:id="142"/>
      <w:bookmarkEnd w:id="143"/>
      <w:bookmarkEnd w:id="144"/>
      <w:bookmarkEnd w:id="145"/>
      <w:bookmarkEnd w:id="146"/>
      <w:bookmarkEnd w:id="147"/>
      <w:bookmarkEnd w:id="148"/>
      <w:bookmarkEnd w:id="149"/>
      <w:bookmarkEnd w:id="150"/>
    </w:p>
    <w:p w14:paraId="33F2127D">
      <w:pPr>
        <w:pStyle w:val="3"/>
        <w:keepLines w:val="0"/>
        <w:snapToGrid w:val="0"/>
        <w:spacing w:before="156" w:beforeLines="50" w:after="0" w:line="500" w:lineRule="exact"/>
        <w:jc w:val="left"/>
        <w:rPr>
          <w:rFonts w:ascii="Times New Roman" w:hAnsi="Times New Roman" w:eastAsiaTheme="minorEastAsia"/>
          <w:b w:val="0"/>
          <w:iCs/>
          <w:sz w:val="24"/>
        </w:rPr>
      </w:pPr>
      <w:bookmarkStart w:id="151" w:name="_Toc5220"/>
      <w:bookmarkStart w:id="152" w:name="_Toc566149951"/>
      <w:bookmarkStart w:id="153" w:name="_Toc13525"/>
      <w:bookmarkStart w:id="154" w:name="_Toc6734"/>
      <w:bookmarkStart w:id="155" w:name="_Toc184626257"/>
      <w:bookmarkStart w:id="156" w:name="_Toc22304"/>
      <w:bookmarkStart w:id="157" w:name="_Toc25027"/>
      <w:bookmarkStart w:id="158" w:name="_Toc436302214"/>
      <w:bookmarkStart w:id="159" w:name="_Toc4238"/>
      <w:bookmarkStart w:id="160" w:name="_Toc27959"/>
      <w:bookmarkStart w:id="161" w:name="_Toc1326"/>
      <w:bookmarkStart w:id="162" w:name="_Toc1575109657"/>
      <w:r>
        <w:rPr>
          <w:rFonts w:ascii="Times New Roman" w:hAnsi="Times New Roman" w:eastAsiaTheme="minorEastAsia"/>
          <w:b w:val="0"/>
          <w:iCs/>
          <w:sz w:val="24"/>
        </w:rPr>
        <w:t>7.1</w:t>
      </w:r>
      <w:r>
        <w:rPr>
          <w:rFonts w:hint="eastAsia" w:ascii="Times New Roman" w:hAnsi="Times New Roman" w:eastAsiaTheme="minorEastAsia"/>
          <w:b w:val="0"/>
          <w:iCs/>
          <w:sz w:val="24"/>
          <w:lang w:val="en-US" w:eastAsia="zh-CN"/>
        </w:rPr>
        <w:t xml:space="preserve"> </w:t>
      </w:r>
      <w:r>
        <w:rPr>
          <w:rFonts w:ascii="Times New Roman" w:hAnsi="Times New Roman" w:eastAsiaTheme="minorEastAsia"/>
          <w:b w:val="0"/>
          <w:iCs/>
          <w:sz w:val="24"/>
        </w:rPr>
        <w:t>质量示值误差</w:t>
      </w:r>
      <w:bookmarkEnd w:id="151"/>
      <w:bookmarkEnd w:id="152"/>
      <w:bookmarkEnd w:id="153"/>
      <w:bookmarkEnd w:id="154"/>
      <w:bookmarkEnd w:id="155"/>
      <w:bookmarkEnd w:id="156"/>
      <w:bookmarkEnd w:id="157"/>
      <w:bookmarkEnd w:id="158"/>
      <w:bookmarkEnd w:id="159"/>
      <w:bookmarkEnd w:id="160"/>
      <w:bookmarkEnd w:id="161"/>
      <w:bookmarkEnd w:id="162"/>
    </w:p>
    <w:p w14:paraId="7C8E4635">
      <w:pPr>
        <w:spacing w:line="500" w:lineRule="exact"/>
        <w:ind w:firstLine="480" w:firstLineChars="200"/>
        <w:rPr>
          <w:rFonts w:hint="eastAsia" w:eastAsiaTheme="minorEastAsia"/>
          <w:sz w:val="24"/>
        </w:rPr>
      </w:pPr>
      <w:r>
        <w:rPr>
          <w:rFonts w:eastAsiaTheme="minorEastAsia"/>
          <w:sz w:val="24"/>
        </w:rPr>
        <w:t>根据称重台（一般是天平）的最大称量，在称重台上逐渐地往上加载质量为50g、100g、200g、500g和1000g的砝码，然后逐渐地卸下载荷，分别记录加载时和卸载时的质量测量值即称重台的示值L，按照式</w:t>
      </w:r>
      <w:r>
        <w:rPr>
          <w:rFonts w:hint="eastAsia" w:eastAsiaTheme="minorEastAsia"/>
          <w:sz w:val="24"/>
        </w:rPr>
        <w:t>（1）</w:t>
      </w:r>
      <w:r>
        <w:rPr>
          <w:rFonts w:eastAsiaTheme="minorEastAsia"/>
          <w:sz w:val="24"/>
        </w:rPr>
        <w:t>计算不同载荷的示值误差。</w:t>
      </w:r>
    </w:p>
    <w:p w14:paraId="255D3646">
      <w:pPr>
        <w:spacing w:line="500" w:lineRule="exact"/>
        <w:ind w:firstLine="480" w:firstLineChars="0"/>
        <w:jc w:val="both"/>
        <w:rPr>
          <w:rFonts w:eastAsiaTheme="minorEastAsia"/>
          <w:sz w:val="24"/>
        </w:rPr>
      </w:pPr>
      <w:r>
        <w:rPr>
          <w:position w:val="-12"/>
        </w:rPr>
        <w:object>
          <v:shape id="_x0000_i1027" o:spt="75" type="#_x0000_t75" style="height:18.05pt;width:58.1pt;" o:ole="t" filled="f" o:preferrelative="t" stroked="f" coordsize="21600,21600">
            <v:path/>
            <v:fill on="f" focussize="0,0"/>
            <v:stroke on="f" joinstyle="miter"/>
            <v:imagedata r:id="rId16" o:title=""/>
            <o:lock v:ext="edit" aspectratio="t"/>
            <w10:wrap type="none"/>
            <w10:anchorlock/>
          </v:shape>
          <o:OLEObject Type="Embed" ProgID="Equation.DSMT4" ShapeID="_x0000_i1027" DrawAspect="Content" ObjectID="_1468075727" r:id="rId15">
            <o:LockedField>false</o:LockedField>
          </o:OLEObject>
        </w:object>
      </w:r>
      <w:r>
        <w:rPr>
          <w:rFonts w:hint="eastAsia" w:eastAsiaTheme="minorEastAsia"/>
        </w:rPr>
        <w:t xml:space="preserve">                           </w:t>
      </w:r>
      <w:r>
        <w:t xml:space="preserve">   </w:t>
      </w:r>
      <w:r>
        <w:rPr>
          <w:rFonts w:hint="eastAsia"/>
          <w:sz w:val="24"/>
        </w:rPr>
        <w:t>（</w:t>
      </w:r>
      <w:r>
        <w:rPr>
          <w:sz w:val="24"/>
        </w:rPr>
        <w:t>1</w:t>
      </w:r>
      <w:r>
        <w:rPr>
          <w:rFonts w:hint="eastAsia"/>
          <w:sz w:val="24"/>
        </w:rPr>
        <w:t>）</w:t>
      </w:r>
    </w:p>
    <w:p w14:paraId="330E8732">
      <w:pPr>
        <w:spacing w:line="500" w:lineRule="exact"/>
        <w:ind w:firstLine="480" w:firstLineChars="200"/>
        <w:rPr>
          <w:rFonts w:eastAsiaTheme="minorEastAsia"/>
          <w:sz w:val="24"/>
        </w:rPr>
      </w:pPr>
      <w:r>
        <w:rPr>
          <w:rFonts w:eastAsiaTheme="minorEastAsia"/>
          <w:sz w:val="24"/>
        </w:rPr>
        <w:t>式中</w:t>
      </w:r>
      <w:r>
        <w:rPr>
          <w:rFonts w:hint="eastAsia" w:eastAsiaTheme="minorEastAsia"/>
          <w:sz w:val="24"/>
        </w:rPr>
        <w:t>：</w:t>
      </w:r>
    </w:p>
    <w:p w14:paraId="5EA4A9F5">
      <w:pPr>
        <w:spacing w:line="500" w:lineRule="exact"/>
        <w:ind w:firstLine="420" w:firstLineChars="200"/>
        <w:rPr>
          <w:rFonts w:eastAsiaTheme="minorEastAsia"/>
          <w:sz w:val="24"/>
        </w:rPr>
      </w:pPr>
      <w:r>
        <w:rPr>
          <w:position w:val="-6"/>
        </w:rPr>
        <w:object>
          <v:shape id="_x0000_i1028" o:spt="75" type="#_x0000_t75" style="height:14pt;width:20.05pt;" o:ole="t" filled="f" o:preferrelative="t" stroked="f" coordsize="21600,21600">
            <v:path/>
            <v:fill on="f" focussize="0,0"/>
            <v:stroke on="f" joinstyle="miter"/>
            <v:imagedata r:id="rId12" o:title=""/>
            <o:lock v:ext="edit" aspectratio="t"/>
            <w10:wrap type="none"/>
            <w10:anchorlock/>
          </v:shape>
          <o:OLEObject Type="Embed" ProgID="Equation.DSMT4" ShapeID="_x0000_i1028" DrawAspect="Content" ObjectID="_1468075728" r:id="rId17">
            <o:LockedField>false</o:LockedField>
          </o:OLEObject>
        </w:object>
      </w:r>
      <w:r>
        <w:rPr>
          <w:rFonts w:eastAsia="方正姚体"/>
          <w:sz w:val="24"/>
        </w:rPr>
        <w:t>——</w:t>
      </w:r>
      <w:r>
        <w:rPr>
          <w:rFonts w:eastAsiaTheme="minorEastAsia"/>
          <w:b w:val="0"/>
          <w:iCs/>
          <w:sz w:val="24"/>
        </w:rPr>
        <w:t>质量</w:t>
      </w:r>
      <w:r>
        <w:rPr>
          <w:rFonts w:eastAsiaTheme="minorEastAsia"/>
          <w:sz w:val="24"/>
        </w:rPr>
        <w:t>示值误差，</w:t>
      </w:r>
      <w:r>
        <w:rPr>
          <w:rFonts w:hint="eastAsia" w:eastAsiaTheme="minorEastAsia"/>
          <w:sz w:val="24"/>
        </w:rPr>
        <w:t>g；</w:t>
      </w:r>
    </w:p>
    <w:p w14:paraId="418BDF81">
      <w:pPr>
        <w:spacing w:line="500" w:lineRule="exact"/>
        <w:ind w:firstLine="420" w:firstLineChars="200"/>
        <w:rPr>
          <w:rFonts w:eastAsiaTheme="minorEastAsia"/>
          <w:sz w:val="24"/>
        </w:rPr>
      </w:pPr>
      <w:r>
        <w:rPr>
          <w:position w:val="-6"/>
        </w:rPr>
        <w:object>
          <v:shape id="_x0000_i1029" o:spt="75" type="#_x0000_t75" style="height:11.05pt;width:13.05pt;" o:ole="t" filled="f" o:preferrelative="t" stroked="f" coordsize="21600,21600">
            <v:path/>
            <v:fill on="f" focussize="0,0"/>
            <v:stroke on="f" joinstyle="miter"/>
            <v:imagedata r:id="rId19" o:title=""/>
            <o:lock v:ext="edit" aspectratio="t"/>
            <w10:wrap type="none"/>
            <w10:anchorlock/>
          </v:shape>
          <o:OLEObject Type="Embed" ProgID="Equation.DSMT4" ShapeID="_x0000_i1029" DrawAspect="Content" ObjectID="_1468075729" r:id="rId18">
            <o:LockedField>false</o:LockedField>
          </o:OLEObject>
        </w:object>
      </w:r>
      <w:r>
        <w:rPr>
          <w:rFonts w:eastAsia="方正姚体"/>
          <w:sz w:val="24"/>
        </w:rPr>
        <w:t>——</w:t>
      </w:r>
      <w:r>
        <w:rPr>
          <w:rFonts w:eastAsiaTheme="minorEastAsia"/>
          <w:sz w:val="24"/>
        </w:rPr>
        <w:t>称重台的示值，</w:t>
      </w:r>
      <w:r>
        <w:rPr>
          <w:rFonts w:hint="eastAsia" w:eastAsiaTheme="minorEastAsia"/>
          <w:sz w:val="24"/>
        </w:rPr>
        <w:t>g；</w:t>
      </w:r>
    </w:p>
    <w:p w14:paraId="1FB12B96">
      <w:pPr>
        <w:spacing w:line="500" w:lineRule="exact"/>
        <w:ind w:firstLine="420" w:firstLineChars="200"/>
        <w:rPr>
          <w:rFonts w:eastAsiaTheme="minorEastAsia"/>
          <w:sz w:val="24"/>
        </w:rPr>
      </w:pPr>
      <w:r>
        <w:rPr>
          <w:position w:val="-12"/>
        </w:rPr>
        <w:object>
          <v:shape id="_x0000_i1030" o:spt="75" type="#_x0000_t75" style="height:18.05pt;width:15.05pt;" o:ole="t" filled="f" o:preferrelative="t" stroked="f" coordsize="21600,21600">
            <v:path/>
            <v:fill on="f" focussize="0,0"/>
            <v:stroke on="f" joinstyle="miter"/>
            <v:imagedata r:id="rId21" o:title=""/>
            <o:lock v:ext="edit" aspectratio="t"/>
            <w10:wrap type="none"/>
            <w10:anchorlock/>
          </v:shape>
          <o:OLEObject Type="Embed" ProgID="Equation.DSMT4" ShapeID="_x0000_i1030" DrawAspect="Content" ObjectID="_1468075730" r:id="rId20">
            <o:LockedField>false</o:LockedField>
          </o:OLEObject>
        </w:object>
      </w:r>
      <w:r>
        <w:rPr>
          <w:rFonts w:eastAsia="方正姚体"/>
          <w:sz w:val="24"/>
        </w:rPr>
        <w:t>——</w:t>
      </w:r>
      <w:r>
        <w:rPr>
          <w:rFonts w:eastAsiaTheme="minorEastAsia"/>
          <w:sz w:val="24"/>
        </w:rPr>
        <w:t>载荷质量值，</w:t>
      </w:r>
      <w:r>
        <w:rPr>
          <w:rFonts w:hint="eastAsia" w:eastAsiaTheme="minorEastAsia"/>
          <w:sz w:val="24"/>
        </w:rPr>
        <w:t>g。</w:t>
      </w:r>
    </w:p>
    <w:p w14:paraId="13B207C6">
      <w:pPr>
        <w:pStyle w:val="3"/>
        <w:snapToGrid w:val="0"/>
        <w:spacing w:before="156" w:beforeLines="50" w:after="0" w:line="500" w:lineRule="exact"/>
        <w:jc w:val="left"/>
        <w:rPr>
          <w:rFonts w:ascii="Times New Roman" w:hAnsi="Times New Roman" w:eastAsiaTheme="minorEastAsia"/>
          <w:b w:val="0"/>
          <w:iCs/>
          <w:sz w:val="24"/>
        </w:rPr>
      </w:pPr>
      <w:bookmarkStart w:id="163" w:name="_Toc789"/>
      <w:bookmarkStart w:id="164" w:name="_Toc3806"/>
      <w:bookmarkStart w:id="165" w:name="_Toc1462485497"/>
      <w:bookmarkStart w:id="166" w:name="_Toc14172"/>
      <w:bookmarkStart w:id="167" w:name="_Toc22230"/>
      <w:bookmarkStart w:id="168" w:name="_Toc1635898747"/>
      <w:bookmarkStart w:id="169" w:name="_Toc6289"/>
      <w:bookmarkStart w:id="170" w:name="_Toc184626258"/>
      <w:bookmarkStart w:id="171" w:name="_Toc2116"/>
      <w:bookmarkStart w:id="172" w:name="_Toc22848"/>
      <w:bookmarkStart w:id="173" w:name="_Toc1628683603"/>
      <w:r>
        <w:rPr>
          <w:rFonts w:ascii="Times New Roman" w:hAnsi="Times New Roman" w:eastAsiaTheme="minorEastAsia"/>
          <w:b w:val="0"/>
          <w:iCs/>
          <w:sz w:val="24"/>
        </w:rPr>
        <w:t>7.2</w:t>
      </w:r>
      <w:r>
        <w:rPr>
          <w:rFonts w:hint="eastAsia" w:ascii="Times New Roman" w:hAnsi="Times New Roman" w:eastAsiaTheme="minorEastAsia"/>
          <w:b w:val="0"/>
          <w:iCs/>
          <w:sz w:val="24"/>
          <w:lang w:val="en-US" w:eastAsia="zh-CN"/>
        </w:rPr>
        <w:t xml:space="preserve"> </w:t>
      </w:r>
      <w:r>
        <w:rPr>
          <w:rFonts w:ascii="Times New Roman" w:hAnsi="Times New Roman" w:eastAsiaTheme="minorEastAsia"/>
          <w:b w:val="0"/>
          <w:iCs/>
          <w:sz w:val="24"/>
        </w:rPr>
        <w:t>温度示值误差</w:t>
      </w:r>
      <w:bookmarkEnd w:id="163"/>
      <w:bookmarkEnd w:id="164"/>
      <w:bookmarkEnd w:id="165"/>
      <w:bookmarkEnd w:id="166"/>
      <w:bookmarkEnd w:id="167"/>
      <w:bookmarkEnd w:id="168"/>
      <w:bookmarkEnd w:id="169"/>
      <w:bookmarkEnd w:id="170"/>
      <w:bookmarkEnd w:id="171"/>
      <w:bookmarkEnd w:id="172"/>
      <w:bookmarkEnd w:id="173"/>
    </w:p>
    <w:p w14:paraId="24D9C1FF">
      <w:pPr>
        <w:numPr>
          <w:ilvl w:val="0"/>
          <w:numId w:val="0"/>
        </w:numPr>
        <w:tabs>
          <w:tab w:val="left" w:pos="851"/>
        </w:tabs>
        <w:snapToGrid w:val="0"/>
        <w:spacing w:line="500" w:lineRule="exact"/>
        <w:ind w:firstLine="0" w:firstLineChars="0"/>
        <w:rPr>
          <w:sz w:val="24"/>
        </w:rPr>
      </w:pPr>
      <w:r>
        <w:rPr>
          <w:rFonts w:hint="eastAsia"/>
          <w:sz w:val="24"/>
        </w:rPr>
        <w:t>7.2.1</w:t>
      </w:r>
      <w:r>
        <w:rPr>
          <w:rFonts w:hint="eastAsia"/>
          <w:sz w:val="24"/>
          <w:lang w:val="en-US" w:eastAsia="zh-CN"/>
        </w:rPr>
        <w:t xml:space="preserve"> </w:t>
      </w:r>
      <w:r>
        <w:rPr>
          <w:sz w:val="24"/>
        </w:rPr>
        <w:t>温度校准范围根据量热仪实际情况或者客户要求确定。将温度测量标准器置于反应釜内，尽量与被校反应量热温度传感器接近，但不接触。将去离子水倒入反应釜中，启动被校自动反应量热仪外部控温设备，开启</w:t>
      </w:r>
      <w:r>
        <w:rPr>
          <w:rFonts w:eastAsiaTheme="minorEastAsia"/>
          <w:sz w:val="24"/>
        </w:rPr>
        <w:t>搅拌，搅拌速度为（100r/min～500r/min），</w:t>
      </w:r>
      <w:r>
        <w:rPr>
          <w:sz w:val="24"/>
        </w:rPr>
        <w:t>并设定恒温50</w:t>
      </w:r>
      <w:r>
        <w:rPr>
          <w:rFonts w:hint="eastAsia" w:ascii="宋体" w:hAnsi="宋体" w:cs="宋体"/>
          <w:sz w:val="24"/>
        </w:rPr>
        <w:t>℃</w:t>
      </w:r>
      <w:r>
        <w:rPr>
          <w:sz w:val="24"/>
        </w:rPr>
        <w:t>控制，如图2所示。在系统处于温度稳定阶段10min后，读取5分钟内的温度标准器温度值和量热仪示值进行温度示值误差的校准，每隔一分钟读取一次，共计6次数据。</w:t>
      </w:r>
    </w:p>
    <w:p w14:paraId="734D389F">
      <w:pPr>
        <w:spacing w:line="360" w:lineRule="auto"/>
        <w:jc w:val="center"/>
        <w:rPr>
          <w:sz w:val="24"/>
        </w:rPr>
      </w:pPr>
      <w:r>
        <w:rPr>
          <w:sz w:val="24"/>
        </w:rPr>
        <w:drawing>
          <wp:inline distT="0" distB="0" distL="114300" distR="114300">
            <wp:extent cx="2069465" cy="2310130"/>
            <wp:effectExtent l="0" t="0" r="0" b="6350"/>
            <wp:docPr id="5" name="图片 5"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4"/>
                    <pic:cNvPicPr>
                      <a:picLocks noChangeAspect="1"/>
                    </pic:cNvPicPr>
                  </pic:nvPicPr>
                  <pic:blipFill>
                    <a:blip r:embed="rId22"/>
                    <a:stretch>
                      <a:fillRect/>
                    </a:stretch>
                  </pic:blipFill>
                  <pic:spPr>
                    <a:xfrm>
                      <a:off x="0" y="0"/>
                      <a:ext cx="2069465" cy="2310130"/>
                    </a:xfrm>
                    <a:prstGeom prst="rect">
                      <a:avLst/>
                    </a:prstGeom>
                  </pic:spPr>
                </pic:pic>
              </a:graphicData>
            </a:graphic>
          </wp:inline>
        </w:drawing>
      </w:r>
    </w:p>
    <w:p w14:paraId="063058C7">
      <w:pPr>
        <w:spacing w:line="360" w:lineRule="auto"/>
        <w:jc w:val="center"/>
        <w:rPr>
          <w:rFonts w:asciiTheme="minorEastAsia" w:hAnsiTheme="minorEastAsia" w:eastAsiaTheme="minorEastAsia"/>
          <w:szCs w:val="21"/>
        </w:rPr>
      </w:pPr>
      <w:r>
        <w:rPr>
          <w:rFonts w:eastAsiaTheme="minorEastAsia"/>
          <w:szCs w:val="21"/>
        </w:rPr>
        <w:t>图2</w:t>
      </w:r>
      <w:r>
        <w:rPr>
          <w:rFonts w:hint="eastAsia" w:eastAsiaTheme="minorEastAsia"/>
          <w:szCs w:val="21"/>
        </w:rPr>
        <w:t xml:space="preserve"> </w:t>
      </w:r>
      <w:r>
        <w:rPr>
          <w:rFonts w:asciiTheme="minorEastAsia" w:hAnsiTheme="minorEastAsia" w:eastAsiaTheme="minorEastAsia"/>
          <w:szCs w:val="21"/>
        </w:rPr>
        <w:t>温度传感器测温位置示意图</w:t>
      </w:r>
    </w:p>
    <w:p w14:paraId="0034E7F9">
      <w:pPr>
        <w:numPr>
          <w:ilvl w:val="0"/>
          <w:numId w:val="0"/>
        </w:numPr>
        <w:tabs>
          <w:tab w:val="left" w:pos="851"/>
        </w:tabs>
        <w:snapToGrid w:val="0"/>
        <w:spacing w:line="500" w:lineRule="exact"/>
        <w:ind w:firstLine="0" w:firstLineChars="0"/>
        <w:rPr>
          <w:sz w:val="24"/>
        </w:rPr>
      </w:pPr>
      <w:r>
        <w:rPr>
          <w:rFonts w:hint="eastAsia"/>
          <w:sz w:val="24"/>
        </w:rPr>
        <w:t>7.2.2</w:t>
      </w:r>
      <w:r>
        <w:rPr>
          <w:rFonts w:hint="eastAsia"/>
          <w:sz w:val="24"/>
          <w:lang w:val="en-US" w:eastAsia="zh-CN"/>
        </w:rPr>
        <w:t xml:space="preserve"> </w:t>
      </w:r>
      <w:r>
        <w:rPr>
          <w:sz w:val="24"/>
        </w:rPr>
        <w:t>计算5分钟内</w:t>
      </w:r>
      <w:r>
        <w:rPr>
          <w:rFonts w:hint="eastAsia"/>
          <w:sz w:val="24"/>
        </w:rPr>
        <w:t>自动</w:t>
      </w:r>
      <w:r>
        <w:rPr>
          <w:sz w:val="24"/>
        </w:rPr>
        <w:t>反应量热仪测得的温度值的算术平均值作为测量值</w:t>
      </w:r>
      <m:oMath>
        <m:acc>
          <m:accPr>
            <m:chr m:val="̅"/>
            <m:ctrlPr>
              <w:rPr>
                <w:rFonts w:ascii="Cambria Math" w:hAnsi="Cambria Math"/>
                <w:i/>
                <w:sz w:val="24"/>
              </w:rPr>
            </m:ctrlPr>
          </m:accPr>
          <m:e>
            <m:r>
              <m:rPr/>
              <w:rPr>
                <w:rFonts w:ascii="DejaVu Math TeX Gyre" w:hAnsi="DejaVu Math TeX Gyre"/>
                <w:sz w:val="24"/>
              </w:rPr>
              <m:t>T</m:t>
            </m:r>
            <m:ctrlPr>
              <w:rPr>
                <w:rFonts w:ascii="Cambria Math" w:hAnsi="Cambria Math"/>
                <w:i/>
                <w:sz w:val="24"/>
              </w:rPr>
            </m:ctrlPr>
          </m:e>
        </m:acc>
      </m:oMath>
      <w:r>
        <w:rPr>
          <w:sz w:val="24"/>
        </w:rPr>
        <w:t>，温度标准器的算术平均值作为标准值</w:t>
      </w:r>
      <w:r>
        <w:rPr>
          <w:position w:val="-12"/>
          <w:szCs w:val="21"/>
        </w:rPr>
        <w:object>
          <v:shape id="_x0000_i1031" o:spt="75" type="#_x0000_t75" style="height:20.1pt;width:13pt;" o:ole="t" filled="f" o:preferrelative="t" stroked="f" coordsize="21600,21600">
            <v:path/>
            <v:fill on="f" focussize="0,0"/>
            <v:stroke on="f" joinstyle="miter"/>
            <v:imagedata r:id="rId24" o:title=""/>
            <o:lock v:ext="edit" aspectratio="t"/>
            <w10:wrap type="none"/>
            <w10:anchorlock/>
          </v:shape>
          <o:OLEObject Type="Embed" ProgID="Equation.DSMT4" ShapeID="_x0000_i1031" DrawAspect="Content" ObjectID="_1468075731" r:id="rId23">
            <o:LockedField>false</o:LockedField>
          </o:OLEObject>
        </w:object>
      </w:r>
      <w:r>
        <w:rPr>
          <w:sz w:val="24"/>
        </w:rPr>
        <w:t>，按照公式（</w:t>
      </w:r>
      <w:r>
        <w:rPr>
          <w:rFonts w:hint="eastAsia"/>
          <w:sz w:val="24"/>
        </w:rPr>
        <w:t>2</w:t>
      </w:r>
      <w:r>
        <w:rPr>
          <w:sz w:val="24"/>
        </w:rPr>
        <w:t>）、（3）与（4）计算50℃温度点的温度示值误差。</w:t>
      </w:r>
    </w:p>
    <w:p w14:paraId="18377932">
      <w:pPr>
        <w:tabs>
          <w:tab w:val="left" w:pos="851"/>
        </w:tabs>
        <w:snapToGrid w:val="0"/>
        <w:spacing w:line="360" w:lineRule="auto"/>
        <w:jc w:val="center"/>
        <w:rPr>
          <w:sz w:val="24"/>
        </w:rPr>
      </w:pPr>
      <w:r>
        <w:rPr>
          <w:position w:val="-24"/>
          <w:szCs w:val="21"/>
        </w:rPr>
        <w:object>
          <v:shape id="_x0000_i1032" o:spt="75" type="#_x0000_t75" style="height:48.25pt;width:44.95pt;" o:ole="t" filled="f" o:preferrelative="t" stroked="f" coordsize="21600,21600">
            <v:path/>
            <v:fill on="f" focussize="0,0"/>
            <v:stroke on="f" joinstyle="miter"/>
            <v:imagedata r:id="rId26" o:title=""/>
            <o:lock v:ext="edit" aspectratio="t"/>
            <w10:wrap type="none"/>
            <w10:anchorlock/>
          </v:shape>
          <o:OLEObject Type="Embed" ProgID="Equation.DSMT4" ShapeID="_x0000_i1032" DrawAspect="Content" ObjectID="_1468075732" r:id="rId25">
            <o:LockedField>false</o:LockedField>
          </o:OLEObject>
        </w:object>
      </w:r>
      <w:r>
        <w:rPr>
          <w:szCs w:val="21"/>
        </w:rPr>
        <w:t xml:space="preserve">                     </w:t>
      </w:r>
      <w:r>
        <w:rPr>
          <w:sz w:val="24"/>
        </w:rPr>
        <w:t>（</w:t>
      </w:r>
      <w:r>
        <w:rPr>
          <w:rFonts w:hint="eastAsia"/>
          <w:sz w:val="24"/>
        </w:rPr>
        <w:t>2</w:t>
      </w:r>
      <w:r>
        <w:rPr>
          <w:sz w:val="24"/>
        </w:rPr>
        <w:t>）</w:t>
      </w:r>
    </w:p>
    <w:p w14:paraId="736A3DDE">
      <w:pPr>
        <w:tabs>
          <w:tab w:val="left" w:pos="851"/>
        </w:tabs>
        <w:snapToGrid w:val="0"/>
        <w:spacing w:line="360" w:lineRule="auto"/>
        <w:jc w:val="center"/>
        <w:rPr>
          <w:sz w:val="24"/>
        </w:rPr>
      </w:pPr>
      <w:r>
        <w:rPr>
          <w:position w:val="-24"/>
          <w:szCs w:val="21"/>
        </w:rPr>
        <w:object>
          <v:shape id="_x0000_i1033" o:spt="75" type="#_x0000_t75" style="height:48.25pt;width:49.9pt;" o:ole="t" filled="f" o:preferrelative="t" stroked="f" coordsize="21600,21600">
            <v:path/>
            <v:fill on="f" focussize="0,0"/>
            <v:stroke on="f" joinstyle="miter"/>
            <v:imagedata r:id="rId28" o:title=""/>
            <o:lock v:ext="edit" aspectratio="t"/>
            <w10:wrap type="none"/>
            <w10:anchorlock/>
          </v:shape>
          <o:OLEObject Type="Embed" ProgID="Equation.DSMT4" ShapeID="_x0000_i1033" DrawAspect="Content" ObjectID="_1468075733" r:id="rId27">
            <o:LockedField>false</o:LockedField>
          </o:OLEObject>
        </w:object>
      </w:r>
      <w:r>
        <w:rPr>
          <w:szCs w:val="21"/>
        </w:rPr>
        <w:t xml:space="preserve">                     </w:t>
      </w:r>
      <w:r>
        <w:rPr>
          <w:sz w:val="24"/>
        </w:rPr>
        <w:t>（</w:t>
      </w:r>
      <w:r>
        <w:rPr>
          <w:rFonts w:hint="eastAsia"/>
          <w:sz w:val="24"/>
        </w:rPr>
        <w:t>3</w:t>
      </w:r>
      <w:r>
        <w:rPr>
          <w:sz w:val="24"/>
        </w:rPr>
        <w:t>）</w:t>
      </w:r>
    </w:p>
    <w:p w14:paraId="5B6C9CC4">
      <w:pPr>
        <w:tabs>
          <w:tab w:val="left" w:pos="851"/>
        </w:tabs>
        <w:snapToGrid w:val="0"/>
        <w:spacing w:line="360" w:lineRule="auto"/>
        <w:jc w:val="center"/>
        <w:rPr>
          <w:sz w:val="24"/>
        </w:rPr>
      </w:pPr>
      <w:r>
        <w:rPr>
          <w:position w:val="-12"/>
          <w:szCs w:val="21"/>
        </w:rPr>
        <w:object>
          <v:shape id="_x0000_i1034" o:spt="75" type="#_x0000_t75" style="height:20.1pt;width:52.95pt;" o:ole="t" filled="f" o:preferrelative="t" stroked="f" coordsize="21600,21600">
            <v:path/>
            <v:fill on="f" focussize="0,0"/>
            <v:stroke on="f" joinstyle="miter"/>
            <v:imagedata r:id="rId30" o:title=""/>
            <o:lock v:ext="edit" aspectratio="t"/>
            <w10:wrap type="none"/>
            <w10:anchorlock/>
          </v:shape>
          <o:OLEObject Type="Embed" ProgID="Equation.DSMT4" ShapeID="_x0000_i1034" DrawAspect="Content" ObjectID="_1468075734" r:id="rId29">
            <o:LockedField>false</o:LockedField>
          </o:OLEObject>
        </w:object>
      </w:r>
      <w:r>
        <w:rPr>
          <w:szCs w:val="21"/>
        </w:rPr>
        <w:t xml:space="preserve">                     </w:t>
      </w:r>
      <w:r>
        <w:rPr>
          <w:sz w:val="24"/>
        </w:rPr>
        <w:t>（</w:t>
      </w:r>
      <w:r>
        <w:rPr>
          <w:rFonts w:hint="eastAsia"/>
          <w:sz w:val="24"/>
        </w:rPr>
        <w:t>4</w:t>
      </w:r>
      <w:r>
        <w:rPr>
          <w:sz w:val="24"/>
        </w:rPr>
        <w:t>）</w:t>
      </w:r>
    </w:p>
    <w:p w14:paraId="4DBCD062">
      <w:pPr>
        <w:tabs>
          <w:tab w:val="left" w:pos="851"/>
        </w:tabs>
        <w:snapToGrid w:val="0"/>
        <w:spacing w:line="500" w:lineRule="exact"/>
        <w:ind w:firstLine="480" w:firstLineChars="200"/>
        <w:rPr>
          <w:sz w:val="24"/>
        </w:rPr>
      </w:pPr>
      <w:r>
        <w:rPr>
          <w:sz w:val="24"/>
        </w:rPr>
        <w:t>式中：</w:t>
      </w:r>
    </w:p>
    <w:p w14:paraId="28B08C23">
      <w:pPr>
        <w:tabs>
          <w:tab w:val="left" w:pos="851"/>
        </w:tabs>
        <w:snapToGrid w:val="0"/>
        <w:spacing w:line="500" w:lineRule="exact"/>
        <w:ind w:firstLine="480" w:firstLineChars="200"/>
        <w:rPr>
          <w:sz w:val="24"/>
        </w:rPr>
      </w:pPr>
      <w:r>
        <w:rPr>
          <w:i/>
          <w:sz w:val="24"/>
        </w:rPr>
        <w:t>n</w:t>
      </w:r>
      <w:r>
        <w:rPr>
          <w:rFonts w:eastAsia="方正姚体"/>
          <w:sz w:val="24"/>
        </w:rPr>
        <w:t>——</w:t>
      </w:r>
      <w:r>
        <w:rPr>
          <w:sz w:val="24"/>
        </w:rPr>
        <w:t>测量点数，本文采纳值为6；</w:t>
      </w:r>
    </w:p>
    <w:p w14:paraId="7BE667B7">
      <w:pPr>
        <w:spacing w:line="500" w:lineRule="exact"/>
        <w:ind w:firstLine="480" w:firstLineChars="200"/>
        <w:rPr>
          <w:sz w:val="24"/>
        </w:rPr>
      </w:pPr>
      <m:oMath>
        <m:acc>
          <m:accPr>
            <m:chr m:val="̅"/>
            <m:ctrlPr>
              <w:rPr>
                <w:rFonts w:ascii="Cambria Math" w:hAnsi="Cambria Math"/>
                <w:i/>
                <w:sz w:val="24"/>
              </w:rPr>
            </m:ctrlPr>
          </m:accPr>
          <m:e>
            <m:r>
              <m:rPr/>
              <w:rPr>
                <w:rFonts w:ascii="DejaVu Math TeX Gyre" w:hAnsi="DejaVu Math TeX Gyre"/>
                <w:sz w:val="24"/>
              </w:rPr>
              <m:t>T</m:t>
            </m:r>
            <m:ctrlPr>
              <w:rPr>
                <w:rFonts w:ascii="Cambria Math" w:hAnsi="Cambria Math"/>
                <w:i/>
                <w:sz w:val="24"/>
              </w:rPr>
            </m:ctrlPr>
          </m:e>
        </m:acc>
      </m:oMath>
      <w:r>
        <w:rPr>
          <w:rFonts w:eastAsia="方正姚体"/>
          <w:sz w:val="24"/>
        </w:rPr>
        <w:t>——</w:t>
      </w:r>
      <w:r>
        <w:rPr>
          <w:sz w:val="24"/>
        </w:rPr>
        <w:t>反应量热仪温度平均值，℃；</w:t>
      </w:r>
    </w:p>
    <w:p w14:paraId="26ECCF98">
      <w:pPr>
        <w:tabs>
          <w:tab w:val="left" w:pos="851"/>
        </w:tabs>
        <w:snapToGrid w:val="0"/>
        <w:spacing w:line="500" w:lineRule="exact"/>
        <w:ind w:firstLine="420" w:firstLineChars="200"/>
        <w:rPr>
          <w:sz w:val="24"/>
        </w:rPr>
      </w:pPr>
      <w:r>
        <w:rPr>
          <w:position w:val="-12"/>
          <w:szCs w:val="21"/>
        </w:rPr>
        <w:object>
          <v:shape id="_x0000_i1035" o:spt="75" type="#_x0000_t75" style="height:18.1pt;width:11pt;" o:ole="t" filled="f" o:preferrelative="t" stroked="f" coordsize="21600,21600">
            <v:path/>
            <v:fill on="f" focussize="0,0"/>
            <v:stroke on="f" joinstyle="miter"/>
            <v:imagedata r:id="rId32" o:title=""/>
            <o:lock v:ext="edit" aspectratio="t"/>
            <w10:wrap type="none"/>
            <w10:anchorlock/>
          </v:shape>
          <o:OLEObject Type="Embed" ProgID="Equation.DSMT4" ShapeID="_x0000_i1035" DrawAspect="Content" ObjectID="_1468075735" r:id="rId31">
            <o:LockedField>false</o:LockedField>
          </o:OLEObject>
        </w:object>
      </w:r>
      <w:r>
        <w:rPr>
          <w:rFonts w:eastAsia="方正姚体"/>
          <w:sz w:val="24"/>
        </w:rPr>
        <w:t>——</w:t>
      </w:r>
      <w:r>
        <w:rPr>
          <w:sz w:val="24"/>
        </w:rPr>
        <w:t>反应量热仪第</w:t>
      </w:r>
      <w:r>
        <w:rPr>
          <w:i/>
          <w:iCs/>
          <w:sz w:val="24"/>
        </w:rPr>
        <w:t>i</w:t>
      </w:r>
      <w:r>
        <w:rPr>
          <w:sz w:val="24"/>
        </w:rPr>
        <w:t>次测量时示值，℃；</w:t>
      </w:r>
    </w:p>
    <w:p w14:paraId="40E8E26B">
      <w:pPr>
        <w:tabs>
          <w:tab w:val="left" w:pos="851"/>
        </w:tabs>
        <w:snapToGrid w:val="0"/>
        <w:spacing w:line="500" w:lineRule="exact"/>
        <w:ind w:firstLine="420" w:firstLineChars="200"/>
        <w:rPr>
          <w:sz w:val="24"/>
        </w:rPr>
      </w:pPr>
      <w:r>
        <w:rPr>
          <w:position w:val="-12"/>
          <w:szCs w:val="21"/>
        </w:rPr>
        <w:object>
          <v:shape id="_x0000_i1036" o:spt="75" type="#_x0000_t75" style="height:20.1pt;width:13pt;" o:ole="t" filled="f" o:preferrelative="t" stroked="f" coordsize="21600,21600">
            <v:path/>
            <v:fill on="f" focussize="0,0"/>
            <v:stroke on="f" joinstyle="miter"/>
            <v:imagedata r:id="rId24" o:title=""/>
            <o:lock v:ext="edit" aspectratio="t"/>
            <w10:wrap type="none"/>
            <w10:anchorlock/>
          </v:shape>
          <o:OLEObject Type="Embed" ProgID="Equation.DSMT4" ShapeID="_x0000_i1036" DrawAspect="Content" ObjectID="_1468075736" r:id="rId33">
            <o:LockedField>false</o:LockedField>
          </o:OLEObject>
        </w:object>
      </w:r>
      <w:r>
        <w:rPr>
          <w:rFonts w:eastAsia="方正姚体"/>
          <w:sz w:val="24"/>
        </w:rPr>
        <w:t>——</w:t>
      </w:r>
      <w:r>
        <w:rPr>
          <w:sz w:val="24"/>
        </w:rPr>
        <w:t>温度标准器温度平均值，℃；</w:t>
      </w:r>
    </w:p>
    <w:p w14:paraId="0BCBB001">
      <w:pPr>
        <w:tabs>
          <w:tab w:val="left" w:pos="851"/>
        </w:tabs>
        <w:snapToGrid w:val="0"/>
        <w:spacing w:line="500" w:lineRule="exact"/>
        <w:ind w:firstLine="420" w:firstLineChars="200"/>
        <w:rPr>
          <w:sz w:val="24"/>
        </w:rPr>
      </w:pPr>
      <w:r>
        <w:rPr>
          <w:position w:val="-12"/>
          <w:szCs w:val="21"/>
        </w:rPr>
        <w:object>
          <v:shape id="_x0000_i1037" o:spt="75" type="#_x0000_t75" style="height:18.1pt;width:13.95pt;" o:ole="t" filled="f" o:preferrelative="t" stroked="f" coordsize="21600,21600">
            <v:path/>
            <v:fill on="f" focussize="0,0"/>
            <v:stroke on="f" joinstyle="miter"/>
            <v:imagedata r:id="rId35" o:title=""/>
            <o:lock v:ext="edit" aspectratio="t"/>
            <w10:wrap type="none"/>
            <w10:anchorlock/>
          </v:shape>
          <o:OLEObject Type="Embed" ProgID="Equation.DSMT4" ShapeID="_x0000_i1037" DrawAspect="Content" ObjectID="_1468075737" r:id="rId34">
            <o:LockedField>false</o:LockedField>
          </o:OLEObject>
        </w:object>
      </w:r>
      <w:r>
        <w:rPr>
          <w:rFonts w:eastAsia="方正姚体"/>
          <w:sz w:val="24"/>
        </w:rPr>
        <w:t>——</w:t>
      </w:r>
      <w:r>
        <w:rPr>
          <w:sz w:val="24"/>
        </w:rPr>
        <w:t>温度标准器第</w:t>
      </w:r>
      <w:r>
        <w:rPr>
          <w:i/>
          <w:iCs/>
          <w:sz w:val="24"/>
        </w:rPr>
        <w:t>i</w:t>
      </w:r>
      <w:r>
        <w:rPr>
          <w:sz w:val="24"/>
        </w:rPr>
        <w:t>次测量时示值，℃；</w:t>
      </w:r>
    </w:p>
    <w:p w14:paraId="0B385F44">
      <w:pPr>
        <w:tabs>
          <w:tab w:val="left" w:pos="851"/>
        </w:tabs>
        <w:snapToGrid w:val="0"/>
        <w:spacing w:line="500" w:lineRule="exact"/>
        <w:ind w:firstLine="420" w:firstLineChars="200"/>
        <w:rPr>
          <w:sz w:val="24"/>
        </w:rPr>
      </w:pPr>
      <w:r>
        <w:rPr>
          <w:position w:val="-4"/>
          <w:szCs w:val="21"/>
        </w:rPr>
        <w:object>
          <v:shape id="_x0000_i1038" o:spt="75" type="#_x0000_t75" style="height:13.05pt;width:19pt;" o:ole="t" filled="f" o:preferrelative="t" stroked="f" coordsize="21600,21600">
            <v:path/>
            <v:fill on="f" focussize="0,0"/>
            <v:stroke on="f" joinstyle="miter"/>
            <v:imagedata r:id="rId37" o:title=""/>
            <o:lock v:ext="edit" aspectratio="t"/>
            <w10:wrap type="none"/>
            <w10:anchorlock/>
          </v:shape>
          <o:OLEObject Type="Embed" ProgID="Equation.DSMT4" ShapeID="_x0000_i1038" DrawAspect="Content" ObjectID="_1468075738" r:id="rId36">
            <o:LockedField>false</o:LockedField>
          </o:OLEObject>
        </w:object>
      </w:r>
      <w:r>
        <w:rPr>
          <w:rFonts w:eastAsia="方正姚体"/>
          <w:sz w:val="24"/>
        </w:rPr>
        <w:t>——</w:t>
      </w:r>
      <w:r>
        <w:rPr>
          <w:sz w:val="24"/>
        </w:rPr>
        <w:t>温度示值误差，℃。</w:t>
      </w:r>
    </w:p>
    <w:p w14:paraId="5684265B">
      <w:pPr>
        <w:numPr>
          <w:ilvl w:val="0"/>
          <w:numId w:val="0"/>
        </w:numPr>
        <w:tabs>
          <w:tab w:val="left" w:pos="851"/>
        </w:tabs>
        <w:snapToGrid w:val="0"/>
        <w:spacing w:line="500" w:lineRule="exact"/>
        <w:ind w:firstLine="0" w:firstLineChars="0"/>
        <w:rPr>
          <w:sz w:val="24"/>
        </w:rPr>
      </w:pPr>
      <w:r>
        <w:rPr>
          <w:rFonts w:hint="eastAsia" w:eastAsiaTheme="minorEastAsia"/>
          <w:sz w:val="24"/>
        </w:rPr>
        <w:t>7.2.3</w:t>
      </w:r>
      <w:r>
        <w:rPr>
          <w:rFonts w:hint="eastAsia" w:eastAsiaTheme="minorEastAsia"/>
          <w:sz w:val="24"/>
          <w:lang w:val="en-US" w:eastAsia="zh-CN"/>
        </w:rPr>
        <w:t xml:space="preserve"> </w:t>
      </w:r>
      <w:r>
        <w:rPr>
          <w:rFonts w:eastAsiaTheme="minorEastAsia"/>
          <w:sz w:val="24"/>
        </w:rPr>
        <w:t>在100℃和150℃时采用二丙二醇作为介质进行试验，</w:t>
      </w:r>
      <w:r>
        <w:rPr>
          <w:sz w:val="24"/>
        </w:rPr>
        <w:t>将外部控温设备分别设定为10</w:t>
      </w:r>
      <w:r>
        <w:rPr>
          <w:bCs/>
          <w:sz w:val="24"/>
        </w:rPr>
        <w:t>0℃和1</w:t>
      </w:r>
      <w:r>
        <w:rPr>
          <w:sz w:val="24"/>
        </w:rPr>
        <w:t>50</w:t>
      </w:r>
      <w:r>
        <w:rPr>
          <w:bCs/>
          <w:sz w:val="24"/>
        </w:rPr>
        <w:t>℃，</w:t>
      </w:r>
      <w:r>
        <w:rPr>
          <w:sz w:val="24"/>
        </w:rPr>
        <w:t>重复步骤</w:t>
      </w:r>
      <w:r>
        <w:rPr>
          <w:rFonts w:hint="eastAsia"/>
          <w:sz w:val="24"/>
        </w:rPr>
        <w:t>7.2.1</w:t>
      </w:r>
      <w:r>
        <w:rPr>
          <w:rFonts w:eastAsiaTheme="minorEastAsia"/>
          <w:sz w:val="24"/>
        </w:rPr>
        <w:t>～</w:t>
      </w:r>
      <w:r>
        <w:rPr>
          <w:rFonts w:hint="eastAsia" w:eastAsiaTheme="minorEastAsia"/>
          <w:sz w:val="24"/>
        </w:rPr>
        <w:t>7.2.2</w:t>
      </w:r>
      <w:r>
        <w:rPr>
          <w:sz w:val="24"/>
        </w:rPr>
        <w:t>。</w:t>
      </w:r>
    </w:p>
    <w:p w14:paraId="7C00CBE2">
      <w:pPr>
        <w:pStyle w:val="3"/>
        <w:snapToGrid w:val="0"/>
        <w:spacing w:before="156" w:beforeLines="50" w:after="0" w:line="500" w:lineRule="exact"/>
        <w:jc w:val="left"/>
        <w:rPr>
          <w:rFonts w:ascii="Times New Roman" w:hAnsi="Times New Roman"/>
          <w:b w:val="0"/>
          <w:iCs/>
          <w:sz w:val="24"/>
        </w:rPr>
      </w:pPr>
      <w:bookmarkStart w:id="174" w:name="_Toc30323"/>
      <w:bookmarkStart w:id="175" w:name="_Toc561833247"/>
      <w:bookmarkStart w:id="176" w:name="_Toc28348"/>
      <w:bookmarkStart w:id="177" w:name="_Toc1628005060"/>
      <w:bookmarkStart w:id="178" w:name="_Toc9056"/>
      <w:bookmarkStart w:id="179" w:name="_Toc22847"/>
      <w:bookmarkStart w:id="180" w:name="_Toc3632"/>
      <w:bookmarkStart w:id="181" w:name="_Toc184626259"/>
      <w:bookmarkStart w:id="182" w:name="_Toc26980"/>
      <w:bookmarkStart w:id="183" w:name="_Toc3935"/>
      <w:bookmarkStart w:id="184" w:name="_Toc324349313"/>
      <w:r>
        <w:rPr>
          <w:rFonts w:ascii="Times New Roman" w:hAnsi="Times New Roman"/>
          <w:b w:val="0"/>
          <w:iCs/>
          <w:sz w:val="24"/>
        </w:rPr>
        <w:t>7.3</w:t>
      </w:r>
      <w:r>
        <w:rPr>
          <w:rFonts w:hint="eastAsia" w:ascii="Times New Roman" w:hAnsi="Times New Roman"/>
          <w:b w:val="0"/>
          <w:iCs/>
          <w:sz w:val="24"/>
          <w:lang w:val="en-US" w:eastAsia="zh-CN"/>
        </w:rPr>
        <w:t xml:space="preserve"> </w:t>
      </w:r>
      <w:r>
        <w:rPr>
          <w:rFonts w:ascii="Times New Roman" w:hAnsi="Times New Roman"/>
          <w:b w:val="0"/>
          <w:iCs/>
          <w:sz w:val="24"/>
        </w:rPr>
        <w:t>反应热相对误差</w:t>
      </w:r>
      <w:bookmarkEnd w:id="174"/>
      <w:bookmarkEnd w:id="175"/>
      <w:bookmarkEnd w:id="176"/>
      <w:bookmarkEnd w:id="177"/>
      <w:bookmarkEnd w:id="178"/>
      <w:bookmarkEnd w:id="179"/>
      <w:bookmarkEnd w:id="180"/>
      <w:bookmarkEnd w:id="181"/>
      <w:bookmarkEnd w:id="182"/>
      <w:bookmarkEnd w:id="183"/>
      <w:bookmarkEnd w:id="184"/>
    </w:p>
    <w:p w14:paraId="51F95FE0">
      <w:pPr>
        <w:spacing w:line="500" w:lineRule="exact"/>
        <w:ind w:firstLine="0" w:firstLineChars="0"/>
        <w:rPr>
          <w:rFonts w:eastAsiaTheme="minorEastAsia"/>
          <w:sz w:val="24"/>
        </w:rPr>
      </w:pPr>
      <w:r>
        <w:rPr>
          <w:rFonts w:hint="eastAsia" w:eastAsiaTheme="minorEastAsia"/>
          <w:sz w:val="24"/>
        </w:rPr>
        <w:t>7.3.1</w:t>
      </w:r>
      <w:r>
        <w:rPr>
          <w:rFonts w:eastAsiaTheme="minorEastAsia"/>
          <w:sz w:val="24"/>
        </w:rPr>
        <w:t xml:space="preserve"> 按图3连接自动反应量热仪加热器与标准直流电源。加热器连接标准直流电源电流端和电压端。</w:t>
      </w:r>
    </w:p>
    <w:p w14:paraId="63FC3342">
      <w:pPr>
        <w:spacing w:line="360" w:lineRule="auto"/>
        <w:ind w:firstLine="0" w:firstLineChars="0"/>
        <w:jc w:val="center"/>
        <w:rPr>
          <w:rFonts w:eastAsia="仿宋_GB2312"/>
          <w:szCs w:val="28"/>
        </w:rPr>
      </w:pPr>
      <w:r>
        <w:rPr>
          <w:rFonts w:eastAsia="仿宋_GB2312"/>
          <w:szCs w:val="28"/>
        </w:rPr>
        <w:drawing>
          <wp:inline distT="0" distB="0" distL="0" distR="0">
            <wp:extent cx="3307080" cy="1937385"/>
            <wp:effectExtent l="0" t="0" r="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3329981" cy="1950668"/>
                    </a:xfrm>
                    <a:prstGeom prst="rect">
                      <a:avLst/>
                    </a:prstGeom>
                    <a:noFill/>
                    <a:ln>
                      <a:noFill/>
                    </a:ln>
                  </pic:spPr>
                </pic:pic>
              </a:graphicData>
            </a:graphic>
          </wp:inline>
        </w:drawing>
      </w:r>
    </w:p>
    <w:p w14:paraId="43C2C595">
      <w:pPr>
        <w:spacing w:line="360" w:lineRule="auto"/>
        <w:ind w:firstLine="0" w:firstLineChars="0"/>
        <w:jc w:val="center"/>
        <w:rPr>
          <w:rFonts w:eastAsia="宋体"/>
          <w:szCs w:val="21"/>
        </w:rPr>
      </w:pPr>
      <w:r>
        <w:rPr>
          <w:rFonts w:eastAsia="宋体"/>
          <w:szCs w:val="21"/>
        </w:rPr>
        <w:t>图3</w:t>
      </w:r>
      <w:r>
        <w:rPr>
          <w:rFonts w:hint="eastAsia"/>
          <w:szCs w:val="21"/>
        </w:rPr>
        <w:t xml:space="preserve"> </w:t>
      </w:r>
      <w:r>
        <w:rPr>
          <w:rFonts w:eastAsia="宋体"/>
          <w:szCs w:val="21"/>
        </w:rPr>
        <w:t>标准直流电源用于反应热校准示意图</w:t>
      </w:r>
    </w:p>
    <w:p w14:paraId="6BC3D9B2">
      <w:pPr>
        <w:spacing w:line="500" w:lineRule="exact"/>
        <w:ind w:firstLine="480" w:firstLineChars="200"/>
        <w:rPr>
          <w:rFonts w:eastAsiaTheme="minorEastAsia"/>
          <w:sz w:val="24"/>
        </w:rPr>
      </w:pPr>
      <w:r>
        <w:rPr>
          <w:rFonts w:eastAsiaTheme="minorEastAsia"/>
          <w:sz w:val="24"/>
        </w:rPr>
        <w:t>向反应釜中加入适量去离子水，水位线尽量较多超过温度传感器，并启动被校自动反应量热仪，设定样品控制温度为50℃，设定搅拌转速为（100r/min～500r/min）。转速可根据实际情况设置。当反应釜内去离子水温度稳定后，设定标准直流电源为恒功率输出模式</w:t>
      </w:r>
      <w:r>
        <w:rPr>
          <w:rFonts w:hint="eastAsia" w:eastAsiaTheme="minorEastAsia"/>
          <w:sz w:val="24"/>
        </w:rPr>
        <w:t>。</w:t>
      </w:r>
      <w:r>
        <w:rPr>
          <w:rFonts w:eastAsiaTheme="minorEastAsia"/>
          <w:sz w:val="24"/>
        </w:rPr>
        <w:t>根据加热器的阻值，设定合适的输出电压与电流值，标准直流电源开始恒功率输出，10min后，停止标准直流电源输出</w:t>
      </w:r>
      <w:r>
        <w:rPr>
          <w:rFonts w:hint="eastAsia" w:eastAsiaTheme="minorEastAsia"/>
          <w:sz w:val="24"/>
        </w:rPr>
        <w:t>。</w:t>
      </w:r>
    </w:p>
    <w:p w14:paraId="70D8415E">
      <w:pPr>
        <w:spacing w:line="500" w:lineRule="exact"/>
        <w:ind w:firstLine="0" w:firstLineChars="0"/>
        <w:rPr>
          <w:rFonts w:eastAsiaTheme="minorEastAsia"/>
          <w:sz w:val="24"/>
        </w:rPr>
      </w:pPr>
      <w:r>
        <w:rPr>
          <w:rFonts w:hint="eastAsia" w:eastAsiaTheme="minorEastAsia"/>
          <w:sz w:val="24"/>
        </w:rPr>
        <w:t>7.3.2</w:t>
      </w:r>
      <w:r>
        <w:rPr>
          <w:rFonts w:hint="eastAsia" w:eastAsiaTheme="minorEastAsia"/>
          <w:sz w:val="24"/>
          <w:lang w:val="en-US" w:eastAsia="zh-CN"/>
        </w:rPr>
        <w:t xml:space="preserve"> </w:t>
      </w:r>
      <w:r>
        <w:rPr>
          <w:rFonts w:eastAsiaTheme="minorEastAsia"/>
          <w:sz w:val="24"/>
        </w:rPr>
        <w:t>由同步记录的电压电流值及时间，按照公式（</w:t>
      </w:r>
      <w:r>
        <w:rPr>
          <w:rFonts w:hint="eastAsia" w:eastAsiaTheme="minorEastAsia"/>
          <w:sz w:val="24"/>
        </w:rPr>
        <w:t>5</w:t>
      </w:r>
      <w:r>
        <w:rPr>
          <w:rFonts w:eastAsiaTheme="minorEastAsia"/>
          <w:sz w:val="24"/>
        </w:rPr>
        <w:t>）计算</w:t>
      </w:r>
      <w:r>
        <w:rPr>
          <w:sz w:val="24"/>
        </w:rPr>
        <w:t>标准直流电源输出热</w:t>
      </w:r>
      <w:r>
        <w:rPr>
          <w:position w:val="-12"/>
        </w:rPr>
        <w:object>
          <v:shape id="_x0000_i1039" o:spt="75" type="#_x0000_t75" style="height:18pt;width:15pt;" o:ole="t" filled="f" o:preferrelative="t" stroked="f" coordsize="21600,21600">
            <v:path/>
            <v:fill on="f" focussize="0,0"/>
            <v:stroke on="f" joinstyle="miter"/>
            <v:imagedata r:id="rId40" o:title=""/>
            <o:lock v:ext="edit" aspectratio="t"/>
            <w10:wrap type="none"/>
            <w10:anchorlock/>
          </v:shape>
          <o:OLEObject Type="Embed" ProgID="Equation.DSMT4" ShapeID="_x0000_i1039" DrawAspect="Content" ObjectID="_1468075739" r:id="rId39">
            <o:LockedField>false</o:LockedField>
          </o:OLEObject>
        </w:object>
      </w:r>
      <w:r>
        <w:rPr>
          <w:rFonts w:hint="eastAsia" w:eastAsiaTheme="minorEastAsia"/>
          <w:sz w:val="24"/>
        </w:rPr>
        <w:t>。</w:t>
      </w:r>
      <w:r>
        <w:rPr>
          <w:rFonts w:eastAsiaTheme="minorEastAsia"/>
          <w:sz w:val="24"/>
        </w:rPr>
        <w:t>而由自动反应量热仪仪器配套软件可直接</w:t>
      </w:r>
      <w:r>
        <w:rPr>
          <w:rFonts w:hint="eastAsia" w:eastAsiaTheme="minorEastAsia"/>
          <w:sz w:val="24"/>
        </w:rPr>
        <w:t>读出</w:t>
      </w:r>
      <w:r>
        <w:rPr>
          <w:rFonts w:eastAsiaTheme="minorEastAsia"/>
          <w:sz w:val="24"/>
        </w:rPr>
        <w:t>反应热示值</w:t>
      </w:r>
      <w:r>
        <w:rPr>
          <w:position w:val="-12"/>
        </w:rPr>
        <w:object>
          <v:shape id="_x0000_i1040" o:spt="75" type="#_x0000_t75" style="height:18pt;width:17pt;" o:ole="t" filled="f" o:preferrelative="t" stroked="f" coordsize="21600,21600">
            <v:path/>
            <v:fill on="f" focussize="0,0"/>
            <v:stroke on="f" joinstyle="miter"/>
            <v:imagedata r:id="rId42" o:title=""/>
            <o:lock v:ext="edit" aspectratio="t"/>
            <w10:wrap type="none"/>
            <w10:anchorlock/>
          </v:shape>
          <o:OLEObject Type="Embed" ProgID="Equation.DSMT4" ShapeID="_x0000_i1040" DrawAspect="Content" ObjectID="_1468075740" r:id="rId41">
            <o:LockedField>false</o:LockedField>
          </o:OLEObject>
        </w:object>
      </w:r>
      <w:r>
        <w:rPr>
          <w:rFonts w:eastAsiaTheme="minorEastAsia"/>
          <w:sz w:val="24"/>
        </w:rPr>
        <w:t>。按照公式（</w:t>
      </w:r>
      <w:r>
        <w:rPr>
          <w:rFonts w:hint="eastAsia" w:eastAsiaTheme="minorEastAsia"/>
          <w:sz w:val="24"/>
        </w:rPr>
        <w:t>6</w:t>
      </w:r>
      <w:r>
        <w:rPr>
          <w:rFonts w:eastAsiaTheme="minorEastAsia"/>
          <w:sz w:val="24"/>
        </w:rPr>
        <w:t>）计算反应热相对误差。</w:t>
      </w:r>
    </w:p>
    <w:p w14:paraId="370A20AF">
      <w:pPr>
        <w:spacing w:line="360" w:lineRule="auto"/>
        <w:jc w:val="center"/>
      </w:pPr>
    </w:p>
    <w:p w14:paraId="493C3F21">
      <w:pPr>
        <w:pStyle w:val="32"/>
        <w:jc w:val="center"/>
        <w:rPr>
          <w:rFonts w:hint="eastAsia" w:ascii="Times New Roman" w:hAnsi="Times New Roman"/>
          <w:position w:val="-30"/>
        </w:rPr>
      </w:pPr>
      <w:r>
        <w:rPr>
          <w:rFonts w:hint="eastAsia"/>
          <w:position w:val="-12"/>
          <w:lang w:val="en-US" w:eastAsia="zh-CN"/>
        </w:rPr>
        <w:t xml:space="preserve">  </w:t>
      </w:r>
      <w:r>
        <w:rPr>
          <w:position w:val="-12"/>
        </w:rPr>
        <w:object>
          <v:shape id="_x0000_i1041" o:spt="75" type="#_x0000_t75" style="height:18pt;width:42.95pt;" o:ole="t" filled="f" o:preferrelative="t" stroked="f" coordsize="21600,21600">
            <v:path/>
            <v:fill on="f" focussize="0,0"/>
            <v:stroke on="f" joinstyle="miter"/>
            <v:imagedata r:id="rId44" o:title=""/>
            <o:lock v:ext="edit" aspectratio="t"/>
            <w10:wrap type="none"/>
            <w10:anchorlock/>
          </v:shape>
          <o:OLEObject Type="Embed" ProgID="Equation.DSMT4" ShapeID="_x0000_i1041" DrawAspect="Content" ObjectID="_1468075741" r:id="rId43">
            <o:LockedField>false</o:LockedField>
          </o:OLEObject>
        </w:object>
      </w:r>
      <w:r>
        <w:rPr>
          <w:rFonts w:ascii="Times New Roman" w:hAnsi="Times New Roman"/>
        </w:rPr>
        <w:t xml:space="preserve">                    </w:t>
      </w:r>
      <w:r>
        <w:rPr>
          <w:rFonts w:hint="eastAsia" w:ascii="Times New Roman" w:hAnsi="Times New Roman"/>
          <w:lang w:val="en-US" w:eastAsia="zh-CN"/>
        </w:rPr>
        <w:t xml:space="preserve">       </w:t>
      </w:r>
      <w:r>
        <w:rPr>
          <w:rFonts w:ascii="Times New Roman" w:hAnsi="Times New Roman"/>
        </w:rPr>
        <w:t>（</w:t>
      </w:r>
      <w:r>
        <w:rPr>
          <w:rFonts w:hint="eastAsia" w:ascii="Times New Roman" w:hAnsi="Times New Roman"/>
        </w:rPr>
        <w:t>5</w:t>
      </w:r>
      <w:r>
        <w:rPr>
          <w:rFonts w:ascii="Times New Roman" w:hAnsi="Times New Roman"/>
        </w:rPr>
        <w:t>）</w:t>
      </w:r>
    </w:p>
    <w:p w14:paraId="29D06A06">
      <w:pPr>
        <w:pStyle w:val="32"/>
        <w:jc w:val="center"/>
        <w:rPr>
          <w:rFonts w:ascii="Times New Roman" w:hAnsi="Times New Roman"/>
        </w:rPr>
      </w:pPr>
      <w:r>
        <w:rPr>
          <w:rFonts w:ascii="Times New Roman" w:hAnsi="Times New Roman"/>
          <w:position w:val="-30"/>
        </w:rPr>
        <w:object>
          <v:shape id="_x0000_i1042" o:spt="75" type="#_x0000_t75" style="height:33.75pt;width:101.25pt;" o:ole="t" filled="f" o:preferrelative="t" stroked="f" coordsize="21600,21600">
            <v:path/>
            <v:fill on="f" focussize="0,0"/>
            <v:stroke on="f" joinstyle="miter"/>
            <v:imagedata r:id="rId46" o:title=""/>
            <o:lock v:ext="edit" aspectratio="t"/>
            <w10:wrap type="none"/>
            <w10:anchorlock/>
          </v:shape>
          <o:OLEObject Type="Embed" ProgID="Equation.DSMT4" ShapeID="_x0000_i1042" DrawAspect="Content" ObjectID="_1468075742" r:id="rId45">
            <o:LockedField>false</o:LockedField>
          </o:OLEObject>
        </w:object>
      </w:r>
      <w:r>
        <w:rPr>
          <w:rFonts w:ascii="Times New Roman" w:hAnsi="Times New Roman"/>
        </w:rPr>
        <w:t xml:space="preserve">                    （</w:t>
      </w:r>
      <w:r>
        <w:rPr>
          <w:rFonts w:hint="eastAsia" w:ascii="Times New Roman" w:hAnsi="Times New Roman"/>
        </w:rPr>
        <w:t>6</w:t>
      </w:r>
      <w:r>
        <w:rPr>
          <w:rFonts w:ascii="Times New Roman" w:hAnsi="Times New Roman"/>
        </w:rPr>
        <w:t>）</w:t>
      </w:r>
    </w:p>
    <w:p w14:paraId="57058965">
      <w:pPr>
        <w:snapToGrid w:val="0"/>
        <w:spacing w:line="500" w:lineRule="exact"/>
        <w:ind w:firstLine="482"/>
        <w:jc w:val="left"/>
        <w:rPr>
          <w:rFonts w:hint="eastAsia"/>
          <w:sz w:val="24"/>
        </w:rPr>
      </w:pPr>
      <w:r>
        <w:rPr>
          <w:sz w:val="24"/>
        </w:rPr>
        <w:t>式中：</w:t>
      </w:r>
    </w:p>
    <w:p w14:paraId="35DBBFF2">
      <w:pPr>
        <w:snapToGrid w:val="0"/>
        <w:spacing w:line="500" w:lineRule="exact"/>
        <w:ind w:firstLine="482"/>
        <w:jc w:val="left"/>
        <w:rPr>
          <w:rFonts w:hint="eastAsia"/>
          <w:sz w:val="24"/>
        </w:rPr>
      </w:pPr>
      <w:r>
        <w:rPr>
          <w:position w:val="-12"/>
        </w:rPr>
        <w:object>
          <v:shape id="_x0000_i1043" o:spt="75" type="#_x0000_t75" style="height:18pt;width:15pt;" o:ole="t" filled="f" o:preferrelative="t" stroked="f" coordsize="21600,21600">
            <v:path/>
            <v:fill on="f" focussize="0,0"/>
            <v:stroke on="f" joinstyle="miter"/>
            <v:imagedata r:id="rId48" o:title=""/>
            <o:lock v:ext="edit" aspectratio="t"/>
            <w10:wrap type="none"/>
            <w10:anchorlock/>
          </v:shape>
          <o:OLEObject Type="Embed" ProgID="Equation.DSMT4" ShapeID="_x0000_i1043" DrawAspect="Content" ObjectID="_1468075743" r:id="rId47">
            <o:LockedField>false</o:LockedField>
          </o:OLEObject>
        </w:object>
      </w:r>
      <w:r>
        <w:rPr>
          <w:sz w:val="24"/>
        </w:rPr>
        <w:t>——标准直流电源输出热，J；</w:t>
      </w:r>
    </w:p>
    <w:p w14:paraId="499A3EFD">
      <w:pPr>
        <w:snapToGrid w:val="0"/>
        <w:spacing w:line="500" w:lineRule="exact"/>
        <w:ind w:firstLine="482"/>
        <w:jc w:val="left"/>
        <w:rPr>
          <w:rFonts w:hint="eastAsia"/>
          <w:sz w:val="24"/>
        </w:rPr>
      </w:pPr>
      <w:r>
        <w:rPr>
          <w:rFonts w:hint="eastAsia"/>
          <w:i/>
          <w:sz w:val="24"/>
        </w:rPr>
        <w:t>U</w:t>
      </w:r>
      <w:r>
        <w:rPr>
          <w:sz w:val="24"/>
        </w:rPr>
        <w:t>——标准直流电源输出电压</w:t>
      </w:r>
      <w:r>
        <w:rPr>
          <w:rFonts w:hint="eastAsia"/>
          <w:sz w:val="24"/>
        </w:rPr>
        <w:t>，V；</w:t>
      </w:r>
    </w:p>
    <w:p w14:paraId="76854EA1">
      <w:pPr>
        <w:snapToGrid w:val="0"/>
        <w:spacing w:line="500" w:lineRule="exact"/>
        <w:ind w:firstLine="482"/>
        <w:jc w:val="left"/>
        <w:rPr>
          <w:rFonts w:hint="eastAsia"/>
          <w:sz w:val="24"/>
        </w:rPr>
      </w:pPr>
      <w:r>
        <w:rPr>
          <w:rFonts w:hint="eastAsia"/>
          <w:i/>
          <w:sz w:val="24"/>
        </w:rPr>
        <w:t>I</w:t>
      </w:r>
      <w:r>
        <w:rPr>
          <w:sz w:val="24"/>
        </w:rPr>
        <w:t>——标准直流电源输出电</w:t>
      </w:r>
      <w:r>
        <w:rPr>
          <w:rFonts w:hint="eastAsia"/>
          <w:sz w:val="24"/>
        </w:rPr>
        <w:t>流，A；</w:t>
      </w:r>
    </w:p>
    <w:p w14:paraId="7CC4FC6C">
      <w:pPr>
        <w:snapToGrid w:val="0"/>
        <w:spacing w:line="500" w:lineRule="exact"/>
        <w:ind w:firstLine="482"/>
        <w:jc w:val="left"/>
        <w:rPr>
          <w:sz w:val="24"/>
        </w:rPr>
      </w:pPr>
      <w:r>
        <w:rPr>
          <w:position w:val="-12"/>
        </w:rPr>
        <w:object>
          <v:shape id="_x0000_i1044" o:spt="75" type="#_x0000_t75" style="height:18pt;width:17.25pt;" o:ole="t" filled="f" o:preferrelative="t" stroked="f" coordsize="21600,21600">
            <v:path/>
            <v:fill on="f" focussize="0,0"/>
            <v:stroke on="f" joinstyle="miter"/>
            <v:imagedata r:id="rId50" o:title=""/>
            <o:lock v:ext="edit" aspectratio="t"/>
            <w10:wrap type="none"/>
            <w10:anchorlock/>
          </v:shape>
          <o:OLEObject Type="Embed" ProgID="Equation.DSMT4" ShapeID="_x0000_i1044" DrawAspect="Content" ObjectID="_1468075744" r:id="rId49">
            <o:LockedField>false</o:LockedField>
          </o:OLEObject>
        </w:object>
      </w:r>
      <w:r>
        <w:rPr>
          <w:sz w:val="24"/>
        </w:rPr>
        <w:t>——反应热示值，J；</w:t>
      </w:r>
    </w:p>
    <w:p w14:paraId="54E19FC2">
      <w:pPr>
        <w:snapToGrid w:val="0"/>
        <w:spacing w:line="500" w:lineRule="exact"/>
        <w:ind w:firstLine="420" w:firstLineChars="200"/>
        <w:jc w:val="left"/>
        <w:rPr>
          <w:sz w:val="24"/>
        </w:rPr>
      </w:pPr>
      <w:r>
        <w:rPr>
          <w:position w:val="-14"/>
        </w:rPr>
        <w:object>
          <v:shape id="_x0000_i1045" o:spt="75" type="#_x0000_t75" style="height:18.75pt;width:12pt;" o:ole="t" filled="f" o:preferrelative="t" stroked="f" coordsize="21600,21600">
            <v:path/>
            <v:fill on="f" focussize="0,0"/>
            <v:stroke on="f" joinstyle="miter"/>
            <v:imagedata r:id="rId52" o:title=""/>
            <o:lock v:ext="edit" aspectratio="t"/>
            <w10:wrap type="none"/>
            <w10:anchorlock/>
          </v:shape>
          <o:OLEObject Type="Embed" ProgID="Equation.DSMT4" ShapeID="_x0000_i1045" DrawAspect="Content" ObjectID="_1468075745" r:id="rId51">
            <o:LockedField>false</o:LockedField>
          </o:OLEObject>
        </w:object>
      </w:r>
      <w:r>
        <w:rPr>
          <w:sz w:val="24"/>
        </w:rPr>
        <w:t>——反应热相对误差，％</w:t>
      </w:r>
      <w:r>
        <w:rPr>
          <w:rFonts w:hint="eastAsia"/>
          <w:sz w:val="24"/>
        </w:rPr>
        <w:t>。</w:t>
      </w:r>
    </w:p>
    <w:p w14:paraId="7DA5C474">
      <w:pPr>
        <w:spacing w:line="500" w:lineRule="exact"/>
        <w:ind w:firstLine="0" w:firstLineChars="0"/>
        <w:rPr>
          <w:rFonts w:eastAsiaTheme="minorEastAsia"/>
          <w:sz w:val="24"/>
        </w:rPr>
      </w:pPr>
      <w:r>
        <w:rPr>
          <w:rFonts w:hint="eastAsia" w:eastAsiaTheme="minorEastAsia"/>
          <w:sz w:val="24"/>
        </w:rPr>
        <w:t>7.3.3</w:t>
      </w:r>
      <w:r>
        <w:rPr>
          <w:rFonts w:hint="eastAsia" w:eastAsiaTheme="minorEastAsia"/>
          <w:sz w:val="24"/>
          <w:lang w:val="en-US" w:eastAsia="zh-CN"/>
        </w:rPr>
        <w:t xml:space="preserve"> </w:t>
      </w:r>
      <w:r>
        <w:rPr>
          <w:rFonts w:eastAsiaTheme="minorEastAsia"/>
          <w:sz w:val="24"/>
        </w:rPr>
        <w:t>改变标准直流电源设定电流，重复步骤</w:t>
      </w:r>
      <w:r>
        <w:rPr>
          <w:rFonts w:hint="eastAsia" w:eastAsiaTheme="minorEastAsia"/>
          <w:sz w:val="24"/>
        </w:rPr>
        <w:t>7.3.1</w:t>
      </w:r>
      <w:r>
        <w:rPr>
          <w:rFonts w:eastAsiaTheme="minorEastAsia"/>
          <w:sz w:val="24"/>
        </w:rPr>
        <w:t>～</w:t>
      </w:r>
      <w:r>
        <w:rPr>
          <w:rFonts w:hint="eastAsia" w:eastAsiaTheme="minorEastAsia"/>
          <w:sz w:val="24"/>
        </w:rPr>
        <w:t>7.3.2</w:t>
      </w:r>
      <w:r>
        <w:rPr>
          <w:rFonts w:eastAsiaTheme="minorEastAsia"/>
          <w:sz w:val="24"/>
        </w:rPr>
        <w:t>，至少选取直流电源输出功率分别为20W、50W、90W三个值进行校准或者根据反应量热仪实际使用功率选定合适的校准点。</w:t>
      </w:r>
    </w:p>
    <w:p w14:paraId="78A0C98C">
      <w:pPr>
        <w:pStyle w:val="2"/>
        <w:tabs>
          <w:tab w:val="left" w:pos="425"/>
        </w:tabs>
        <w:spacing w:before="0" w:after="0" w:line="500" w:lineRule="exact"/>
        <w:jc w:val="left"/>
        <w:rPr>
          <w:rFonts w:ascii="Times New Roman" w:hAnsi="Times New Roman" w:eastAsia="黑体" w:cs="Times New Roman"/>
          <w:b w:val="0"/>
          <w:bCs w:val="0"/>
          <w:kern w:val="2"/>
          <w:sz w:val="24"/>
          <w:szCs w:val="24"/>
        </w:rPr>
      </w:pPr>
      <w:bookmarkStart w:id="185" w:name="_Toc1920257018"/>
      <w:bookmarkStart w:id="186" w:name="_Toc184626261"/>
      <w:bookmarkStart w:id="187" w:name="_Toc3623"/>
      <w:bookmarkStart w:id="188" w:name="_Toc6362"/>
      <w:bookmarkStart w:id="189" w:name="_Toc28291"/>
      <w:bookmarkStart w:id="190" w:name="_Toc26549"/>
      <w:bookmarkStart w:id="191" w:name="_Toc18440"/>
      <w:bookmarkStart w:id="192" w:name="_Toc682212080"/>
      <w:bookmarkStart w:id="193" w:name="_Toc555609207"/>
      <w:bookmarkStart w:id="194" w:name="_Toc31349"/>
      <w:bookmarkStart w:id="195" w:name="_Toc19034"/>
      <w:r>
        <w:rPr>
          <w:rFonts w:ascii="Times New Roman" w:hAnsi="Times New Roman" w:eastAsia="黑体" w:cs="Times New Roman"/>
          <w:b w:val="0"/>
          <w:bCs w:val="0"/>
          <w:kern w:val="2"/>
          <w:sz w:val="24"/>
          <w:szCs w:val="24"/>
        </w:rPr>
        <w:t>8 校准结果表达</w:t>
      </w:r>
      <w:bookmarkEnd w:id="185"/>
      <w:bookmarkEnd w:id="186"/>
      <w:bookmarkEnd w:id="187"/>
      <w:bookmarkEnd w:id="188"/>
      <w:bookmarkEnd w:id="189"/>
      <w:bookmarkEnd w:id="190"/>
      <w:bookmarkEnd w:id="191"/>
      <w:bookmarkEnd w:id="192"/>
      <w:bookmarkEnd w:id="193"/>
      <w:bookmarkEnd w:id="194"/>
      <w:bookmarkEnd w:id="195"/>
    </w:p>
    <w:p w14:paraId="7D1CB958">
      <w:pPr>
        <w:spacing w:line="500" w:lineRule="exact"/>
        <w:ind w:firstLine="480" w:firstLineChars="200"/>
        <w:rPr>
          <w:sz w:val="24"/>
        </w:rPr>
      </w:pPr>
      <w:r>
        <w:rPr>
          <w:sz w:val="24"/>
        </w:rPr>
        <w:t>经校准的自动反应量热仪，出具校准证书，</w:t>
      </w:r>
      <w:r>
        <w:rPr>
          <w:rFonts w:hint="eastAsia"/>
          <w:sz w:val="24"/>
        </w:rPr>
        <w:t>校准证书应符合JJF 1071-2010中5.12的要求，校准原始记录格式参见附录B，校准证书（内页）格式参见附录C。</w:t>
      </w:r>
    </w:p>
    <w:p w14:paraId="2A0F3830">
      <w:pPr>
        <w:pStyle w:val="2"/>
        <w:tabs>
          <w:tab w:val="left" w:pos="425"/>
        </w:tabs>
        <w:spacing w:before="0" w:after="0" w:line="500" w:lineRule="exact"/>
        <w:jc w:val="left"/>
        <w:rPr>
          <w:rFonts w:ascii="Times New Roman" w:hAnsi="Times New Roman" w:eastAsia="黑体" w:cs="Times New Roman"/>
          <w:b w:val="0"/>
          <w:bCs w:val="0"/>
          <w:kern w:val="2"/>
          <w:sz w:val="24"/>
          <w:szCs w:val="24"/>
        </w:rPr>
      </w:pPr>
      <w:bookmarkStart w:id="196" w:name="_Toc28333"/>
      <w:bookmarkStart w:id="197" w:name="_Toc1684824685"/>
      <w:bookmarkStart w:id="198" w:name="_Toc90728593"/>
      <w:bookmarkStart w:id="199" w:name="_Toc184626262"/>
      <w:bookmarkStart w:id="200" w:name="_Toc1872"/>
      <w:bookmarkStart w:id="201" w:name="_Toc23821"/>
      <w:bookmarkStart w:id="202" w:name="_Toc18591"/>
      <w:bookmarkStart w:id="203" w:name="_Toc15369"/>
      <w:bookmarkStart w:id="204" w:name="_Toc1799310783"/>
      <w:bookmarkStart w:id="205" w:name="_Toc30481"/>
      <w:bookmarkStart w:id="206" w:name="_Toc13991"/>
      <w:r>
        <w:rPr>
          <w:rFonts w:ascii="Times New Roman" w:hAnsi="Times New Roman" w:eastAsia="黑体" w:cs="Times New Roman"/>
          <w:b w:val="0"/>
          <w:bCs w:val="0"/>
          <w:kern w:val="2"/>
          <w:sz w:val="24"/>
          <w:szCs w:val="24"/>
        </w:rPr>
        <w:t>9</w:t>
      </w:r>
      <w:r>
        <w:rPr>
          <w:rFonts w:hint="eastAsia" w:ascii="Times New Roman" w:hAnsi="Times New Roman" w:eastAsia="黑体" w:cs="Times New Roman"/>
          <w:b w:val="0"/>
          <w:bCs w:val="0"/>
          <w:kern w:val="2"/>
          <w:sz w:val="24"/>
          <w:szCs w:val="24"/>
          <w:lang w:val="en-US" w:eastAsia="zh-CN"/>
        </w:rPr>
        <w:t xml:space="preserve"> </w:t>
      </w:r>
      <w:r>
        <w:rPr>
          <w:rFonts w:ascii="Times New Roman" w:hAnsi="Times New Roman" w:eastAsia="黑体" w:cs="Times New Roman"/>
          <w:b w:val="0"/>
          <w:bCs w:val="0"/>
          <w:kern w:val="2"/>
          <w:sz w:val="24"/>
          <w:szCs w:val="24"/>
        </w:rPr>
        <w:t>复校时间间隔</w:t>
      </w:r>
      <w:bookmarkEnd w:id="196"/>
      <w:bookmarkEnd w:id="197"/>
      <w:bookmarkEnd w:id="198"/>
      <w:bookmarkEnd w:id="199"/>
      <w:bookmarkEnd w:id="200"/>
      <w:bookmarkEnd w:id="201"/>
      <w:bookmarkEnd w:id="202"/>
      <w:bookmarkEnd w:id="203"/>
      <w:bookmarkEnd w:id="204"/>
      <w:bookmarkEnd w:id="205"/>
      <w:bookmarkEnd w:id="206"/>
    </w:p>
    <w:p w14:paraId="5ED2DE96">
      <w:pPr>
        <w:spacing w:line="500" w:lineRule="exact"/>
        <w:ind w:firstLine="480" w:firstLineChars="200"/>
        <w:rPr>
          <w:sz w:val="24"/>
        </w:rPr>
      </w:pPr>
      <w:r>
        <w:rPr>
          <w:sz w:val="24"/>
        </w:rPr>
        <w:t>复校时间间隔由使用者根据仪器使用情况、仪器本身性能等因素自行决定，推荐复校时间间隔不超过1年。</w:t>
      </w:r>
    </w:p>
    <w:p w14:paraId="4E3A3649">
      <w:pPr>
        <w:adjustRightInd w:val="0"/>
        <w:snapToGrid w:val="0"/>
        <w:spacing w:before="200" w:line="500" w:lineRule="exact"/>
        <w:jc w:val="left"/>
        <w:rPr>
          <w:rFonts w:eastAsia="黑体"/>
          <w:sz w:val="28"/>
          <w:szCs w:val="28"/>
        </w:rPr>
      </w:pPr>
      <w:r>
        <w:rPr>
          <w:rFonts w:eastAsia="黑体"/>
          <w:sz w:val="28"/>
          <w:szCs w:val="28"/>
        </w:rPr>
        <w:br w:type="page"/>
      </w:r>
    </w:p>
    <w:p w14:paraId="58C7E525">
      <w:pPr>
        <w:pStyle w:val="2"/>
        <w:keepLines w:val="0"/>
        <w:snapToGrid w:val="0"/>
        <w:spacing w:before="0" w:after="0" w:line="300" w:lineRule="auto"/>
        <w:rPr>
          <w:rFonts w:ascii="Times New Roman" w:hAnsi="Times New Roman" w:eastAsia="黑体" w:cs="Times New Roman"/>
          <w:b w:val="0"/>
          <w:spacing w:val="20"/>
          <w:kern w:val="13"/>
          <w:sz w:val="28"/>
          <w:szCs w:val="28"/>
        </w:rPr>
      </w:pPr>
      <w:bookmarkStart w:id="207" w:name="_Toc26560"/>
      <w:bookmarkStart w:id="208" w:name="_Toc28735"/>
      <w:bookmarkStart w:id="209" w:name="_Toc17172"/>
      <w:bookmarkStart w:id="210" w:name="_Toc6703"/>
      <w:bookmarkStart w:id="211" w:name="_Toc2043082966"/>
      <w:bookmarkStart w:id="212" w:name="_Toc2076243378"/>
      <w:bookmarkStart w:id="213" w:name="_Toc2136942904"/>
      <w:bookmarkStart w:id="214" w:name="_Toc184626263"/>
      <w:r>
        <w:rPr>
          <w:rFonts w:ascii="Times New Roman" w:hAnsi="Times New Roman" w:eastAsia="黑体" w:cs="Times New Roman"/>
          <w:b w:val="0"/>
          <w:spacing w:val="20"/>
          <w:kern w:val="13"/>
          <w:sz w:val="28"/>
          <w:szCs w:val="28"/>
        </w:rPr>
        <w:t>附录A</w:t>
      </w:r>
      <w:bookmarkEnd w:id="207"/>
      <w:bookmarkEnd w:id="208"/>
      <w:bookmarkEnd w:id="209"/>
      <w:bookmarkEnd w:id="210"/>
      <w:bookmarkEnd w:id="211"/>
      <w:bookmarkEnd w:id="212"/>
      <w:bookmarkEnd w:id="213"/>
      <w:bookmarkEnd w:id="214"/>
    </w:p>
    <w:p w14:paraId="4A457871">
      <w:pPr>
        <w:spacing w:line="360" w:lineRule="auto"/>
        <w:jc w:val="center"/>
        <w:outlineLvl w:val="0"/>
        <w:rPr>
          <w:rFonts w:eastAsia="黑体"/>
          <w:sz w:val="28"/>
          <w:szCs w:val="28"/>
        </w:rPr>
      </w:pPr>
      <w:bookmarkStart w:id="215" w:name="_Toc9810"/>
      <w:bookmarkStart w:id="216" w:name="_Toc14806"/>
      <w:bookmarkStart w:id="217" w:name="_Toc25958"/>
      <w:bookmarkStart w:id="218" w:name="_Toc12427"/>
      <w:bookmarkStart w:id="219" w:name="_Toc120005596"/>
      <w:bookmarkStart w:id="220" w:name="_Toc29920"/>
      <w:bookmarkStart w:id="221" w:name="_Toc134121133"/>
      <w:bookmarkStart w:id="222" w:name="OLE_LINK1"/>
      <w:r>
        <w:rPr>
          <w:rFonts w:eastAsia="黑体"/>
          <w:sz w:val="28"/>
          <w:szCs w:val="28"/>
        </w:rPr>
        <w:t>自动反应量热仪反应热相对误差校准结果不确定度评定</w:t>
      </w:r>
      <w:bookmarkEnd w:id="215"/>
      <w:bookmarkEnd w:id="216"/>
      <w:bookmarkEnd w:id="217"/>
      <w:bookmarkEnd w:id="218"/>
      <w:bookmarkEnd w:id="219"/>
      <w:bookmarkEnd w:id="220"/>
      <w:bookmarkEnd w:id="221"/>
    </w:p>
    <w:p w14:paraId="61603018">
      <w:pPr>
        <w:spacing w:line="360" w:lineRule="auto"/>
        <w:ind w:firstLine="480" w:firstLineChars="200"/>
        <w:rPr>
          <w:sz w:val="24"/>
        </w:rPr>
      </w:pPr>
    </w:p>
    <w:p w14:paraId="671036EE">
      <w:pPr>
        <w:pStyle w:val="35"/>
        <w:keepNext w:val="0"/>
        <w:keepLines w:val="0"/>
        <w:pageBreakBefore w:val="0"/>
        <w:kinsoku/>
        <w:wordWrap/>
        <w:topLinePunct w:val="0"/>
        <w:bidi w:val="0"/>
        <w:adjustRightInd w:val="0"/>
        <w:snapToGrid w:val="0"/>
        <w:spacing w:line="336" w:lineRule="auto"/>
        <w:ind w:right="-105"/>
        <w:outlineLvl w:val="9"/>
        <w:rPr>
          <w:rFonts w:hint="default" w:ascii="Times New Roman" w:hAnsi="Times New Roman" w:eastAsia="宋体" w:cs="Times New Roman"/>
          <w:color w:val="000000" w:themeColor="text1"/>
          <w:sz w:val="24"/>
          <w:szCs w:val="24"/>
          <w14:textFill>
            <w14:solidFill>
              <w14:schemeClr w14:val="tx1"/>
            </w14:solidFill>
          </w14:textFill>
        </w:rPr>
      </w:pPr>
      <w:bookmarkStart w:id="223" w:name="_Toc4459"/>
      <w:bookmarkStart w:id="224" w:name="_Toc8434"/>
      <w:bookmarkStart w:id="225" w:name="_Toc317841834"/>
      <w:bookmarkStart w:id="226" w:name="_Toc136001879"/>
      <w:bookmarkStart w:id="227" w:name="_Toc16510"/>
      <w:bookmarkStart w:id="228" w:name="_Toc16179"/>
      <w:bookmarkStart w:id="229" w:name="_Toc163412035"/>
      <w:bookmarkStart w:id="230" w:name="_Toc184626264"/>
      <w:bookmarkStart w:id="231" w:name="_Toc17365"/>
      <w:bookmarkStart w:id="232" w:name="_Toc26674"/>
      <w:bookmarkStart w:id="233" w:name="_Toc3534"/>
      <w:r>
        <w:rPr>
          <w:rFonts w:hint="default" w:ascii="Times New Roman" w:hAnsi="Times New Roman" w:eastAsia="宋体" w:cs="Times New Roman"/>
          <w:color w:val="000000" w:themeColor="text1"/>
          <w:sz w:val="24"/>
          <w:szCs w:val="24"/>
          <w14:textFill>
            <w14:solidFill>
              <w14:schemeClr w14:val="tx1"/>
            </w14:solidFill>
          </w14:textFill>
        </w:rPr>
        <w:t>A.1 测量方法</w:t>
      </w:r>
      <w:bookmarkEnd w:id="223"/>
      <w:bookmarkEnd w:id="224"/>
    </w:p>
    <w:p w14:paraId="63355C40">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按照本规范规定的校准方法，采用标准直流电源输出</w:t>
      </w:r>
      <w:r>
        <w:rPr>
          <w:rFonts w:hint="default" w:ascii="Times New Roman" w:hAnsi="Times New Roman" w:eastAsia="宋体" w:cs="Times New Roman"/>
          <w:color w:val="000000" w:themeColor="text1"/>
          <w:sz w:val="24"/>
          <w:szCs w:val="24"/>
          <w:lang w:eastAsia="zh-CN"/>
          <w14:textFill>
            <w14:solidFill>
              <w14:schemeClr w14:val="tx1"/>
            </w14:solidFill>
          </w14:textFill>
        </w:rPr>
        <w:t>的</w:t>
      </w:r>
      <w:r>
        <w:rPr>
          <w:rFonts w:hint="default" w:ascii="Times New Roman" w:hAnsi="Times New Roman" w:eastAsia="宋体" w:cs="Times New Roman"/>
          <w:color w:val="000000" w:themeColor="text1"/>
          <w:sz w:val="24"/>
          <w:szCs w:val="24"/>
          <w14:textFill>
            <w14:solidFill>
              <w14:schemeClr w14:val="tx1"/>
            </w14:solidFill>
          </w14:textFill>
        </w:rPr>
        <w:t>功率对反应热进行校准。输出电功率约为20W。</w:t>
      </w:r>
    </w:p>
    <w:p w14:paraId="33B2DDE9">
      <w:pPr>
        <w:pStyle w:val="35"/>
        <w:keepNext w:val="0"/>
        <w:keepLines w:val="0"/>
        <w:pageBreakBefore w:val="0"/>
        <w:kinsoku/>
        <w:wordWrap/>
        <w:topLinePunct w:val="0"/>
        <w:bidi w:val="0"/>
        <w:adjustRightInd w:val="0"/>
        <w:snapToGrid w:val="0"/>
        <w:spacing w:line="336" w:lineRule="auto"/>
        <w:ind w:right="-105"/>
        <w:outlineLvl w:val="9"/>
        <w:rPr>
          <w:rFonts w:hint="default" w:ascii="Times New Roman" w:hAnsi="Times New Roman" w:eastAsia="宋体" w:cs="Times New Roman"/>
          <w:color w:val="000000" w:themeColor="text1"/>
          <w:sz w:val="24"/>
          <w:szCs w:val="24"/>
          <w14:textFill>
            <w14:solidFill>
              <w14:schemeClr w14:val="tx1"/>
            </w14:solidFill>
          </w14:textFill>
        </w:rPr>
      </w:pPr>
      <w:bookmarkStart w:id="234" w:name="_Toc15951"/>
      <w:bookmarkStart w:id="235" w:name="_Toc30270"/>
      <w:r>
        <w:rPr>
          <w:rFonts w:hint="default" w:ascii="Times New Roman" w:hAnsi="Times New Roman" w:eastAsia="宋体" w:cs="Times New Roman"/>
          <w:color w:val="000000" w:themeColor="text1"/>
          <w:sz w:val="24"/>
          <w:szCs w:val="24"/>
          <w14:textFill>
            <w14:solidFill>
              <w14:schemeClr w14:val="tx1"/>
            </w14:solidFill>
          </w14:textFill>
        </w:rPr>
        <w:t>A.2 测量模型</w:t>
      </w:r>
      <w:bookmarkEnd w:id="234"/>
      <w:bookmarkEnd w:id="235"/>
    </w:p>
    <w:p w14:paraId="582E84AF">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反应热相对误差按式</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A.1</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进行计算。</w:t>
      </w:r>
    </w:p>
    <w:p w14:paraId="7E6809D5">
      <w:pPr>
        <w:pStyle w:val="32"/>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hAnsi="DejaVu Math TeX Gyre" w:eastAsia="宋体" w:cs="Times New Roman"/>
          <w:i w:val="0"/>
          <w:color w:val="000000" w:themeColor="text1"/>
          <w:sz w:val="24"/>
          <w:szCs w:val="24"/>
          <w:lang w:val="en-US"/>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14:textFill>
              <w14:solidFill>
                <w14:schemeClr w14:val="tx1"/>
              </w14:solidFill>
            </w14:textFill>
          </w:rPr>
          <m:t>=</m:t>
        </m:r>
        <m:f>
          <m:fPr>
            <m:ctrlPr>
              <w:rPr>
                <w:rFonts w:hint="default" w:ascii="Cambria Math" w:hAnsi="Cambria Math" w:eastAsia="宋体" w:cs="Times New Roman"/>
                <w:i/>
                <w:color w:val="000000" w:themeColor="text1"/>
                <w:sz w:val="24"/>
                <w:szCs w:val="24"/>
                <w14:textFill>
                  <w14:solidFill>
                    <w14:schemeClr w14:val="tx1"/>
                  </w14:solidFill>
                </w14:textFill>
              </w:rPr>
            </m:ctrlPr>
          </m:fPr>
          <m:num>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14:textFill>
              <w14:solidFill>
                <w14:schemeClr w14:val="tx1"/>
              </w14:solidFill>
            </w14:textFill>
          </w:rPr>
          <m:t>×100%</m:t>
        </m:r>
      </m:oMath>
      <w:r>
        <w:rPr>
          <w:rFonts w:hint="default" w:ascii="Times New Roman" w:hAnsi="Times New Roman" w:eastAsia="宋体" w:cs="Times New Roman"/>
          <w:color w:val="000000" w:themeColor="text1"/>
          <w:sz w:val="24"/>
          <w:szCs w:val="24"/>
          <w14:textFill>
            <w14:solidFill>
              <w14:schemeClr w14:val="tx1"/>
            </w14:solidFill>
          </w14:textFill>
        </w:rPr>
        <w:t xml:space="preserve">                    （A.1）</w:t>
      </w:r>
    </w:p>
    <w:p w14:paraId="59722A16">
      <w:pPr>
        <w:keepNext w:val="0"/>
        <w:keepLines w:val="0"/>
        <w:pageBreakBefore w:val="0"/>
        <w:kinsoku/>
        <w:wordWrap/>
        <w:topLinePunct w:val="0"/>
        <w:bidi w:val="0"/>
        <w:adjustRightInd w:val="0"/>
        <w:snapToGrid w:val="0"/>
        <w:spacing w:line="336" w:lineRule="auto"/>
        <w:ind w:firstLine="48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式中：</w:t>
      </w:r>
    </w:p>
    <w:p w14:paraId="52824858">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sub>
        </m:sSub>
      </m:oMath>
      <w:r>
        <w:rPr>
          <w:rFonts w:hint="default" w:ascii="Times New Roman" w:hAnsi="Times New Roman" w:eastAsia="宋体" w:cs="Times New Roman"/>
          <w:color w:val="000000" w:themeColor="text1"/>
          <w:sz w:val="24"/>
          <w:szCs w:val="24"/>
          <w14:textFill>
            <w14:solidFill>
              <w14:schemeClr w14:val="tx1"/>
            </w14:solidFill>
          </w14:textFill>
        </w:rPr>
        <w:t>——反应热相对误差，％；</w:t>
      </w:r>
    </w:p>
    <w:p w14:paraId="6068EA5B">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oMath>
      <w:r>
        <w:rPr>
          <w:rFonts w:hint="default" w:ascii="Times New Roman" w:hAnsi="Times New Roman" w:eastAsia="宋体" w:cs="Times New Roman"/>
          <w:color w:val="000000" w:themeColor="text1"/>
          <w:sz w:val="24"/>
          <w:szCs w:val="24"/>
          <w14:textFill>
            <w14:solidFill>
              <w14:schemeClr w14:val="tx1"/>
            </w14:solidFill>
          </w14:textFill>
        </w:rPr>
        <w:t>——校准过程中测量的反应热，J；</w:t>
      </w:r>
    </w:p>
    <w:p w14:paraId="6C38FFBF">
      <w:pPr>
        <w:keepNext w:val="0"/>
        <w:keepLines w:val="0"/>
        <w:pageBreakBefore w:val="0"/>
        <w:kinsoku/>
        <w:wordWrap/>
        <w:topLinePunct w:val="0"/>
        <w:bidi w:val="0"/>
        <w:adjustRightInd w:val="0"/>
        <w:snapToGrid w:val="0"/>
        <w:spacing w:line="336" w:lineRule="auto"/>
        <w:ind w:firstLine="480"/>
        <w:jc w:val="left"/>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position w:val="-12"/>
        </w:rPr>
        <w:object>
          <v:shape id="_x0000_i1046" o:spt="75" type="#_x0000_t75" style="height:18pt;width:42.95pt;" o:ole="t" filled="f" o:preferrelative="t" stroked="f" coordsize="21600,21600">
            <v:path/>
            <v:fill on="f" focussize="0,0"/>
            <v:stroke on="f" joinstyle="miter"/>
            <v:imagedata r:id="rId44" o:title=""/>
            <o:lock v:ext="edit" aspectratio="t"/>
            <w10:wrap type="none"/>
            <w10:anchorlock/>
          </v:shape>
          <o:OLEObject Type="Embed" ProgID="Equation.DSMT4" ShapeID="_x0000_i1046" DrawAspect="Content" ObjectID="_1468075746" r:id="rId53">
            <o:LockedField>false</o:LockedField>
          </o:OLEObject>
        </w:object>
      </w:r>
      <w:r>
        <w:rPr>
          <w:rFonts w:hint="default" w:ascii="Times New Roman" w:hAnsi="Times New Roman" w:eastAsia="宋体" w:cs="Times New Roman"/>
          <w:color w:val="000000" w:themeColor="text1"/>
          <w:sz w:val="24"/>
          <w:szCs w:val="24"/>
          <w14:textFill>
            <w14:solidFill>
              <w14:schemeClr w14:val="tx1"/>
            </w14:solidFill>
          </w14:textFill>
        </w:rPr>
        <w:t>——标准直流电源输出</w:t>
      </w:r>
      <w:r>
        <w:rPr>
          <w:rFonts w:hint="default" w:ascii="Times New Roman" w:hAnsi="Times New Roman" w:eastAsia="宋体" w:cs="Times New Roman"/>
          <w:color w:val="000000" w:themeColor="text1"/>
          <w:sz w:val="24"/>
          <w:szCs w:val="24"/>
          <w:lang w:eastAsia="zh-CN"/>
          <w14:textFill>
            <w14:solidFill>
              <w14:schemeClr w14:val="tx1"/>
            </w14:solidFill>
          </w14:textFill>
        </w:rPr>
        <w:t>热</w:t>
      </w:r>
      <w:r>
        <w:rPr>
          <w:rFonts w:hint="default" w:ascii="Times New Roman" w:hAnsi="Times New Roman" w:eastAsia="宋体" w:cs="Times New Roman"/>
          <w:color w:val="000000" w:themeColor="text1"/>
          <w:sz w:val="24"/>
          <w:szCs w:val="24"/>
          <w14:textFill>
            <w14:solidFill>
              <w14:schemeClr w14:val="tx1"/>
            </w14:solidFill>
          </w14:textFill>
        </w:rPr>
        <w:t>，J</w:t>
      </w:r>
      <w:r>
        <w:rPr>
          <w:rFonts w:hint="eastAsia" w:cs="Times New Roman"/>
          <w:color w:val="000000" w:themeColor="text1"/>
          <w:sz w:val="24"/>
          <w:szCs w:val="24"/>
          <w:lang w:eastAsia="zh-CN"/>
          <w14:textFill>
            <w14:solidFill>
              <w14:schemeClr w14:val="tx1"/>
            </w14:solidFill>
          </w14:textFill>
        </w:rPr>
        <w:t>。</w:t>
      </w:r>
    </w:p>
    <w:p w14:paraId="2F1A50FA">
      <w:pPr>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pacing w:val="2"/>
          <w:kern w:val="21"/>
          <w:sz w:val="24"/>
          <w:szCs w:val="24"/>
          <w14:textFill>
            <w14:solidFill>
              <w14:schemeClr w14:val="tx1"/>
            </w14:solidFill>
          </w14:textFill>
        </w:rPr>
      </w:pPr>
      <w:r>
        <w:rPr>
          <w:rFonts w:hint="default" w:ascii="Times New Roman" w:hAnsi="Times New Roman" w:eastAsia="宋体" w:cs="Times New Roman"/>
          <w:color w:val="000000" w:themeColor="text1"/>
          <w:spacing w:val="2"/>
          <w:kern w:val="21"/>
          <w:sz w:val="24"/>
          <w:szCs w:val="24"/>
          <w14:textFill>
            <w14:solidFill>
              <w14:schemeClr w14:val="tx1"/>
            </w14:solidFill>
          </w14:textFill>
        </w:rPr>
        <w:t>A.3不确定度传播律</w:t>
      </w:r>
    </w:p>
    <w:p w14:paraId="70B7F8C1">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各输入量之间不相关，根据不确定度传播律，其合成标准不确定度可用公式（A.2）表示：</w:t>
      </w:r>
    </w:p>
    <w:p w14:paraId="2E29D68A">
      <w:pPr>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hAnsi="DejaVu Math TeX Gyre" w:eastAsia="宋体" w:cs="Times New Roman"/>
          <w:i w:val="0"/>
          <w:color w:val="000000" w:themeColor="text1"/>
          <w:sz w:val="24"/>
          <w:szCs w:val="24"/>
          <w:lang w:val="en-US"/>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ad>
          <m:radPr>
            <m:degHide m:val="1"/>
            <m:ctrlPr>
              <w:rPr>
                <w:rFonts w:hint="default" w:ascii="Cambria Math" w:hAnsi="Cambria Math" w:eastAsia="宋体" w:cs="Times New Roman"/>
                <w:i/>
                <w:color w:val="000000" w:themeColor="text1"/>
                <w:sz w:val="24"/>
                <w:szCs w:val="24"/>
                <w:lang w:val="en-US"/>
                <w14:textFill>
                  <w14:solidFill>
                    <w14:schemeClr w14:val="tx1"/>
                  </w14:solidFill>
                </w14:textFill>
              </w:rPr>
            </m:ctrlPr>
          </m:radPr>
          <m:deg>
            <m:ctrlPr>
              <w:rPr>
                <w:rFonts w:hint="default" w:ascii="Cambria Math" w:hAnsi="Cambria Math" w:eastAsia="宋体" w:cs="Times New Roman"/>
                <w:i/>
                <w:color w:val="000000" w:themeColor="text1"/>
                <w:sz w:val="24"/>
                <w:szCs w:val="24"/>
                <w:lang w:val="en-US"/>
                <w14:textFill>
                  <w14:solidFill>
                    <w14:schemeClr w14:val="tx1"/>
                  </w14:solidFill>
                </w14:textFill>
              </w:rPr>
            </m:ctrlPr>
          </m:deg>
          <m:e>
            <m:sSubSup>
              <m:sSub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b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sub>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b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Sup>
              <m:sSub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b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sub>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b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rad>
      </m:oMath>
      <w:r>
        <w:rPr>
          <w:rFonts w:hint="default" w:ascii="Times New Roman" w:hAnsi="Times New Roman" w:eastAsia="宋体" w:cs="Times New Roman"/>
          <w:i w:val="0"/>
          <w:color w:val="000000" w:themeColor="text1"/>
          <w:sz w:val="24"/>
          <w:szCs w:val="24"/>
          <w:lang w:val="en-US"/>
          <w14:textFill>
            <w14:solidFill>
              <w14:schemeClr w14:val="tx1"/>
            </w14:solidFill>
          </w14:textFill>
        </w:rPr>
        <w:t xml:space="preserve">              (A.2)</w:t>
      </w:r>
    </w:p>
    <w:p w14:paraId="43F68F3C">
      <w:pPr>
        <w:pStyle w:val="32"/>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式中，灵敏系数可表示为：</w:t>
      </w:r>
    </w:p>
    <w:p w14:paraId="0ECEACC6">
      <w:pPr>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hAnsi="DejaVu Math TeX Gyre" w:eastAsia="宋体" w:cs="Times New Roman"/>
          <w:i w:val="0"/>
          <w:color w:val="000000" w:themeColor="text1"/>
          <w:sz w:val="24"/>
          <w:szCs w:val="24"/>
          <w:lang w:val="en-US"/>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oMath>
      <w:r>
        <w:rPr>
          <w:rFonts w:hint="default" w:ascii="Times New Roman" w:hAnsi="Times New Roman" w:eastAsia="宋体" w:cs="Times New Roman"/>
          <w:i w:val="0"/>
          <w:color w:val="000000" w:themeColor="text1"/>
          <w:sz w:val="24"/>
          <w:szCs w:val="24"/>
          <w:lang w:val="en-US"/>
          <w14:textFill>
            <w14:solidFill>
              <w14:schemeClr w14:val="tx1"/>
            </w14:solidFill>
          </w14:textFill>
        </w:rPr>
        <w:t xml:space="preserve">                   (A.3)</w:t>
      </w:r>
    </w:p>
    <w:p w14:paraId="401E6942">
      <w:pPr>
        <w:pStyle w:val="32"/>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lang w:val="en-US"/>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oMath>
      <w:r>
        <w:rPr>
          <w:rFonts w:hint="default" w:ascii="Times New Roman" w:hAnsi="Times New Roman" w:eastAsia="宋体" w:cs="Times New Roman"/>
          <w:i w:val="0"/>
          <w:color w:val="000000" w:themeColor="text1"/>
          <w:sz w:val="24"/>
          <w:szCs w:val="24"/>
          <w:lang w:val="en-US"/>
          <w14:textFill>
            <w14:solidFill>
              <w14:schemeClr w14:val="tx1"/>
            </w14:solidFill>
          </w14:textFill>
        </w:rPr>
        <w:t xml:space="preserve">                    (A.4)</w:t>
      </w:r>
      <w:r>
        <w:rPr>
          <w:rFonts w:hint="default" w:ascii="Times New Roman" w:hAnsi="Times New Roman" w:eastAsia="宋体" w:cs="Times New Roman"/>
          <w:color w:val="000000" w:themeColor="text1"/>
          <w:sz w:val="24"/>
          <w:szCs w:val="24"/>
          <w14:textFill>
            <w14:solidFill>
              <w14:schemeClr w14:val="tx1"/>
            </w14:solidFill>
          </w14:textFill>
        </w:rPr>
        <w:tab/>
      </w:r>
    </w:p>
    <w:p w14:paraId="426DDD6D">
      <w:pPr>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pacing w:val="2"/>
          <w:kern w:val="21"/>
          <w:sz w:val="24"/>
          <w:szCs w:val="24"/>
          <w14:textFill>
            <w14:solidFill>
              <w14:schemeClr w14:val="tx1"/>
            </w14:solidFill>
          </w14:textFill>
        </w:rPr>
        <w:t>由于示值误差较小，这里可认为</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oMath>
      <w:r>
        <w:rPr>
          <w:rFonts w:hint="eastAsia" w:hAnsi="DejaVu Math TeX Gyre" w:cs="Times New Roman"/>
          <w:i w:val="0"/>
          <w:color w:val="000000" w:themeColor="text1"/>
          <w:sz w:val="24"/>
          <w:szCs w:val="24"/>
          <w:lang w:eastAsia="zh-CN"/>
          <w14:textFill>
            <w14:solidFill>
              <w14:schemeClr w14:val="tx1"/>
            </w14:solidFill>
          </w14:textFill>
        </w:rPr>
        <w:t>等于</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oMath>
      <w:r>
        <w:rPr>
          <w:rFonts w:hint="default" w:ascii="Times New Roman" w:hAnsi="Times New Roman" w:eastAsia="宋体" w:cs="Times New Roman"/>
          <w:color w:val="000000" w:themeColor="text1"/>
          <w:spacing w:val="2"/>
          <w:kern w:val="21"/>
          <w:sz w:val="24"/>
          <w:szCs w:val="24"/>
          <w14:textFill>
            <w14:solidFill>
              <w14:schemeClr w14:val="tx1"/>
            </w14:solidFill>
          </w14:textFill>
        </w:rPr>
        <w:t>，所以，</w:t>
      </w:r>
      <w:r>
        <w:rPr>
          <w:rFonts w:hint="default" w:ascii="Times New Roman" w:hAnsi="Times New Roman" w:eastAsia="宋体" w:cs="Times New Roman"/>
          <w:color w:val="000000" w:themeColor="text1"/>
          <w:sz w:val="24"/>
          <w:szCs w:val="24"/>
          <w14:textFill>
            <w14:solidFill>
              <w14:schemeClr w14:val="tx1"/>
            </w14:solidFill>
          </w14:textFill>
        </w:rPr>
        <w:t>灵敏系数可改写为：</w:t>
      </w:r>
    </w:p>
    <w:p w14:paraId="6FD5A4FA">
      <w:pPr>
        <w:pStyle w:val="32"/>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eastAsia" w:hAnsi="DejaVu Math TeX Gyre" w:cs="Times New Roman"/>
          <w:i w:val="0"/>
          <w:color w:val="000000" w:themeColor="text1"/>
          <w:sz w:val="24"/>
          <w:szCs w:val="24"/>
          <w:lang w:val="en-US" w:eastAsia="zh-CN"/>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oMath>
      <w:r>
        <w:rPr>
          <w:rFonts w:hint="eastAsia" w:hAnsi="DejaVu Math TeX Gyre" w:cs="Times New Roman"/>
          <w:i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(A.5)</w:t>
      </w:r>
    </w:p>
    <w:p w14:paraId="4070DB49">
      <w:pPr>
        <w:pStyle w:val="32"/>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eastAsia" w:hAnsi="DejaVu Math TeX Gyre" w:cs="Times New Roman"/>
          <w:i w:val="0"/>
          <w:color w:val="000000" w:themeColor="text1"/>
          <w:sz w:val="24"/>
          <w:szCs w:val="24"/>
          <w:lang w:val="en-US" w:eastAsia="zh-CN"/>
          <w14:textFill>
            <w14:solidFill>
              <w14:schemeClr w14:val="tx1"/>
            </w14:solidFill>
          </w14:textFill>
        </w:rPr>
        <w:t xml:space="preserve">              </w:t>
      </w: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e>
          <m:sub>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f</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sty m:val="p"/>
              </m:rPr>
              <w:rPr>
                <w:rFonts w:hint="default" w:ascii="Cambria Math" w:hAnsi="Cambria Math" w:eastAsia="宋体" w:cs="Times New Roman"/>
                <w:b w:val="0"/>
                <w:i w:val="0"/>
                <w:color w:val="000000" w:themeColor="text1"/>
                <w:sz w:val="24"/>
                <w:szCs w:val="24"/>
                <w:lang w:val="en-US" w:eastAsia="zh-CN"/>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oMath>
      <w:r>
        <w:rPr>
          <w:rFonts w:hint="eastAsia" w:hAnsi="DejaVu Math TeX Gyre" w:cs="Times New Roman"/>
          <w:i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(A.6)</w:t>
      </w:r>
    </w:p>
    <w:p w14:paraId="582F6C07">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将式（A.5）和式（A.6）</w:t>
      </w:r>
      <w:r>
        <w:rPr>
          <w:rFonts w:hint="default" w:ascii="Times New Roman" w:hAnsi="Times New Roman" w:eastAsia="宋体" w:cs="Times New Roman"/>
          <w:color w:val="000000" w:themeColor="text1"/>
          <w:sz w:val="24"/>
          <w:szCs w:val="24"/>
          <w:lang w:eastAsia="zh-CN"/>
          <w14:textFill>
            <w14:solidFill>
              <w14:schemeClr w14:val="tx1"/>
            </w14:solidFill>
          </w14:textFill>
        </w:rPr>
        <w:t>代入</w:t>
      </w:r>
      <w:r>
        <w:rPr>
          <w:rFonts w:hint="default" w:ascii="Times New Roman" w:hAnsi="Times New Roman" w:eastAsia="宋体" w:cs="Times New Roman"/>
          <w:color w:val="000000" w:themeColor="text1"/>
          <w:sz w:val="24"/>
          <w:szCs w:val="24"/>
          <w14:textFill>
            <w14:solidFill>
              <w14:schemeClr w14:val="tx1"/>
            </w14:solidFill>
          </w14:textFill>
        </w:rPr>
        <w:t>式（A.2）可得反应热相对误差的不确定度计算公式：</w:t>
      </w:r>
    </w:p>
    <w:p w14:paraId="7DD676A0">
      <w:pPr>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color w:val="000000" w:themeColor="text1"/>
          <w:sz w:val="24"/>
          <w:szCs w:val="24"/>
          <w14:textFill>
            <w14:solidFill>
              <w14:schemeClr w14:val="tx1"/>
            </w14:solidFill>
          </w14:textFill>
        </w:rPr>
      </w:pP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sty m:val="p"/>
          </m:rPr>
          <w:rPr>
            <w:rFonts w:hint="default" w:ascii="Cambria Math" w:hAnsi="Cambria Math" w:eastAsia="宋体" w:cs="Times New Roman"/>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sty m:val="p"/>
          </m:rPr>
          <w:rPr>
            <w:rFonts w:hint="default" w:ascii="Cambria Math" w:hAnsi="Cambria Math" w:eastAsia="宋体" w:cs="Times New Roman"/>
            <w:color w:val="000000" w:themeColor="text1"/>
            <w:sz w:val="24"/>
            <w:szCs w:val="24"/>
            <w:lang w:val="en-US"/>
            <w14:textFill>
              <w14:solidFill>
                <w14:schemeClr w14:val="tx1"/>
              </w14:solidFill>
            </w14:textFill>
          </w:rPr>
          <m:t>)</m:t>
        </m:r>
        <m:r>
          <m:rPr/>
          <w:rPr>
            <w:rFonts w:hint="default" w:ascii="Cambria Math" w:hAnsi="Cambria Math" w:cs="Times New Roman"/>
            <w:color w:val="000000" w:themeColor="text1"/>
            <w:sz w:val="24"/>
            <w:szCs w:val="24"/>
            <w:lang w:val="en-US" w:eastAsia="zh-CN"/>
            <w14:textFill>
              <w14:solidFill>
                <w14:schemeClr w14:val="tx1"/>
              </w14:solidFill>
            </w14:textFill>
          </w:rPr>
          <m:t>=</m:t>
        </m:r>
        <m:rad>
          <m:radPr>
            <m:degHide m:val="1"/>
            <m:ctrlPr>
              <w:rPr>
                <w:rFonts w:hint="default" w:ascii="Cambria Math" w:hAnsi="Cambria Math" w:eastAsia="宋体" w:cs="Times New Roman"/>
                <w:i/>
                <w:color w:val="000000" w:themeColor="text1"/>
                <w:sz w:val="24"/>
                <w:szCs w:val="24"/>
                <w:lang w:val="en-US"/>
                <w14:textFill>
                  <w14:solidFill>
                    <w14:schemeClr w14:val="tx1"/>
                  </w14:solidFill>
                </w14:textFill>
              </w:rPr>
            </m:ctrlPr>
          </m:radPr>
          <m:deg>
            <m:ctrlPr>
              <w:rPr>
                <w:rFonts w:hint="default" w:ascii="Cambria Math" w:hAnsi="Cambria Math" w:eastAsia="宋体" w:cs="Times New Roman"/>
                <w:i/>
                <w:color w:val="000000" w:themeColor="text1"/>
                <w:sz w:val="24"/>
                <w:szCs w:val="24"/>
                <w:lang w:val="en-US"/>
                <w14:textFill>
                  <w14:solidFill>
                    <w14:schemeClr w14:val="tx1"/>
                  </w14:solidFill>
                </w14:textFill>
              </w:rPr>
            </m:ctrlPr>
          </m:deg>
          <m:e>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bSup>
                  <m:sSub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bSupPr>
                  <m:e>
                    <m:r>
                      <m:rPr/>
                      <w:rPr>
                        <w:rFonts w:hint="default" w:ascii="Cambria Math" w:hAnsi="Cambria Math" w:cs="Times New Roman"/>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w:rPr>
                        <w:rFonts w:hint="default" w:ascii="Cambria Math" w:hAnsi="Cambria Math" w:cs="Times New Roman"/>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up>
                    <m:r>
                      <m:rPr/>
                      <w:rPr>
                        <w:rFonts w:hint="default" w:ascii="Cambria Math" w:hAnsi="Cambria Math" w:cs="Times New Roman"/>
                        <w:color w:val="000000" w:themeColor="text1"/>
                        <w:sz w:val="24"/>
                        <w:szCs w:val="24"/>
                        <w:lang w:val="en-US" w:eastAsia="zh-CN"/>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bSup>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sSubSup>
                  <m:sSub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bSupPr>
                  <m:e>
                    <m:r>
                      <m:rPr/>
                      <w:rPr>
                        <w:rFonts w:hint="default" w:ascii="Cambria Math" w:hAnsi="Cambria Math" w:cs="Times New Roman"/>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w:rPr>
                        <w:rFonts w:hint="default" w:ascii="Cambria Math" w:hAnsi="Cambria Math" w:cs="Times New Roman"/>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up>
                    <m:r>
                      <m:rPr/>
                      <w:rPr>
                        <w:rFonts w:hint="default" w:ascii="Cambria Math" w:hAnsi="Cambria Math" w:cs="Times New Roman"/>
                        <w:color w:val="000000" w:themeColor="text1"/>
                        <w:sz w:val="24"/>
                        <w:szCs w:val="24"/>
                        <w:lang w:val="en-US" w:eastAsia="zh-CN"/>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bSup>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cs="Times New Roman"/>
                    <w:i/>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rad>
      </m:oMath>
      <w:r>
        <w:rPr>
          <w:rFonts w:hint="default" w:ascii="Times New Roman" w:hAnsi="Times New Roman" w:cs="Times New Roman"/>
          <w:i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(A.7)</w:t>
      </w:r>
    </w:p>
    <w:p w14:paraId="61FF98F3">
      <w:pPr>
        <w:pStyle w:val="32"/>
        <w:keepNext w:val="0"/>
        <w:keepLines w:val="0"/>
        <w:pageBreakBefore w:val="0"/>
        <w:kinsoku/>
        <w:wordWrap/>
        <w:topLinePunct w:val="0"/>
        <w:bidi w:val="0"/>
        <w:adjustRightInd w:val="0"/>
        <w:snapToGrid w:val="0"/>
        <w:spacing w:line="336" w:lineRule="auto"/>
        <w:jc w:val="center"/>
        <w:rPr>
          <w:rFonts w:hint="default" w:ascii="Times New Roman" w:hAnsi="Times New Roman" w:eastAsia="宋体" w:cs="Times New Roman"/>
          <w:color w:val="000000" w:themeColor="text1"/>
          <w:sz w:val="24"/>
          <w:szCs w:val="24"/>
          <w:highlight w:val="yellow"/>
          <w14:textFill>
            <w14:solidFill>
              <w14:schemeClr w14:val="tx1"/>
            </w14:solidFill>
          </w14:textFill>
        </w:rPr>
      </w:pPr>
    </w:p>
    <w:p w14:paraId="2CCA27E5">
      <w:pPr>
        <w:keepNext w:val="0"/>
        <w:keepLines w:val="0"/>
        <w:pageBreakBefore w:val="0"/>
        <w:kinsoku/>
        <w:wordWrap/>
        <w:topLinePunct w:val="0"/>
        <w:bidi w:val="0"/>
        <w:adjustRightInd w:val="0"/>
        <w:snapToGrid w:val="0"/>
        <w:spacing w:line="336" w:lineRule="auto"/>
        <w:ind w:firstLine="48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式中：</w:t>
      </w:r>
    </w:p>
    <w:p w14:paraId="7443B7F6">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position w:val="-30"/>
          <w:sz w:val="24"/>
          <w:szCs w:val="24"/>
          <w14:textFill>
            <w14:solidFill>
              <w14:schemeClr w14:val="tx1"/>
            </w14:solidFill>
          </w14:textFill>
        </w:rPr>
      </w:pPr>
      <m:oMath>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c</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Q</m:t>
            </m:r>
            <m:ctrlPr>
              <w:rPr>
                <w:rFonts w:hint="default" w:ascii="Cambria Math" w:hAnsi="Cambria Math" w:eastAsia="宋体" w:cs="Times New Roman"/>
                <w:i/>
                <w:color w:val="000000" w:themeColor="text1"/>
                <w:sz w:val="24"/>
                <w:szCs w:val="24"/>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oMath>
      <w:r>
        <w:rPr>
          <w:rFonts w:hint="default" w:ascii="Times New Roman" w:hAnsi="Times New Roman" w:eastAsia="宋体" w:cs="Times New Roman"/>
          <w:color w:val="000000" w:themeColor="text1"/>
          <w:sz w:val="24"/>
          <w:szCs w:val="24"/>
          <w14:textFill>
            <w14:solidFill>
              <w14:schemeClr w14:val="tx1"/>
            </w14:solidFill>
          </w14:textFill>
        </w:rPr>
        <w:t>——反应热相对误差的合成标准不确定度；</w:t>
      </w:r>
    </w:p>
    <w:p w14:paraId="24AF53E8">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w:r>
        <w:rPr>
          <w:rFonts w:hint="default" w:ascii="Times New Roman" w:hAnsi="Times New Roman" w:eastAsia="宋体" w:cs="Times New Roman"/>
          <w:color w:val="000000" w:themeColor="text1"/>
          <w:sz w:val="24"/>
          <w:szCs w:val="24"/>
          <w14:textFill>
            <w14:solidFill>
              <w14:schemeClr w14:val="tx1"/>
            </w14:solidFill>
          </w14:textFill>
        </w:rPr>
        <w:t>——反应热重复性引入的相对不确定度分量；</w:t>
      </w:r>
    </w:p>
    <w:p w14:paraId="3E87D10E">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w:r>
        <w:rPr>
          <w:rFonts w:hint="default" w:ascii="Times New Roman" w:hAnsi="Times New Roman" w:eastAsia="宋体" w:cs="Times New Roman"/>
          <w:color w:val="000000" w:themeColor="text1"/>
          <w:sz w:val="24"/>
          <w:szCs w:val="24"/>
          <w14:textFill>
            <w14:solidFill>
              <w14:schemeClr w14:val="tx1"/>
            </w14:solidFill>
          </w14:textFill>
        </w:rPr>
        <w:t>——标准直流电源引入的相对不确定度分量。</w:t>
      </w:r>
    </w:p>
    <w:p w14:paraId="16F741CA">
      <w:pPr>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pacing w:val="2"/>
          <w:kern w:val="21"/>
          <w:sz w:val="24"/>
          <w:szCs w:val="24"/>
          <w14:textFill>
            <w14:solidFill>
              <w14:schemeClr w14:val="tx1"/>
            </w14:solidFill>
          </w14:textFill>
        </w:rPr>
      </w:pPr>
      <w:r>
        <w:rPr>
          <w:rFonts w:hint="default" w:ascii="Times New Roman" w:hAnsi="Times New Roman" w:eastAsia="宋体" w:cs="Times New Roman"/>
          <w:color w:val="000000" w:themeColor="text1"/>
          <w:spacing w:val="2"/>
          <w:kern w:val="21"/>
          <w:sz w:val="24"/>
          <w:szCs w:val="24"/>
          <w14:textFill>
            <w14:solidFill>
              <w14:schemeClr w14:val="tx1"/>
            </w14:solidFill>
          </w14:textFill>
        </w:rPr>
        <w:t>A.4不确定度分量的评定</w:t>
      </w:r>
    </w:p>
    <w:p w14:paraId="3FC884C1">
      <w:pPr>
        <w:keepNext w:val="0"/>
        <w:keepLines w:val="0"/>
        <w:pageBreakBefore w:val="0"/>
        <w:kinsoku/>
        <w:wordWrap/>
        <w:topLinePunct w:val="0"/>
        <w:bidi w:val="0"/>
        <w:adjustRightInd w:val="0"/>
        <w:snapToGrid w:val="0"/>
        <w:spacing w:line="336" w:lineRule="auto"/>
        <w:jc w:val="left"/>
        <w:rPr>
          <w:rFonts w:hint="default" w:ascii="Times New Roman" w:hAnsi="Times New Roman" w:eastAsia="宋体" w:cs="Times New Roman"/>
          <w:color w:val="000000" w:themeColor="text1"/>
          <w:spacing w:val="2"/>
          <w:kern w:val="21"/>
          <w:sz w:val="24"/>
          <w:szCs w:val="24"/>
          <w14:textFill>
            <w14:solidFill>
              <w14:schemeClr w14:val="tx1"/>
            </w14:solidFill>
          </w14:textFill>
        </w:rPr>
      </w:pPr>
      <w:r>
        <w:rPr>
          <w:rFonts w:hint="default" w:ascii="Times New Roman" w:hAnsi="Times New Roman" w:eastAsia="宋体" w:cs="Times New Roman"/>
          <w:color w:val="000000" w:themeColor="text1"/>
          <w:spacing w:val="2"/>
          <w:kern w:val="21"/>
          <w:sz w:val="24"/>
          <w:szCs w:val="24"/>
          <w14:textFill>
            <w14:solidFill>
              <w14:schemeClr w14:val="tx1"/>
            </w14:solidFill>
          </w14:textFill>
        </w:rPr>
        <w:t>A.4.1</w:t>
      </w:r>
      <w:r>
        <w:rPr>
          <w:rFonts w:hint="default" w:ascii="Times New Roman" w:hAnsi="Times New Roman" w:eastAsia="宋体" w:cs="Times New Roman"/>
          <w:color w:val="000000" w:themeColor="text1"/>
          <w:spacing w:val="2"/>
          <w:kern w:val="21"/>
          <w:sz w:val="24"/>
          <w:szCs w:val="24"/>
          <w:lang w:val="en-US"/>
          <w14:textFill>
            <w14:solidFill>
              <w14:schemeClr w14:val="tx1"/>
            </w14:solidFill>
          </w14:textFill>
        </w:rPr>
        <w:t xml:space="preserve">  </w:t>
      </w:r>
      <w:r>
        <w:rPr>
          <w:rFonts w:hint="default" w:ascii="Times New Roman" w:hAnsi="Times New Roman" w:eastAsia="宋体" w:cs="Times New Roman"/>
          <w:color w:val="000000" w:themeColor="text1"/>
          <w:spacing w:val="2"/>
          <w:kern w:val="21"/>
          <w:sz w:val="24"/>
          <w:szCs w:val="24"/>
          <w14:textFill>
            <w14:solidFill>
              <w14:schemeClr w14:val="tx1"/>
            </w14:solidFill>
          </w14:textFill>
        </w:rPr>
        <w:t>自动反应</w:t>
      </w:r>
      <w:r>
        <w:rPr>
          <w:rFonts w:hint="default" w:ascii="Times New Roman" w:hAnsi="Times New Roman" w:eastAsia="宋体" w:cs="Times New Roman"/>
          <w:color w:val="000000" w:themeColor="text1"/>
          <w:sz w:val="24"/>
          <w:szCs w:val="24"/>
          <w14:textFill>
            <w14:solidFill>
              <w14:schemeClr w14:val="tx1"/>
            </w14:solidFill>
          </w14:textFill>
        </w:rPr>
        <w:t>量热仪反应热重复性引入的相对不确定度分量</w:t>
      </w:r>
    </w:p>
    <w:p w14:paraId="507B010B">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对反应热相对误差进行3次测量试验，三次相对误差分别为</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0.85％, 0.82％, 0.91％，采用极差法计算单次试验标准偏差为：</w:t>
      </w: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0.91%−0.82%</m:t>
            </m:r>
            <m:ctrlPr>
              <w:rPr>
                <w:rFonts w:hint="default" w:ascii="Cambria Math" w:hAnsi="Cambria Math" w:eastAsia="宋体" w:cs="Times New Roman"/>
                <w:i/>
                <w:color w:val="000000" w:themeColor="text1"/>
                <w:sz w:val="24"/>
                <w:szCs w:val="24"/>
                <w14:textFill>
                  <w14:solidFill>
                    <w14:schemeClr w14:val="tx1"/>
                  </w14:solidFill>
                </w14:textFill>
              </w:rPr>
            </m:ctrlPr>
          </m:num>
          <m:den>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1.69</m:t>
            </m:r>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=0.06%</m:t>
        </m:r>
      </m:oMath>
      <w:r>
        <w:rPr>
          <w:rFonts w:hint="default" w:ascii="Times New Roman" w:hAnsi="Times New Roman" w:eastAsia="宋体" w:cs="Times New Roman"/>
          <w:color w:val="000000" w:themeColor="text1"/>
          <w:sz w:val="24"/>
          <w:szCs w:val="24"/>
          <w14:textFill>
            <w14:solidFill>
              <w14:schemeClr w14:val="tx1"/>
            </w14:solidFill>
          </w14:textFill>
        </w:rPr>
        <w:t>，反应热重复性引入的相对不确定度分量为：</w:t>
      </w:r>
    </w:p>
    <w:p w14:paraId="24E67C9A">
      <w:pPr>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color w:val="000000" w:themeColor="text1"/>
          <w:sz w:val="24"/>
          <w:szCs w:val="24"/>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=0.06%</m:t>
          </m:r>
        </m:oMath>
      </m:oMathPara>
    </w:p>
    <w:p w14:paraId="552909F1">
      <w:pPr>
        <w:keepNext w:val="0"/>
        <w:keepLines w:val="0"/>
        <w:pageBreakBefore w:val="0"/>
        <w:kinsoku/>
        <w:wordWrap/>
        <w:topLinePunct w:val="0"/>
        <w:bidi w:val="0"/>
        <w:adjustRightInd w:val="0"/>
        <w:snapToGrid w:val="0"/>
        <w:spacing w:line="336" w:lineRule="auto"/>
        <w:jc w:val="left"/>
        <w:rPr>
          <w:rFonts w:hint="default" w:ascii="Times New Roman" w:hAnsi="Times New Roman" w:eastAsia="宋体" w:cs="Times New Roman"/>
          <w:color w:val="000000" w:themeColor="text1"/>
          <w:spacing w:val="2"/>
          <w:kern w:val="21"/>
          <w:sz w:val="24"/>
          <w:szCs w:val="24"/>
          <w14:textFill>
            <w14:solidFill>
              <w14:schemeClr w14:val="tx1"/>
            </w14:solidFill>
          </w14:textFill>
        </w:rPr>
      </w:pPr>
      <w:r>
        <w:rPr>
          <w:rFonts w:hint="default" w:ascii="Times New Roman" w:hAnsi="Times New Roman" w:eastAsia="宋体" w:cs="Times New Roman"/>
          <w:color w:val="000000" w:themeColor="text1"/>
          <w:spacing w:val="2"/>
          <w:kern w:val="21"/>
          <w:sz w:val="24"/>
          <w:szCs w:val="24"/>
          <w14:textFill>
            <w14:solidFill>
              <w14:schemeClr w14:val="tx1"/>
            </w14:solidFill>
          </w14:textFill>
        </w:rPr>
        <w:t>A.4.2</w:t>
      </w:r>
      <w:r>
        <w:rPr>
          <w:rFonts w:hint="default" w:ascii="Times New Roman" w:hAnsi="Times New Roman" w:eastAsia="宋体" w:cs="Times New Roman"/>
          <w:color w:val="000000" w:themeColor="text1"/>
          <w:spacing w:val="2"/>
          <w:kern w:val="21"/>
          <w:sz w:val="24"/>
          <w:szCs w:val="24"/>
          <w:lang w:val="en-US"/>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标准直流电源引入的相对不确定度分量</w:t>
      </w:r>
    </w:p>
    <w:p w14:paraId="6D3D2901">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position w:val="-34"/>
          <w:sz w:val="24"/>
          <w:szCs w:val="24"/>
          <w:highlight w:val="yellow"/>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标准直流电源引入的相对不确定度分量可进一步写为：</w:t>
      </w:r>
    </w:p>
    <w:p w14:paraId="17461094">
      <w:pPr>
        <w:pStyle w:val="32"/>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cs="Times New Roman"/>
                    <w:i/>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w:rPr>
                    <w:rFonts w:hint="default" w:ascii="Cambria Math" w:hAnsi="Cambria Math" w:cs="Times New Roman"/>
                    <w:color w:val="000000" w:themeColor="text1"/>
                    <w:sz w:val="24"/>
                    <w:szCs w:val="24"/>
                    <w:lang w:val="en-US" w:eastAsia="zh-CN"/>
                    <w14:textFill>
                      <w14:solidFill>
                        <w14:schemeClr w14:val="tx1"/>
                      </w14:solidFill>
                    </w14:textFill>
                  </w:rPr>
                  <m:t>r</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r>
          <m:rPr/>
          <w:rPr>
            <w:rFonts w:hint="default" w:ascii="Cambria Math" w:hAnsi="Cambria Math" w:cs="Times New Roman"/>
            <w:color w:val="000000" w:themeColor="text1"/>
            <w:sz w:val="24"/>
            <w:szCs w:val="24"/>
            <w:lang w:val="en-US" w:eastAsia="zh-CN"/>
            <w14:textFill>
              <w14:solidFill>
                <w14:schemeClr w14:val="tx1"/>
              </w14:solidFill>
            </w14:textFill>
          </w:rPr>
          <m:t>=</m:t>
        </m:r>
        <m:rad>
          <m:radPr>
            <m:degHide m:val="1"/>
            <m:ctrlPr>
              <w:rPr>
                <w:rFonts w:hint="default" w:ascii="Cambria Math" w:hAnsi="Cambria Math" w:eastAsia="宋体" w:cs="Times New Roman"/>
                <w:i/>
                <w:color w:val="000000" w:themeColor="text1"/>
                <w:sz w:val="24"/>
                <w:szCs w:val="24"/>
                <w:lang w:val="en-US"/>
                <w14:textFill>
                  <w14:solidFill>
                    <w14:schemeClr w14:val="tx1"/>
                  </w14:solidFill>
                </w14:textFill>
              </w:rPr>
            </m:ctrlPr>
          </m:radPr>
          <m:deg>
            <m:ctrlPr>
              <w:rPr>
                <w:rFonts w:hint="default" w:ascii="Cambria Math" w:hAnsi="Cambria Math" w:eastAsia="宋体" w:cs="Times New Roman"/>
                <w:i/>
                <w:color w:val="000000" w:themeColor="text1"/>
                <w:sz w:val="24"/>
                <w:szCs w:val="24"/>
                <w:lang w:val="en-US"/>
                <w14:textFill>
                  <w14:solidFill>
                    <w14:schemeClr w14:val="tx1"/>
                  </w14:solidFill>
                </w14:textFill>
              </w:rPr>
            </m:ctrlPr>
          </m:deg>
          <m:e>
            <m:f>
              <m:fP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fPr>
              <m:num>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cs="Times New Roman"/>
                        <w:i/>
                        <w:color w:val="000000" w:themeColor="text1"/>
                        <w:sz w:val="24"/>
                        <w:szCs w:val="24"/>
                        <w:lang w:val="en-US" w:eastAsia="zh-CN"/>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cs="Times New Roman"/>
                        <w:i/>
                        <w:color w:val="000000" w:themeColor="text1"/>
                        <w:sz w:val="24"/>
                        <w:szCs w:val="24"/>
                        <w:lang w:val="en-US" w:eastAsia="zh-CN"/>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fPr>
              <m:num>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cs="Times New Roman"/>
                        <w:i/>
                        <w:color w:val="000000" w:themeColor="text1"/>
                        <w:sz w:val="24"/>
                        <w:szCs w:val="24"/>
                        <w:lang w:val="en-US" w:eastAsia="zh-CN"/>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cs="Times New Roman"/>
                        <w:i/>
                        <w:color w:val="000000" w:themeColor="text1"/>
                        <w:sz w:val="24"/>
                        <w:szCs w:val="24"/>
                        <w:lang w:val="en-US" w:eastAsia="zh-CN"/>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w:rPr>
                        <w:rFonts w:hint="default" w:ascii="Cambria Math" w:hAnsi="Cambria Math" w:cs="Times New Roman"/>
                        <w:color w:val="000000" w:themeColor="text1"/>
                        <w:sz w:val="24"/>
                        <w:szCs w:val="24"/>
                        <w:lang w:val="en-US" w:eastAsia="zh-CN"/>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den>
            </m:f>
            <m:r>
              <m:rPr>
                <m:sty m:val="p"/>
              </m:rPr>
              <w:rPr>
                <w:rFonts w:hint="default" w:ascii="Cambria Math" w:hAnsi="Cambria Math" w:cs="Times New Roman"/>
                <w:color w:val="000000" w:themeColor="text1"/>
                <w:sz w:val="24"/>
                <w:szCs w:val="24"/>
                <w:lang w:val="en-US" w:eastAsia="zh-CN"/>
                <w14:textFill>
                  <w14:solidFill>
                    <w14:schemeClr w14:val="tx1"/>
                  </w14:solidFill>
                </w14:textFill>
              </w:rPr>
              <m:t>+</m:t>
            </m:r>
            <m:f>
              <m:fP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fPr>
              <m:num>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sty m:val="p"/>
                  </m:rPr>
                  <w:rPr>
                    <w:rFonts w:hint="default" w:ascii="Cambria Math" w:hAnsi="Cambria Math" w:cs="Times New Roman"/>
                    <w:b w:val="0"/>
                    <w:i w:val="0"/>
                    <w:color w:val="000000" w:themeColor="text1"/>
                    <w:sz w:val="24"/>
                    <w:szCs w:val="24"/>
                    <w:lang w:val="en-US" w:eastAsia="zh-CN"/>
                    <w14:textFill>
                      <w14:solidFill>
                        <w14:schemeClr w14:val="tx1"/>
                      </w14:solidFill>
                    </w14:textFill>
                  </w:rPr>
                  <m:t>t</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num>
              <m:den>
                <m:r>
                  <m:rPr>
                    <m:sty m:val="p"/>
                  </m:rPr>
                  <w:rPr>
                    <w:rFonts w:hint="default" w:ascii="Cambria Math" w:hAnsi="Cambria Math" w:cs="Times New Roman"/>
                    <w:color w:val="000000" w:themeColor="text1"/>
                    <w:sz w:val="24"/>
                    <w:szCs w:val="24"/>
                    <w:lang w:val="en-US" w:eastAsia="zh-CN"/>
                    <w14:textFill>
                      <w14:solidFill>
                        <w14:schemeClr w14:val="tx1"/>
                      </w14:solidFill>
                    </w14:textFill>
                  </w:rPr>
                  <m:t>t</m:t>
                </m:r>
                <m:ctrlPr>
                  <w:rPr>
                    <w:rFonts w:hint="default" w:ascii="Cambria Math" w:hAnsi="Cambria Math" w:eastAsia="宋体" w:cs="Times New Roman"/>
                    <w:b w:val="0"/>
                    <w:i w:val="0"/>
                    <w:color w:val="000000" w:themeColor="text1"/>
                    <w:sz w:val="24"/>
                    <w:szCs w:val="24"/>
                    <w:lang w:val="en-US"/>
                    <w14:textFill>
                      <w14:solidFill>
                        <w14:schemeClr w14:val="tx1"/>
                      </w14:solidFill>
                    </w14:textFill>
                  </w:rPr>
                </m:ctrlPr>
              </m:den>
            </m:f>
            <m:ctrlPr>
              <w:rPr>
                <w:rFonts w:hint="default" w:ascii="Cambria Math" w:hAnsi="Cambria Math" w:eastAsia="宋体" w:cs="Times New Roman"/>
                <w:i/>
                <w:color w:val="000000" w:themeColor="text1"/>
                <w:sz w:val="24"/>
                <w:szCs w:val="24"/>
                <w:lang w:val="en-US"/>
                <w14:textFill>
                  <w14:solidFill>
                    <w14:schemeClr w14:val="tx1"/>
                  </w14:solidFill>
                </w14:textFill>
              </w:rPr>
            </m:ctrlPr>
          </m:e>
        </m:rad>
      </m:oMath>
      <w:r>
        <w:rPr>
          <w:rFonts w:hint="eastAsia" w:hAnsi="DejaVu Math TeX Gyre" w:cs="Times New Roman"/>
          <w:i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(A.8)</w:t>
      </w:r>
    </w:p>
    <w:p w14:paraId="54C966A0">
      <w:pPr>
        <w:keepNext w:val="0"/>
        <w:keepLines w:val="0"/>
        <w:pageBreakBefore w:val="0"/>
        <w:kinsoku/>
        <w:wordWrap/>
        <w:topLinePunct w:val="0"/>
        <w:bidi w:val="0"/>
        <w:adjustRightInd w:val="0"/>
        <w:snapToGrid w:val="0"/>
        <w:spacing w:line="336" w:lineRule="auto"/>
        <w:ind w:firstLine="48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式中：</w:t>
      </w:r>
    </w:p>
    <w:p w14:paraId="30E6A0F4">
      <w:pPr>
        <w:keepNext w:val="0"/>
        <w:keepLines w:val="0"/>
        <w:pageBreakBefore w:val="0"/>
        <w:kinsoku/>
        <w:wordWrap/>
        <w:topLinePunct w:val="0"/>
        <w:bidi w:val="0"/>
        <w:adjustRightInd w:val="0"/>
        <w:snapToGrid w:val="0"/>
        <w:spacing w:line="336" w:lineRule="auto"/>
        <w:ind w:firstLine="480"/>
        <w:jc w:val="left"/>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w:r>
        <w:rPr>
          <w:rFonts w:hint="default" w:ascii="Times New Roman" w:hAnsi="Times New Roman" w:eastAsia="宋体" w:cs="Times New Roman"/>
          <w:color w:val="000000" w:themeColor="text1"/>
          <w:sz w:val="24"/>
          <w:szCs w:val="24"/>
          <w14:textFill>
            <w14:solidFill>
              <w14:schemeClr w14:val="tx1"/>
            </w14:solidFill>
          </w14:textFill>
        </w:rPr>
        <w:t>——测量电压引入的相对不确定度分量；</w:t>
      </w:r>
    </w:p>
    <w:p w14:paraId="783D39C0">
      <w:pPr>
        <w:keepNext w:val="0"/>
        <w:keepLines w:val="0"/>
        <w:pageBreakBefore w:val="0"/>
        <w:kinsoku/>
        <w:wordWrap/>
        <w:topLinePunct w:val="0"/>
        <w:bidi w:val="0"/>
        <w:adjustRightInd w:val="0"/>
        <w:snapToGrid w:val="0"/>
        <w:spacing w:line="336"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w:r>
        <w:rPr>
          <w:rFonts w:hint="default" w:ascii="Times New Roman" w:hAnsi="Times New Roman" w:eastAsia="宋体" w:cs="Times New Roman"/>
          <w:color w:val="000000" w:themeColor="text1"/>
          <w:sz w:val="24"/>
          <w:szCs w:val="24"/>
          <w14:textFill>
            <w14:solidFill>
              <w14:schemeClr w14:val="tx1"/>
            </w14:solidFill>
          </w14:textFill>
        </w:rPr>
        <w:t>——测量电流引入的相对不确定度分量；</w:t>
      </w:r>
    </w:p>
    <w:p w14:paraId="385FD60A">
      <w:pPr>
        <w:keepNext w:val="0"/>
        <w:keepLines w:val="0"/>
        <w:pageBreakBefore w:val="0"/>
        <w:kinsoku/>
        <w:wordWrap/>
        <w:topLinePunct w:val="0"/>
        <w:bidi w:val="0"/>
        <w:adjustRightInd w:val="0"/>
        <w:snapToGrid w:val="0"/>
        <w:spacing w:line="336" w:lineRule="auto"/>
        <w:ind w:firstLine="480"/>
        <w:jc w:val="left"/>
        <w:rPr>
          <w:rFonts w:hint="default" w:ascii="Times New Roman" w:hAnsi="Times New Roman" w:eastAsia="宋体" w:cs="Times New Roman"/>
          <w:color w:val="000000" w:themeColor="text1"/>
          <w:sz w:val="24"/>
          <w:szCs w:val="24"/>
          <w14:textFill>
            <w14:solidFill>
              <w14:schemeClr w14:val="tx1"/>
            </w14:solidFill>
          </w14:textFill>
        </w:rPr>
      </w:pPr>
      <m:oMath>
        <m:f>
          <m:fPr>
            <m:ctrlPr>
              <w:rPr>
                <w:rFonts w:hint="default" w:ascii="DejaVu Math TeX Gyre" w:hAnsi="DejaVu Math TeX Gyre" w:eastAsia="宋体" w:cs="Times New Roman"/>
                <w:i/>
                <w:color w:val="000000" w:themeColor="text1"/>
                <w:sz w:val="24"/>
                <w:szCs w:val="24"/>
                <w14:textFill>
                  <w14:solidFill>
                    <w14:schemeClr w14:val="tx1"/>
                  </w14:solidFill>
                </w14:textFill>
              </w:rPr>
            </m:ctrlPr>
          </m:fPr>
          <m:num>
            <m:r>
              <m:rPr>
                <m:nor/>
              </m:rPr>
              <w:rPr>
                <w:rFonts w:hint="default" w:ascii="DejaVu Math TeX Gyre" w:hAnsi="DejaVu Math TeX Gyre" w:eastAsia="宋体" w:cs="Times New Roman"/>
                <w:i/>
                <w:color w:val="000000" w:themeColor="text1"/>
                <w:sz w:val="24"/>
                <w:szCs w:val="24"/>
                <w:lang w:val="en-US"/>
                <w14:textFill>
                  <w14:solidFill>
                    <w14:schemeClr w14:val="tx1"/>
                  </w14:solidFill>
                </w14:textFill>
              </w:rPr>
              <m:t>u</m:t>
            </m:r>
            <m:r>
              <m:rPr>
                <m:nor/>
                <m:sty m:val="p"/>
              </m:rPr>
              <w:rPr>
                <w:rFonts w:hint="default" w:ascii="DejaVu Math TeX Gyre" w:hAnsi="DejaVu Math TeX Gyre" w:eastAsia="宋体" w:cs="Times New Roman"/>
                <w:b w:val="0"/>
                <w:i w:val="0"/>
                <w:color w:val="000000" w:themeColor="text1"/>
                <w:sz w:val="24"/>
                <w:szCs w:val="24"/>
                <w:lang w:val="en-US"/>
                <w14:textFill>
                  <w14:solidFill>
                    <w14:schemeClr w14:val="tx1"/>
                  </w14:solidFill>
                </w14:textFill>
              </w:rPr>
              <m:t>(</m:t>
            </m:r>
            <m:r>
              <m:rPr>
                <m:nor/>
              </m:rPr>
              <w:rPr>
                <w:rFonts w:hint="default" w:ascii="DejaVu Math TeX Gyre" w:hAnsi="DejaVu Math TeX Gyre" w:eastAsia="宋体" w:cs="Times New Roman"/>
                <w:i/>
                <w:color w:val="000000" w:themeColor="text1"/>
                <w:sz w:val="24"/>
                <w:szCs w:val="24"/>
                <w:lang w:val="en-US"/>
                <w14:textFill>
                  <w14:solidFill>
                    <w14:schemeClr w14:val="tx1"/>
                  </w14:solidFill>
                </w14:textFill>
              </w:rPr>
              <m:t>t</m:t>
            </m:r>
            <m:r>
              <m:rPr>
                <m:nor/>
                <m:sty m:val="p"/>
              </m:rPr>
              <w:rPr>
                <w:rFonts w:hint="default" w:ascii="DejaVu Math TeX Gyre" w:hAnsi="DejaVu Math TeX Gyre" w:eastAsia="宋体" w:cs="Times New Roman"/>
                <w:b w:val="0"/>
                <w:i w:val="0"/>
                <w:color w:val="000000" w:themeColor="text1"/>
                <w:sz w:val="24"/>
                <w:szCs w:val="24"/>
                <w:lang w:val="en-US"/>
                <w14:textFill>
                  <w14:solidFill>
                    <w14:schemeClr w14:val="tx1"/>
                  </w14:solidFill>
                </w14:textFill>
              </w:rPr>
              <m:t>)</m:t>
            </m:r>
            <m:ctrlPr>
              <w:rPr>
                <w:rFonts w:hint="default" w:ascii="DejaVu Math TeX Gyre" w:hAnsi="DejaVu Math TeX Gyre" w:eastAsia="宋体" w:cs="Times New Roman"/>
                <w:i/>
                <w:color w:val="000000" w:themeColor="text1"/>
                <w:sz w:val="24"/>
                <w:szCs w:val="24"/>
                <w14:textFill>
                  <w14:solidFill>
                    <w14:schemeClr w14:val="tx1"/>
                  </w14:solidFill>
                </w14:textFill>
              </w:rPr>
            </m:ctrlPr>
          </m:num>
          <m:den>
            <m:r>
              <m:rPr>
                <m:nor/>
              </m:rPr>
              <w:rPr>
                <w:rFonts w:hint="default" w:ascii="DejaVu Math TeX Gyre" w:hAnsi="DejaVu Math TeX Gyre" w:eastAsia="宋体" w:cs="Times New Roman"/>
                <w:i/>
                <w:color w:val="000000" w:themeColor="text1"/>
                <w:sz w:val="24"/>
                <w:szCs w:val="24"/>
                <w:lang w:val="en-US"/>
                <w14:textFill>
                  <w14:solidFill>
                    <w14:schemeClr w14:val="tx1"/>
                  </w14:solidFill>
                </w14:textFill>
              </w:rPr>
              <m:t>t</m:t>
            </m:r>
            <m:ctrlPr>
              <w:rPr>
                <w:rFonts w:hint="default" w:ascii="DejaVu Math TeX Gyre" w:hAnsi="DejaVu Math TeX Gyre" w:eastAsia="宋体" w:cs="Times New Roman"/>
                <w:i/>
                <w:color w:val="000000" w:themeColor="text1"/>
                <w:sz w:val="24"/>
                <w:szCs w:val="24"/>
                <w14:textFill>
                  <w14:solidFill>
                    <w14:schemeClr w14:val="tx1"/>
                  </w14:solidFill>
                </w14:textFill>
              </w:rPr>
            </m:ctrlPr>
          </m:den>
        </m:f>
      </m:oMath>
      <w:r>
        <w:rPr>
          <w:rFonts w:hint="default" w:ascii="Times New Roman" w:hAnsi="Times New Roman" w:eastAsia="宋体" w:cs="Times New Roman"/>
          <w:color w:val="000000" w:themeColor="text1"/>
          <w:sz w:val="24"/>
          <w:szCs w:val="24"/>
          <w14:textFill>
            <w14:solidFill>
              <w14:schemeClr w14:val="tx1"/>
            </w14:solidFill>
          </w14:textFill>
        </w:rPr>
        <w:t>——积分时间引入的相对不确定度分量。</w:t>
      </w:r>
    </w:p>
    <w:p w14:paraId="53CBB384">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根据电压最大允许误差</w:t>
      </w:r>
      <w:r>
        <w:rPr>
          <w:rFonts w:hint="default" w:ascii="Times New Roman" w:hAnsi="Times New Roman" w:eastAsia="宋体" w:cs="Times New Roman"/>
          <w:bCs/>
          <w:color w:val="000000" w:themeColor="text1"/>
          <w:sz w:val="24"/>
          <w:szCs w:val="24"/>
          <w14:textFill>
            <w14:solidFill>
              <w14:schemeClr w14:val="tx1"/>
            </w14:solidFill>
          </w14:textFill>
        </w:rPr>
        <w:t>0.</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14:textFill>
            <w14:solidFill>
              <w14:schemeClr w14:val="tx1"/>
            </w14:solidFill>
          </w14:textFill>
        </w:rPr>
        <w:t>%，电流</w:t>
      </w:r>
      <w:r>
        <w:rPr>
          <w:rFonts w:hint="default" w:ascii="Times New Roman" w:hAnsi="Times New Roman" w:eastAsia="宋体" w:cs="Times New Roman"/>
          <w:color w:val="000000" w:themeColor="text1"/>
          <w:sz w:val="24"/>
          <w:szCs w:val="24"/>
          <w14:textFill>
            <w14:solidFill>
              <w14:schemeClr w14:val="tx1"/>
            </w14:solidFill>
          </w14:textFill>
        </w:rPr>
        <w:t>最大允许误差</w:t>
      </w:r>
      <w:r>
        <w:rPr>
          <w:rFonts w:hint="default" w:ascii="Times New Roman" w:hAnsi="Times New Roman" w:eastAsia="宋体" w:cs="Times New Roman"/>
          <w:bCs/>
          <w:color w:val="000000" w:themeColor="text1"/>
          <w:sz w:val="24"/>
          <w:szCs w:val="24"/>
          <w14:textFill>
            <w14:solidFill>
              <w14:schemeClr w14:val="tx1"/>
            </w14:solidFill>
          </w14:textFill>
        </w:rPr>
        <w:t>0.</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14:textFill>
            <w14:solidFill>
              <w14:schemeClr w14:val="tx1"/>
            </w14:solidFill>
          </w14:textFill>
        </w:rPr>
        <w:t>%，按照</w:t>
      </w:r>
      <w:r>
        <w:rPr>
          <w:rFonts w:hint="default" w:ascii="Times New Roman" w:hAnsi="Times New Roman" w:eastAsia="宋体" w:cs="Times New Roman"/>
          <w:color w:val="000000" w:themeColor="text1"/>
          <w:sz w:val="24"/>
          <w:szCs w:val="24"/>
          <w14:textFill>
            <w14:solidFill>
              <w14:schemeClr w14:val="tx1"/>
            </w14:solidFill>
          </w14:textFill>
        </w:rPr>
        <w:t>均匀分布，置信因子</w:t>
      </w:r>
      <w:r>
        <w:rPr>
          <w:rFonts w:hint="default" w:ascii="Times New Roman" w:hAnsi="Times New Roman" w:eastAsia="宋体" w:cs="Times New Roman"/>
          <w:color w:val="000000" w:themeColor="text1"/>
          <w:position w:val="-8"/>
          <w:sz w:val="24"/>
          <w:szCs w:val="24"/>
          <w14:textFill>
            <w14:solidFill>
              <w14:schemeClr w14:val="tx1"/>
            </w14:solidFill>
          </w14:textFill>
        </w:rPr>
        <w:object>
          <v:shape id="_x0000_i1047" o:spt="75" type="#_x0000_t75" style="height:17.25pt;width:36.75pt;" o:ole="t" filled="f" o:preferrelative="t" stroked="f" coordsize="21600,21600">
            <v:path/>
            <v:fill on="f" focussize="0,0"/>
            <v:stroke on="f" joinstyle="miter"/>
            <v:imagedata r:id="rId55" o:title=""/>
            <o:lock v:ext="edit" aspectratio="t"/>
            <w10:wrap type="none"/>
            <w10:anchorlock/>
          </v:shape>
          <o:OLEObject Type="Embed" ProgID="Equation.3" ShapeID="_x0000_i1047" DrawAspect="Content" ObjectID="_1468075747" r:id="rId54">
            <o:LockedField>false</o:LockedField>
          </o:OLEObject>
        </w:object>
      </w:r>
      <w:r>
        <w:rPr>
          <w:rFonts w:hint="default" w:ascii="Times New Roman" w:hAnsi="Times New Roman" w:eastAsia="宋体" w:cs="Times New Roman"/>
          <w:color w:val="000000" w:themeColor="text1"/>
          <w:sz w:val="24"/>
          <w:szCs w:val="24"/>
          <w14:textFill>
            <w14:solidFill>
              <w14:schemeClr w14:val="tx1"/>
            </w14:solidFill>
          </w14:textFill>
        </w:rPr>
        <w:t>，则测量电压引入的相对不确定度分量与测量电流引入的相对不确定度分量分别为：</w:t>
      </w:r>
    </w:p>
    <w:p w14:paraId="40B13A22">
      <w:pPr>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i w:val="0"/>
          <w:color w:val="000000" w:themeColor="text1"/>
          <w:sz w:val="24"/>
          <w:szCs w:val="24"/>
          <w:lang w:val="en-US"/>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0.5%</m:t>
              </m:r>
              <m:ctrlPr>
                <w:rPr>
                  <w:rFonts w:hint="default" w:ascii="Cambria Math" w:hAnsi="Cambria Math" w:eastAsia="宋体" w:cs="Times New Roman"/>
                  <w:i/>
                  <w:color w:val="000000" w:themeColor="text1"/>
                  <w:sz w:val="24"/>
                  <w:szCs w:val="24"/>
                  <w14:textFill>
                    <w14:solidFill>
                      <w14:schemeClr w14:val="tx1"/>
                    </w14:solidFill>
                  </w14:textFill>
                </w:rPr>
              </m:ctrlPr>
            </m:num>
            <m:den>
              <m:rad>
                <m:radPr>
                  <m:degHide m:val="1"/>
                  <m:ctrlPr>
                    <w:rPr>
                      <w:rFonts w:hint="default" w:ascii="Cambria Math" w:hAnsi="Cambria Math" w:eastAsia="宋体" w:cs="Times New Roman"/>
                      <w:i/>
                      <w:color w:val="000000" w:themeColor="text1"/>
                      <w:sz w:val="24"/>
                      <w:szCs w:val="24"/>
                      <w14:textFill>
                        <w14:solidFill>
                          <w14:schemeClr w14:val="tx1"/>
                        </w14:solidFill>
                      </w14:textFill>
                    </w:rPr>
                  </m:ctrlPr>
                </m:radPr>
                <m:deg>
                  <m:ctrlPr>
                    <w:rPr>
                      <w:rFonts w:hint="default" w:ascii="Cambria Math" w:hAnsi="Cambria Math" w:eastAsia="宋体" w:cs="Times New Roman"/>
                      <w:i/>
                      <w:color w:val="000000" w:themeColor="text1"/>
                      <w:sz w:val="24"/>
                      <w:szCs w:val="24"/>
                      <w14:textFill>
                        <w14:solidFill>
                          <w14:schemeClr w14:val="tx1"/>
                        </w14:solidFill>
                      </w14:textFill>
                    </w:rPr>
                  </m:ctrlPr>
                </m:deg>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3</m:t>
                  </m:r>
                  <m:ctrlPr>
                    <w:rPr>
                      <w:rFonts w:hint="default" w:ascii="Cambria Math" w:hAnsi="Cambria Math" w:eastAsia="宋体" w:cs="Times New Roman"/>
                      <w:i/>
                      <w:color w:val="000000" w:themeColor="text1"/>
                      <w:sz w:val="24"/>
                      <w:szCs w:val="24"/>
                      <w14:textFill>
                        <w14:solidFill>
                          <w14:schemeClr w14:val="tx1"/>
                        </w14:solidFill>
                      </w14:textFill>
                    </w:rPr>
                  </m:ctrlPr>
                </m:e>
              </m:rad>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=0.29%</m:t>
          </m:r>
        </m:oMath>
      </m:oMathPara>
    </w:p>
    <w:p w14:paraId="1BDE97B0">
      <w:pPr>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bCs/>
          <w:color w:val="000000" w:themeColor="text1"/>
          <w:sz w:val="24"/>
          <w:szCs w:val="24"/>
          <w14:textFill>
            <w14:solidFill>
              <w14:schemeClr w14:val="tx1"/>
            </w14:solidFill>
          </w14:textFill>
        </w:rPr>
      </w:pPr>
      <m:oMathPara>
        <m:oMathParaPr>
          <m:jc m:val="center"/>
        </m:oMathParaPr>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0.5%</m:t>
              </m:r>
              <m:ctrlPr>
                <w:rPr>
                  <w:rFonts w:hint="default" w:ascii="Cambria Math" w:hAnsi="Cambria Math" w:eastAsia="宋体" w:cs="Times New Roman"/>
                  <w:i/>
                  <w:color w:val="000000" w:themeColor="text1"/>
                  <w:sz w:val="24"/>
                  <w:szCs w:val="24"/>
                  <w14:textFill>
                    <w14:solidFill>
                      <w14:schemeClr w14:val="tx1"/>
                    </w14:solidFill>
                  </w14:textFill>
                </w:rPr>
              </m:ctrlPr>
            </m:num>
            <m:den>
              <m:rad>
                <m:radPr>
                  <m:degHide m:val="1"/>
                  <m:ctrlPr>
                    <w:rPr>
                      <w:rFonts w:hint="default" w:ascii="Cambria Math" w:hAnsi="Cambria Math" w:eastAsia="宋体" w:cs="Times New Roman"/>
                      <w:i/>
                      <w:color w:val="000000" w:themeColor="text1"/>
                      <w:sz w:val="24"/>
                      <w:szCs w:val="24"/>
                      <w14:textFill>
                        <w14:solidFill>
                          <w14:schemeClr w14:val="tx1"/>
                        </w14:solidFill>
                      </w14:textFill>
                    </w:rPr>
                  </m:ctrlPr>
                </m:radPr>
                <m:deg>
                  <m:ctrlPr>
                    <w:rPr>
                      <w:rFonts w:hint="default" w:ascii="Cambria Math" w:hAnsi="Cambria Math" w:eastAsia="宋体" w:cs="Times New Roman"/>
                      <w:i/>
                      <w:color w:val="000000" w:themeColor="text1"/>
                      <w:sz w:val="24"/>
                      <w:szCs w:val="24"/>
                      <w14:textFill>
                        <w14:solidFill>
                          <w14:schemeClr w14:val="tx1"/>
                        </w14:solidFill>
                      </w14:textFill>
                    </w:rPr>
                  </m:ctrlPr>
                </m:deg>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3</m:t>
                  </m:r>
                  <m:ctrlPr>
                    <w:rPr>
                      <w:rFonts w:hint="default" w:ascii="Cambria Math" w:hAnsi="Cambria Math" w:eastAsia="宋体" w:cs="Times New Roman"/>
                      <w:i/>
                      <w:color w:val="000000" w:themeColor="text1"/>
                      <w:sz w:val="24"/>
                      <w:szCs w:val="24"/>
                      <w14:textFill>
                        <w14:solidFill>
                          <w14:schemeClr w14:val="tx1"/>
                        </w14:solidFill>
                      </w14:textFill>
                    </w:rPr>
                  </m:ctrlPr>
                </m:e>
              </m:rad>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=0.29%</m:t>
          </m:r>
        </m:oMath>
      </m:oMathPara>
    </w:p>
    <w:p w14:paraId="36E3C906">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标准时钟的示值误差小于1s，标准直流电源输出时间为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z w:val="24"/>
          <w:szCs w:val="24"/>
          <w14:textFill>
            <w14:solidFill>
              <w14:schemeClr w14:val="tx1"/>
            </w14:solidFill>
          </w14:textFill>
        </w:rPr>
        <w:t>00s时，</w:t>
      </w:r>
      <w:r>
        <w:rPr>
          <w:rFonts w:hint="default" w:ascii="Times New Roman" w:hAnsi="Times New Roman" w:eastAsia="宋体" w:cs="Times New Roman"/>
          <w:bCs/>
          <w:color w:val="000000" w:themeColor="text1"/>
          <w:sz w:val="24"/>
          <w:szCs w:val="24"/>
          <w14:textFill>
            <w14:solidFill>
              <w14:schemeClr w14:val="tx1"/>
            </w14:solidFill>
          </w14:textFill>
        </w:rPr>
        <w:t>按照</w:t>
      </w:r>
      <w:r>
        <w:rPr>
          <w:rFonts w:hint="default" w:ascii="Times New Roman" w:hAnsi="Times New Roman" w:eastAsia="宋体" w:cs="Times New Roman"/>
          <w:color w:val="000000" w:themeColor="text1"/>
          <w:sz w:val="24"/>
          <w:szCs w:val="24"/>
          <w14:textFill>
            <w14:solidFill>
              <w14:schemeClr w14:val="tx1"/>
            </w14:solidFill>
          </w14:textFill>
        </w:rPr>
        <w:t>均匀分布，置信因子</w:t>
      </w:r>
      <w:r>
        <w:rPr>
          <w:rFonts w:hint="default" w:ascii="Times New Roman" w:hAnsi="Times New Roman" w:eastAsia="宋体" w:cs="Times New Roman"/>
          <w:color w:val="000000" w:themeColor="text1"/>
          <w:position w:val="-8"/>
          <w:sz w:val="24"/>
          <w:szCs w:val="24"/>
          <w14:textFill>
            <w14:solidFill>
              <w14:schemeClr w14:val="tx1"/>
            </w14:solidFill>
          </w14:textFill>
        </w:rPr>
        <w:object>
          <v:shape id="_x0000_i1048" o:spt="75" type="#_x0000_t75" style="height:17.25pt;width:36.75pt;" o:ole="t" filled="f" o:preferrelative="t" stroked="f" coordsize="21600,21600">
            <v:path/>
            <v:fill on="f" focussize="0,0"/>
            <v:stroke on="f" joinstyle="miter"/>
            <v:imagedata r:id="rId55" o:title=""/>
            <o:lock v:ext="edit" aspectratio="t"/>
            <w10:wrap type="none"/>
            <w10:anchorlock/>
          </v:shape>
          <o:OLEObject Type="Embed" ProgID="Equation.3" ShapeID="_x0000_i1048" DrawAspect="Content" ObjectID="_1468075748" r:id="rId56">
            <o:LockedField>false</o:LockedField>
          </o:OLEObject>
        </w:object>
      </w:r>
      <w:r>
        <w:rPr>
          <w:rFonts w:hint="default" w:ascii="Times New Roman" w:hAnsi="Times New Roman" w:eastAsia="宋体" w:cs="Times New Roman"/>
          <w:color w:val="000000" w:themeColor="text1"/>
          <w:sz w:val="24"/>
          <w:szCs w:val="24"/>
          <w14:textFill>
            <w14:solidFill>
              <w14:schemeClr w14:val="tx1"/>
            </w14:solidFill>
          </w14:textFill>
        </w:rPr>
        <w:t>，积分时间引入的相对不确定度分量为</w:t>
      </w:r>
      <w:r>
        <w:rPr>
          <w:rFonts w:hint="default" w:ascii="Times New Roman" w:hAnsi="Times New Roman" w:eastAsia="宋体" w:cs="Times New Roman"/>
          <w:color w:val="000000" w:themeColor="text1"/>
          <w:sz w:val="24"/>
          <w:szCs w:val="24"/>
          <w:lang w:val="en-US"/>
          <w14:textFill>
            <w14:solidFill>
              <w14:schemeClr w14:val="tx1"/>
            </w14:solidFill>
          </w14:textFill>
        </w:rPr>
        <w:t>:</w:t>
      </w:r>
    </w:p>
    <w:p w14:paraId="22253D8E">
      <w:pPr>
        <w:keepNext w:val="0"/>
        <w:keepLines w:val="0"/>
        <w:pageBreakBefore w:val="0"/>
        <w:kinsoku/>
        <w:wordWrap/>
        <w:topLinePunct w:val="0"/>
        <w:bidi w:val="0"/>
        <w:adjustRightInd w:val="0"/>
        <w:snapToGrid w:val="0"/>
        <w:spacing w:line="336" w:lineRule="auto"/>
        <w:ind w:firstLine="480" w:firstLineChars="200"/>
        <w:jc w:val="center"/>
        <w:rPr>
          <w:rFonts w:hint="default" w:ascii="Times New Roman" w:hAnsi="Times New Roman" w:eastAsia="宋体" w:cs="Times New Roman"/>
          <w:color w:val="000000" w:themeColor="text1"/>
          <w:position w:val="-28"/>
          <w:sz w:val="24"/>
          <w:szCs w:val="24"/>
          <w:lang w:val="en-US"/>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f>
            <m:fPr>
              <m:ctrlPr>
                <w:rPr>
                  <w:rFonts w:hint="default" w:ascii="Cambria Math" w:hAnsi="Cambria Math" w:eastAsia="宋体" w:cs="Times New Roman"/>
                  <w:i/>
                  <w:color w:val="000000" w:themeColor="text1"/>
                  <w:sz w:val="24"/>
                  <w:szCs w:val="24"/>
                  <w:lang w:val="en-US"/>
                  <w14:textFill>
                    <w14:solidFill>
                      <w14:schemeClr w14:val="tx1"/>
                    </w14:solidFill>
                  </w14:textFill>
                </w:rPr>
              </m:ctrlPr>
            </m:fPr>
            <m:num>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m:t>
              </m:r>
              <m:ctrlPr>
                <w:rPr>
                  <w:rFonts w:hint="default" w:ascii="Cambria Math" w:hAnsi="Cambria Math" w:eastAsia="宋体" w:cs="Times New Roman"/>
                  <w:i/>
                  <w:color w:val="000000" w:themeColor="text1"/>
                  <w:sz w:val="24"/>
                  <w:szCs w:val="24"/>
                  <w:lang w:val="en-US"/>
                  <w14:textFill>
                    <w14:solidFill>
                      <w14:schemeClr w14:val="tx1"/>
                    </w14:solidFill>
                  </w14:textFill>
                </w:rPr>
              </m:ctrlPr>
            </m:num>
            <m:den>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1800</m:t>
              </m:r>
              <m:rad>
                <m:radPr>
                  <m:degHide m:val="1"/>
                  <m:ctrlPr>
                    <w:rPr>
                      <w:rFonts w:hint="default" w:ascii="Cambria Math" w:hAnsi="Cambria Math" w:eastAsia="宋体" w:cs="Times New Roman"/>
                      <w:i/>
                      <w:color w:val="000000" w:themeColor="text1"/>
                      <w:sz w:val="24"/>
                      <w:szCs w:val="24"/>
                      <w:lang w:val="en-US"/>
                      <w14:textFill>
                        <w14:solidFill>
                          <w14:schemeClr w14:val="tx1"/>
                        </w14:solidFill>
                      </w14:textFill>
                    </w:rPr>
                  </m:ctrlPr>
                </m:radPr>
                <m:deg>
                  <m:ctrlPr>
                    <w:rPr>
                      <w:rFonts w:hint="default" w:ascii="Cambria Math" w:hAnsi="Cambria Math" w:eastAsia="宋体" w:cs="Times New Roman"/>
                      <w:i/>
                      <w:color w:val="000000" w:themeColor="text1"/>
                      <w:sz w:val="24"/>
                      <w:szCs w:val="24"/>
                      <w:lang w:val="en-US"/>
                      <w14:textFill>
                        <w14:solidFill>
                          <w14:schemeClr w14:val="tx1"/>
                        </w14:solidFill>
                      </w14:textFill>
                    </w:rPr>
                  </m:ctrlPr>
                </m:deg>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3</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rad>
              <m:ctrlPr>
                <w:rPr>
                  <w:rFonts w:hint="default" w:ascii="Cambria Math" w:hAnsi="Cambria Math" w:eastAsia="宋体" w:cs="Times New Roman"/>
                  <w:i/>
                  <w:color w:val="000000" w:themeColor="text1"/>
                  <w:sz w:val="24"/>
                  <w:szCs w:val="24"/>
                  <w:lang w:val="en-US"/>
                  <w14:textFill>
                    <w14:solidFill>
                      <w14:schemeClr w14:val="tx1"/>
                    </w14:solidFill>
                  </w14:textFill>
                </w:rPr>
              </m:ctrlPr>
            </m:den>
          </m:f>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=0.03%</m:t>
          </m:r>
        </m:oMath>
      </m:oMathPara>
    </w:p>
    <w:p w14:paraId="04EC9CA5">
      <w:pPr>
        <w:pStyle w:val="35"/>
        <w:keepNext w:val="0"/>
        <w:keepLines w:val="0"/>
        <w:pageBreakBefore w:val="0"/>
        <w:kinsoku/>
        <w:wordWrap/>
        <w:topLinePunct w:val="0"/>
        <w:bidi w:val="0"/>
        <w:adjustRightInd w:val="0"/>
        <w:snapToGrid w:val="0"/>
        <w:spacing w:before="156" w:after="156" w:line="336" w:lineRule="auto"/>
        <w:ind w:right="-105"/>
        <w:outlineLvl w:val="9"/>
        <w:rPr>
          <w:rFonts w:hint="default" w:ascii="Times New Roman" w:hAnsi="Times New Roman" w:eastAsia="宋体" w:cs="Times New Roman"/>
          <w:color w:val="000000" w:themeColor="text1"/>
          <w:sz w:val="24"/>
          <w:szCs w:val="24"/>
          <w14:textFill>
            <w14:solidFill>
              <w14:schemeClr w14:val="tx1"/>
            </w14:solidFill>
          </w14:textFill>
        </w:rPr>
      </w:pPr>
      <w:bookmarkStart w:id="236" w:name="_Toc9548"/>
      <w:bookmarkStart w:id="237" w:name="_Toc9440"/>
      <w:r>
        <w:rPr>
          <w:rFonts w:hint="default" w:ascii="Times New Roman" w:hAnsi="Times New Roman" w:eastAsia="宋体" w:cs="Times New Roman"/>
          <w:color w:val="000000" w:themeColor="text1"/>
          <w:sz w:val="24"/>
          <w:szCs w:val="24"/>
          <w14:textFill>
            <w14:solidFill>
              <w14:schemeClr w14:val="tx1"/>
            </w14:solidFill>
          </w14:textFill>
        </w:rPr>
        <w:t>A.4.3 不确定度分量一览表</w:t>
      </w:r>
      <w:bookmarkEnd w:id="236"/>
      <w:bookmarkEnd w:id="237"/>
    </w:p>
    <w:p w14:paraId="3C67E14B">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不确定度分量见表A.2。</w:t>
      </w:r>
    </w:p>
    <w:p w14:paraId="223D81B3">
      <w:pPr>
        <w:pStyle w:val="37"/>
        <w:keepNext w:val="0"/>
        <w:keepLines w:val="0"/>
        <w:pageBreakBefore w:val="0"/>
        <w:kinsoku/>
        <w:wordWrap/>
        <w:topLinePunct w:val="0"/>
        <w:bidi w:val="0"/>
        <w:adjustRightInd w:val="0"/>
        <w:snapToGrid w:val="0"/>
        <w:spacing w:line="336" w:lineRule="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表A.2  反应热相对误差校准不确定度分量表</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w:t>
      </w:r>
    </w:p>
    <w:tbl>
      <w:tblPr>
        <w:tblStyle w:val="16"/>
        <w:tblW w:w="8548" w:type="dxa"/>
        <w:jc w:val="center"/>
        <w:tblLayout w:type="fixed"/>
        <w:tblCellMar>
          <w:top w:w="0" w:type="dxa"/>
          <w:left w:w="108" w:type="dxa"/>
          <w:bottom w:w="0" w:type="dxa"/>
          <w:right w:w="108" w:type="dxa"/>
        </w:tblCellMar>
      </w:tblPr>
      <w:tblGrid>
        <w:gridCol w:w="1388"/>
        <w:gridCol w:w="1305"/>
        <w:gridCol w:w="1485"/>
        <w:gridCol w:w="930"/>
        <w:gridCol w:w="1050"/>
        <w:gridCol w:w="831"/>
        <w:gridCol w:w="1559"/>
      </w:tblGrid>
      <w:tr w14:paraId="1D05780D">
        <w:tblPrEx>
          <w:tblCellMar>
            <w:top w:w="0" w:type="dxa"/>
            <w:left w:w="108" w:type="dxa"/>
            <w:bottom w:w="0" w:type="dxa"/>
            <w:right w:w="108" w:type="dxa"/>
          </w:tblCellMar>
        </w:tblPrEx>
        <w:trPr>
          <w:trHeight w:val="585" w:hRule="atLeast"/>
          <w:jc w:val="center"/>
        </w:trPr>
        <w:tc>
          <w:tcPr>
            <w:tcW w:w="1388" w:type="dxa"/>
            <w:tcBorders>
              <w:top w:val="single" w:color="auto" w:sz="4" w:space="0"/>
              <w:left w:val="single" w:color="auto" w:sz="4" w:space="0"/>
              <w:bottom w:val="single" w:color="auto" w:sz="4" w:space="0"/>
              <w:right w:val="single" w:color="auto" w:sz="4" w:space="0"/>
            </w:tcBorders>
            <w:noWrap w:val="0"/>
            <w:vAlign w:val="center"/>
          </w:tcPr>
          <w:p w14:paraId="2E1DA5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不确定度</w:t>
            </w:r>
            <w:r>
              <w:rPr>
                <w:rFonts w:hint="default" w:ascii="Times New Roman" w:hAnsi="Times New Roman" w:eastAsia="宋体" w:cs="Times New Roman"/>
                <w:color w:val="000000" w:themeColor="text1"/>
                <w:sz w:val="24"/>
                <w:szCs w:val="24"/>
                <w14:textFill>
                  <w14:solidFill>
                    <w14:schemeClr w14:val="tx1"/>
                  </w14:solidFill>
                </w14:textFill>
              </w:rPr>
              <w:t>分量来源</w:t>
            </w:r>
          </w:p>
        </w:tc>
        <w:tc>
          <w:tcPr>
            <w:tcW w:w="1305" w:type="dxa"/>
            <w:tcBorders>
              <w:top w:val="single" w:color="auto" w:sz="4" w:space="0"/>
              <w:left w:val="nil"/>
              <w:bottom w:val="single" w:color="auto" w:sz="4" w:space="0"/>
              <w:right w:val="single" w:color="auto" w:sz="4" w:space="0"/>
            </w:tcBorders>
            <w:noWrap w:val="0"/>
            <w:vAlign w:val="center"/>
          </w:tcPr>
          <w:p w14:paraId="6ADD77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分量符号</w:t>
            </w:r>
          </w:p>
        </w:tc>
        <w:tc>
          <w:tcPr>
            <w:tcW w:w="1485" w:type="dxa"/>
            <w:tcBorders>
              <w:top w:val="single" w:color="auto" w:sz="4" w:space="0"/>
              <w:left w:val="nil"/>
              <w:bottom w:val="single" w:color="auto" w:sz="4" w:space="0"/>
              <w:right w:val="single" w:color="auto" w:sz="4" w:space="0"/>
            </w:tcBorders>
            <w:noWrap w:val="0"/>
            <w:vAlign w:val="center"/>
          </w:tcPr>
          <w:p w14:paraId="5DE6A0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区间</w:t>
            </w:r>
            <w:r>
              <w:rPr>
                <w:rFonts w:hint="default" w:ascii="Times New Roman" w:hAnsi="Times New Roman" w:eastAsia="宋体" w:cs="Times New Roman"/>
                <w:bCs/>
                <w:color w:val="000000" w:themeColor="text1"/>
                <w:kern w:val="0"/>
                <w:sz w:val="24"/>
                <w:szCs w:val="24"/>
                <w14:textFill>
                  <w14:solidFill>
                    <w14:schemeClr w14:val="tx1"/>
                  </w14:solidFill>
                </w14:textFill>
              </w:rPr>
              <w:t>半宽</w:t>
            </w:r>
            <w:r>
              <w:rPr>
                <w:rFonts w:hint="default" w:ascii="Times New Roman" w:hAnsi="Times New Roman" w:eastAsia="宋体" w:cs="Times New Roman"/>
                <w:color w:val="000000" w:themeColor="text1"/>
                <w:kern w:val="0"/>
                <w:sz w:val="24"/>
                <w:szCs w:val="24"/>
                <w14:textFill>
                  <w14:solidFill>
                    <w14:schemeClr w14:val="tx1"/>
                  </w14:solidFill>
                </w14:textFill>
              </w:rPr>
              <w:t>或重复性数值</w:t>
            </w:r>
          </w:p>
        </w:tc>
        <w:tc>
          <w:tcPr>
            <w:tcW w:w="930" w:type="dxa"/>
            <w:tcBorders>
              <w:top w:val="single" w:color="auto" w:sz="4" w:space="0"/>
              <w:left w:val="nil"/>
              <w:bottom w:val="single" w:color="auto" w:sz="4" w:space="0"/>
              <w:right w:val="single" w:color="auto" w:sz="4" w:space="0"/>
            </w:tcBorders>
            <w:noWrap w:val="0"/>
            <w:vAlign w:val="center"/>
          </w:tcPr>
          <w:p w14:paraId="7AEE09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评定</w:t>
            </w:r>
            <w:r>
              <w:rPr>
                <w:rFonts w:hint="default" w:ascii="Times New Roman" w:hAnsi="Times New Roman" w:eastAsia="宋体" w:cs="Times New Roman"/>
                <w:color w:val="000000" w:themeColor="text1"/>
                <w:sz w:val="24"/>
                <w:szCs w:val="24"/>
                <w14:textFill>
                  <w14:solidFill>
                    <w14:schemeClr w14:val="tx1"/>
                  </w14:solidFill>
                </w14:textFill>
              </w:rPr>
              <w:t>方法</w:t>
            </w:r>
          </w:p>
        </w:tc>
        <w:tc>
          <w:tcPr>
            <w:tcW w:w="1050" w:type="dxa"/>
            <w:tcBorders>
              <w:top w:val="single" w:color="auto" w:sz="4" w:space="0"/>
              <w:left w:val="nil"/>
              <w:bottom w:val="single" w:color="auto" w:sz="4" w:space="0"/>
              <w:right w:val="single" w:color="auto" w:sz="4" w:space="0"/>
            </w:tcBorders>
            <w:noWrap w:val="0"/>
            <w:vAlign w:val="center"/>
          </w:tcPr>
          <w:p w14:paraId="7FE541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概率分布</w:t>
            </w:r>
          </w:p>
        </w:tc>
        <w:tc>
          <w:tcPr>
            <w:tcW w:w="831" w:type="dxa"/>
            <w:tcBorders>
              <w:top w:val="single" w:color="auto" w:sz="4" w:space="0"/>
              <w:left w:val="nil"/>
              <w:bottom w:val="single" w:color="auto" w:sz="4" w:space="0"/>
              <w:right w:val="single" w:color="auto" w:sz="4" w:space="0"/>
            </w:tcBorders>
            <w:noWrap w:val="0"/>
            <w:vAlign w:val="center"/>
          </w:tcPr>
          <w:p w14:paraId="741303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置信因子</w:t>
            </w:r>
          </w:p>
        </w:tc>
        <w:tc>
          <w:tcPr>
            <w:tcW w:w="1559" w:type="dxa"/>
            <w:tcBorders>
              <w:top w:val="single" w:color="auto" w:sz="4" w:space="0"/>
              <w:left w:val="nil"/>
              <w:bottom w:val="single" w:color="auto" w:sz="4" w:space="0"/>
              <w:right w:val="single" w:color="auto" w:sz="4" w:space="0"/>
            </w:tcBorders>
            <w:noWrap w:val="0"/>
            <w:vAlign w:val="center"/>
          </w:tcPr>
          <w:p w14:paraId="0786B9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相对标准不确定度分量</w:t>
            </w:r>
          </w:p>
        </w:tc>
      </w:tr>
      <w:tr w14:paraId="539821E1">
        <w:tblPrEx>
          <w:tblCellMar>
            <w:top w:w="0" w:type="dxa"/>
            <w:left w:w="108" w:type="dxa"/>
            <w:bottom w:w="0" w:type="dxa"/>
            <w:right w:w="108" w:type="dxa"/>
          </w:tblCellMar>
        </w:tblPrEx>
        <w:trPr>
          <w:trHeight w:val="495" w:hRule="atLeast"/>
          <w:jc w:val="center"/>
        </w:trPr>
        <w:tc>
          <w:tcPr>
            <w:tcW w:w="1388" w:type="dxa"/>
            <w:tcBorders>
              <w:top w:val="single" w:color="auto" w:sz="4" w:space="0"/>
              <w:left w:val="single" w:color="auto" w:sz="4" w:space="0"/>
              <w:bottom w:val="single" w:color="auto" w:sz="4" w:space="0"/>
              <w:right w:val="single" w:color="auto" w:sz="4" w:space="0"/>
            </w:tcBorders>
            <w:noWrap w:val="0"/>
            <w:vAlign w:val="center"/>
          </w:tcPr>
          <w:p w14:paraId="513CEA3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反应热重复性</w:t>
            </w:r>
          </w:p>
        </w:tc>
        <w:tc>
          <w:tcPr>
            <w:tcW w:w="1305" w:type="dxa"/>
            <w:tcBorders>
              <w:top w:val="single" w:color="auto" w:sz="4" w:space="0"/>
              <w:left w:val="nil"/>
              <w:bottom w:val="single" w:color="auto" w:sz="4" w:space="0"/>
              <w:right w:val="single" w:color="auto" w:sz="4" w:space="0"/>
            </w:tcBorders>
            <w:noWrap w:val="0"/>
            <w:vAlign w:val="center"/>
          </w:tcPr>
          <w:p w14:paraId="27C792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i/>
                <w:color w:val="000000" w:themeColor="text1"/>
                <w:sz w:val="24"/>
                <w:szCs w:val="24"/>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Q</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m</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m:oMathPara>
          </w:p>
        </w:tc>
        <w:tc>
          <w:tcPr>
            <w:tcW w:w="1485" w:type="dxa"/>
            <w:tcBorders>
              <w:top w:val="single" w:color="auto" w:sz="4" w:space="0"/>
              <w:left w:val="nil"/>
              <w:bottom w:val="single" w:color="auto" w:sz="4" w:space="0"/>
              <w:right w:val="single" w:color="auto" w:sz="4" w:space="0"/>
            </w:tcBorders>
            <w:noWrap w:val="0"/>
            <w:vAlign w:val="center"/>
          </w:tcPr>
          <w:p w14:paraId="19126A3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0.06</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c>
          <w:tcPr>
            <w:tcW w:w="930" w:type="dxa"/>
            <w:tcBorders>
              <w:top w:val="single" w:color="auto" w:sz="4" w:space="0"/>
              <w:left w:val="nil"/>
              <w:bottom w:val="single" w:color="auto" w:sz="4" w:space="0"/>
              <w:right w:val="single" w:color="auto" w:sz="4" w:space="0"/>
            </w:tcBorders>
            <w:noWrap w:val="0"/>
            <w:vAlign w:val="center"/>
          </w:tcPr>
          <w:p w14:paraId="2559A4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A</w:t>
            </w:r>
          </w:p>
        </w:tc>
        <w:tc>
          <w:tcPr>
            <w:tcW w:w="1050" w:type="dxa"/>
            <w:tcBorders>
              <w:top w:val="single" w:color="auto" w:sz="4" w:space="0"/>
              <w:left w:val="nil"/>
              <w:bottom w:val="single" w:color="auto" w:sz="4" w:space="0"/>
              <w:right w:val="single" w:color="auto" w:sz="4" w:space="0"/>
            </w:tcBorders>
            <w:noWrap w:val="0"/>
            <w:vAlign w:val="center"/>
          </w:tcPr>
          <w:p w14:paraId="10F7EB8E">
            <w:pPr>
              <w:pStyle w:val="11"/>
              <w:keepNext w:val="0"/>
              <w:keepLines w:val="0"/>
              <w:pageBreakBefore w:val="0"/>
              <w:suppressLineNumbers w:val="0"/>
              <w:pBdr>
                <w:bottom w:val="none" w:color="auto" w:sz="0" w:space="0"/>
              </w:pBdr>
              <w:tabs>
                <w:tab w:val="clear" w:pos="4153"/>
                <w:tab w:val="clear" w:pos="8306"/>
              </w:tabs>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正态</w:t>
            </w:r>
          </w:p>
        </w:tc>
        <w:tc>
          <w:tcPr>
            <w:tcW w:w="831" w:type="dxa"/>
            <w:tcBorders>
              <w:top w:val="single" w:color="auto" w:sz="4" w:space="0"/>
              <w:left w:val="nil"/>
              <w:bottom w:val="single" w:color="auto" w:sz="4" w:space="0"/>
              <w:right w:val="single" w:color="auto" w:sz="4" w:space="0"/>
            </w:tcBorders>
            <w:noWrap w:val="0"/>
            <w:vAlign w:val="center"/>
          </w:tcPr>
          <w:p w14:paraId="621541B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noWrap w:val="0"/>
            <w:vAlign w:val="center"/>
          </w:tcPr>
          <w:p w14:paraId="02AFE69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0.06</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r>
      <w:tr w14:paraId="628D26FC">
        <w:tblPrEx>
          <w:tblCellMar>
            <w:top w:w="0" w:type="dxa"/>
            <w:left w:w="108" w:type="dxa"/>
            <w:bottom w:w="0" w:type="dxa"/>
            <w:right w:w="108" w:type="dxa"/>
          </w:tblCellMar>
        </w:tblPrEx>
        <w:trPr>
          <w:trHeight w:val="408" w:hRule="atLeast"/>
          <w:jc w:val="center"/>
        </w:trPr>
        <w:tc>
          <w:tcPr>
            <w:tcW w:w="1388" w:type="dxa"/>
            <w:tcBorders>
              <w:top w:val="single" w:color="auto" w:sz="4" w:space="0"/>
              <w:left w:val="single" w:color="auto" w:sz="4" w:space="0"/>
              <w:bottom w:val="single" w:color="auto" w:sz="4" w:space="0"/>
              <w:right w:val="single" w:color="auto" w:sz="4" w:space="0"/>
            </w:tcBorders>
            <w:noWrap w:val="0"/>
            <w:vAlign w:val="center"/>
          </w:tcPr>
          <w:p w14:paraId="27BD25D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标准电压测量</w:t>
            </w:r>
          </w:p>
        </w:tc>
        <w:tc>
          <w:tcPr>
            <w:tcW w:w="1305" w:type="dxa"/>
            <w:tcBorders>
              <w:top w:val="single" w:color="auto" w:sz="4" w:space="0"/>
              <w:left w:val="nil"/>
              <w:bottom w:val="single" w:color="auto" w:sz="4" w:space="0"/>
              <w:right w:val="single" w:color="auto" w:sz="4" w:space="0"/>
            </w:tcBorders>
            <w:noWrap w:val="0"/>
            <w:vAlign w:val="center"/>
          </w:tcPr>
          <w:p w14:paraId="174496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m:oMathPara>
          </w:p>
        </w:tc>
        <w:tc>
          <w:tcPr>
            <w:tcW w:w="1485" w:type="dxa"/>
            <w:tcBorders>
              <w:top w:val="single" w:color="auto" w:sz="4" w:space="0"/>
              <w:left w:val="nil"/>
              <w:bottom w:val="single" w:color="auto" w:sz="4" w:space="0"/>
              <w:right w:val="single" w:color="auto" w:sz="4" w:space="0"/>
            </w:tcBorders>
            <w:noWrap w:val="0"/>
            <w:vAlign w:val="center"/>
          </w:tcPr>
          <w:p w14:paraId="2602BCD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w:t>
            </w:r>
            <w:r>
              <w:rPr>
                <w:rFonts w:hint="default" w:ascii="Times New Roman" w:hAnsi="Times New Roman" w:eastAsia="宋体" w:cs="Times New Roman"/>
                <w:color w:val="000000" w:themeColor="text1"/>
                <w:sz w:val="24"/>
                <w:szCs w:val="24"/>
                <w:lang w:val="en-US"/>
                <w14:textFill>
                  <w14:solidFill>
                    <w14:schemeClr w14:val="tx1"/>
                  </w14:solidFill>
                </w14:textFill>
              </w:rPr>
              <w:t>29</w:t>
            </w:r>
            <w:r>
              <w:rPr>
                <w:rFonts w:hint="default" w:ascii="Times New Roman" w:hAnsi="Times New Roman" w:eastAsia="宋体" w:cs="Times New Roman"/>
                <w:color w:val="000000" w:themeColor="text1"/>
                <w:sz w:val="24"/>
                <w:szCs w:val="24"/>
                <w14:textFill>
                  <w14:solidFill>
                    <w14:schemeClr w14:val="tx1"/>
                  </w14:solidFill>
                </w14:textFill>
              </w:rPr>
              <w:t>%</w:t>
            </w:r>
          </w:p>
        </w:tc>
        <w:tc>
          <w:tcPr>
            <w:tcW w:w="930" w:type="dxa"/>
            <w:tcBorders>
              <w:top w:val="single" w:color="auto" w:sz="4" w:space="0"/>
              <w:left w:val="nil"/>
              <w:bottom w:val="single" w:color="auto" w:sz="4" w:space="0"/>
              <w:right w:val="single" w:color="auto" w:sz="4" w:space="0"/>
            </w:tcBorders>
            <w:noWrap w:val="0"/>
            <w:vAlign w:val="center"/>
          </w:tcPr>
          <w:p w14:paraId="59FA968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B</w:t>
            </w:r>
          </w:p>
        </w:tc>
        <w:tc>
          <w:tcPr>
            <w:tcW w:w="1050" w:type="dxa"/>
            <w:tcBorders>
              <w:top w:val="single" w:color="auto" w:sz="4" w:space="0"/>
              <w:left w:val="nil"/>
              <w:bottom w:val="single" w:color="auto" w:sz="4" w:space="0"/>
              <w:right w:val="single" w:color="auto" w:sz="4" w:space="0"/>
            </w:tcBorders>
            <w:noWrap w:val="0"/>
            <w:vAlign w:val="center"/>
          </w:tcPr>
          <w:p w14:paraId="27BA533C">
            <w:pPr>
              <w:pStyle w:val="11"/>
              <w:keepNext w:val="0"/>
              <w:keepLines w:val="0"/>
              <w:pageBreakBefore w:val="0"/>
              <w:suppressLineNumbers w:val="0"/>
              <w:pBdr>
                <w:bottom w:val="none" w:color="auto" w:sz="0" w:space="0"/>
              </w:pBdr>
              <w:tabs>
                <w:tab w:val="clear" w:pos="4153"/>
                <w:tab w:val="clear" w:pos="8306"/>
              </w:tabs>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均匀</w:t>
            </w:r>
          </w:p>
        </w:tc>
        <w:tc>
          <w:tcPr>
            <w:tcW w:w="831" w:type="dxa"/>
            <w:tcBorders>
              <w:top w:val="single" w:color="auto" w:sz="4" w:space="0"/>
              <w:left w:val="nil"/>
              <w:bottom w:val="single" w:color="auto" w:sz="4" w:space="0"/>
              <w:right w:val="single" w:color="auto" w:sz="4" w:space="0"/>
            </w:tcBorders>
            <w:noWrap w:val="0"/>
            <w:vAlign w:val="center"/>
          </w:tcPr>
          <w:p w14:paraId="2CA0536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position w:val="-6"/>
                <w:sz w:val="24"/>
                <w:szCs w:val="24"/>
                <w14:textFill>
                  <w14:solidFill>
                    <w14:schemeClr w14:val="tx1"/>
                  </w14:solidFill>
                </w14:textFill>
              </w:rPr>
              <w:object>
                <v:shape id="_x0000_i1049" o:spt="75" type="#_x0000_t75" style="height:15.75pt;width:16.5pt;" o:ole="t" filled="f" o:preferrelative="t" stroked="f" coordsize="21600,21600">
                  <v:path/>
                  <v:fill on="f" focussize="0,0"/>
                  <v:stroke on="f" joinstyle="miter"/>
                  <v:imagedata r:id="rId58" o:title=""/>
                  <o:lock v:ext="edit" aspectratio="t"/>
                  <w10:wrap type="none"/>
                  <w10:anchorlock/>
                </v:shape>
                <o:OLEObject Type="Embed" ProgID="Equation.DSMT4" ShapeID="_x0000_i1049" DrawAspect="Content" ObjectID="_1468075749" r:id="rId57">
                  <o:LockedField>false</o:LockedField>
                </o:OLEObject>
              </w:object>
            </w:r>
          </w:p>
        </w:tc>
        <w:tc>
          <w:tcPr>
            <w:tcW w:w="1559" w:type="dxa"/>
            <w:tcBorders>
              <w:top w:val="single" w:color="auto" w:sz="4" w:space="0"/>
              <w:left w:val="nil"/>
              <w:bottom w:val="single" w:color="auto" w:sz="4" w:space="0"/>
              <w:right w:val="single" w:color="auto" w:sz="4" w:space="0"/>
            </w:tcBorders>
            <w:noWrap w:val="0"/>
            <w:vAlign w:val="center"/>
          </w:tcPr>
          <w:p w14:paraId="4AD421F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w:t>
            </w:r>
            <w:r>
              <w:rPr>
                <w:rFonts w:hint="default" w:ascii="Times New Roman" w:hAnsi="Times New Roman" w:eastAsia="宋体" w:cs="Times New Roman"/>
                <w:color w:val="000000" w:themeColor="text1"/>
                <w:sz w:val="24"/>
                <w:szCs w:val="24"/>
                <w:lang w:val="en-US"/>
                <w14:textFill>
                  <w14:solidFill>
                    <w14:schemeClr w14:val="tx1"/>
                  </w14:solidFill>
                </w14:textFill>
              </w:rPr>
              <w:t>29</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r>
      <w:tr w14:paraId="464ED351">
        <w:tblPrEx>
          <w:tblCellMar>
            <w:top w:w="0" w:type="dxa"/>
            <w:left w:w="108" w:type="dxa"/>
            <w:bottom w:w="0" w:type="dxa"/>
            <w:right w:w="108" w:type="dxa"/>
          </w:tblCellMar>
        </w:tblPrEx>
        <w:trPr>
          <w:trHeight w:val="495" w:hRule="atLeast"/>
          <w:jc w:val="center"/>
        </w:trPr>
        <w:tc>
          <w:tcPr>
            <w:tcW w:w="1388" w:type="dxa"/>
            <w:tcBorders>
              <w:top w:val="single" w:color="auto" w:sz="4" w:space="0"/>
              <w:left w:val="single" w:color="auto" w:sz="4" w:space="0"/>
              <w:bottom w:val="single" w:color="auto" w:sz="4" w:space="0"/>
              <w:right w:val="single" w:color="auto" w:sz="4" w:space="0"/>
            </w:tcBorders>
            <w:noWrap w:val="0"/>
            <w:vAlign w:val="center"/>
          </w:tcPr>
          <w:p w14:paraId="37A05DC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标准电流测量</w:t>
            </w:r>
          </w:p>
        </w:tc>
        <w:tc>
          <w:tcPr>
            <w:tcW w:w="1305" w:type="dxa"/>
            <w:tcBorders>
              <w:top w:val="single" w:color="auto" w:sz="4" w:space="0"/>
              <w:left w:val="nil"/>
              <w:bottom w:val="single" w:color="auto" w:sz="4" w:space="0"/>
              <w:right w:val="single" w:color="auto" w:sz="4" w:space="0"/>
            </w:tcBorders>
            <w:noWrap w:val="0"/>
            <w:vAlign w:val="center"/>
          </w:tcPr>
          <w:p w14:paraId="306908F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eastAsia="zh-CN"/>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sSub>
                      <m:sSubPr>
                        <m:ctrlPr>
                          <w:rPr>
                            <w:rFonts w:hint="default" w:ascii="Cambria Math" w:hAnsi="Cambria Math" w:eastAsia="宋体" w:cs="Times New Roman"/>
                            <w:i/>
                            <w:color w:val="000000" w:themeColor="text1"/>
                            <w:sz w:val="24"/>
                            <w:szCs w:val="24"/>
                            <w14:textFill>
                              <w14:solidFill>
                                <w14:schemeClr w14:val="tx1"/>
                              </w14:solidFill>
                            </w14:textFill>
                          </w:rPr>
                        </m:ctrlPr>
                      </m:sSubPr>
                      <m:e>
                        <m:r>
                          <m:rPr>
                            <m:nor/>
                          </m:rPr>
                          <w:rPr>
                            <w:rFonts w:hint="default" w:ascii="Cambria Math" w:hAnsi="Cambria Math" w:eastAsia="宋体" w:cs="Times New Roman"/>
                            <w:i/>
                            <w:color w:val="000000" w:themeColor="text1"/>
                            <w:sz w:val="24"/>
                            <w:szCs w:val="24"/>
                            <w:lang w:val="en-US"/>
                            <w14:textFill>
                              <w14:solidFill>
                                <w14:schemeClr w14:val="tx1"/>
                              </w14:solidFill>
                            </w14:textFill>
                          </w:rPr>
                          <m:t>I</m:t>
                        </m:r>
                        <m:ctrlPr>
                          <w:rPr>
                            <w:rFonts w:hint="default" w:ascii="Cambria Math" w:hAnsi="Cambria Math" w:eastAsia="宋体" w:cs="Times New Roman"/>
                            <w:i/>
                            <w:color w:val="000000" w:themeColor="text1"/>
                            <w:sz w:val="24"/>
                            <w:szCs w:val="24"/>
                            <w14:textFill>
                              <w14:solidFill>
                                <w14:schemeClr w14:val="tx1"/>
                              </w14:solidFill>
                            </w14:textFill>
                          </w:rPr>
                        </m:ctrlPr>
                      </m:e>
                      <m:sub>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sub>
                    </m:sSub>
                    <m:ctrlPr>
                      <w:rPr>
                        <w:rFonts w:hint="default" w:ascii="Cambria Math" w:hAnsi="Cambria Math" w:eastAsia="宋体" w:cs="Times New Roman"/>
                        <w:i/>
                        <w:color w:val="000000" w:themeColor="text1"/>
                        <w:sz w:val="24"/>
                        <w:szCs w:val="24"/>
                        <w14:textFill>
                          <w14:solidFill>
                            <w14:schemeClr w14:val="tx1"/>
                          </w14:solidFill>
                        </w14:textFill>
                      </w:rPr>
                    </m:ctrlPr>
                  </m:den>
                </m:f>
              </m:oMath>
            </m:oMathPara>
          </w:p>
        </w:tc>
        <w:tc>
          <w:tcPr>
            <w:tcW w:w="1485" w:type="dxa"/>
            <w:tcBorders>
              <w:top w:val="single" w:color="auto" w:sz="4" w:space="0"/>
              <w:left w:val="nil"/>
              <w:bottom w:val="single" w:color="auto" w:sz="4" w:space="0"/>
              <w:right w:val="single" w:color="auto" w:sz="4" w:space="0"/>
            </w:tcBorders>
            <w:noWrap w:val="0"/>
            <w:vAlign w:val="center"/>
          </w:tcPr>
          <w:p w14:paraId="50C8583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0.2</w:t>
            </w:r>
            <w:r>
              <w:rPr>
                <w:rFonts w:hint="default" w:ascii="Times New Roman" w:hAnsi="Times New Roman" w:eastAsia="宋体" w:cs="Times New Roman"/>
                <w:color w:val="000000" w:themeColor="text1"/>
                <w:sz w:val="24"/>
                <w:szCs w:val="24"/>
                <w:lang w:val="en-US"/>
                <w14:textFill>
                  <w14:solidFill>
                    <w14:schemeClr w14:val="tx1"/>
                  </w14:solidFill>
                </w14:textFill>
              </w:rPr>
              <w:t>9</w:t>
            </w:r>
            <w:r>
              <w:rPr>
                <w:rFonts w:hint="default" w:ascii="Times New Roman" w:hAnsi="Times New Roman" w:eastAsia="宋体" w:cs="Times New Roman"/>
                <w:color w:val="000000" w:themeColor="text1"/>
                <w:sz w:val="24"/>
                <w:szCs w:val="24"/>
                <w14:textFill>
                  <w14:solidFill>
                    <w14:schemeClr w14:val="tx1"/>
                  </w14:solidFill>
                </w14:textFill>
              </w:rPr>
              <w:t>%</w:t>
            </w:r>
          </w:p>
        </w:tc>
        <w:tc>
          <w:tcPr>
            <w:tcW w:w="930" w:type="dxa"/>
            <w:tcBorders>
              <w:top w:val="single" w:color="auto" w:sz="4" w:space="0"/>
              <w:left w:val="nil"/>
              <w:bottom w:val="single" w:color="auto" w:sz="4" w:space="0"/>
              <w:right w:val="single" w:color="auto" w:sz="4" w:space="0"/>
            </w:tcBorders>
            <w:noWrap w:val="0"/>
            <w:vAlign w:val="center"/>
          </w:tcPr>
          <w:p w14:paraId="422F36C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B</w:t>
            </w:r>
          </w:p>
        </w:tc>
        <w:tc>
          <w:tcPr>
            <w:tcW w:w="1050" w:type="dxa"/>
            <w:tcBorders>
              <w:top w:val="single" w:color="auto" w:sz="4" w:space="0"/>
              <w:left w:val="nil"/>
              <w:bottom w:val="single" w:color="auto" w:sz="4" w:space="0"/>
              <w:right w:val="single" w:color="auto" w:sz="4" w:space="0"/>
            </w:tcBorders>
            <w:noWrap w:val="0"/>
            <w:vAlign w:val="center"/>
          </w:tcPr>
          <w:p w14:paraId="3901CBBD">
            <w:pPr>
              <w:pStyle w:val="11"/>
              <w:keepNext w:val="0"/>
              <w:keepLines w:val="0"/>
              <w:pageBreakBefore w:val="0"/>
              <w:suppressLineNumbers w:val="0"/>
              <w:pBdr>
                <w:bottom w:val="none" w:color="auto" w:sz="0" w:space="0"/>
              </w:pBdr>
              <w:tabs>
                <w:tab w:val="clear" w:pos="4153"/>
                <w:tab w:val="clear" w:pos="8306"/>
              </w:tabs>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均匀</w:t>
            </w:r>
          </w:p>
        </w:tc>
        <w:tc>
          <w:tcPr>
            <w:tcW w:w="831" w:type="dxa"/>
            <w:tcBorders>
              <w:top w:val="single" w:color="auto" w:sz="4" w:space="0"/>
              <w:left w:val="nil"/>
              <w:bottom w:val="single" w:color="auto" w:sz="4" w:space="0"/>
              <w:right w:val="single" w:color="auto" w:sz="4" w:space="0"/>
            </w:tcBorders>
            <w:noWrap w:val="0"/>
            <w:vAlign w:val="center"/>
          </w:tcPr>
          <w:p w14:paraId="3BCB467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position w:val="-6"/>
                <w:sz w:val="24"/>
                <w:szCs w:val="24"/>
                <w14:textFill>
                  <w14:solidFill>
                    <w14:schemeClr w14:val="tx1"/>
                  </w14:solidFill>
                </w14:textFill>
              </w:rPr>
              <w:object>
                <v:shape id="_x0000_i1050" o:spt="75" type="#_x0000_t75" style="height:15.75pt;width:16.5pt;" o:ole="t" filled="f" o:preferrelative="t" stroked="f" coordsize="21600,21600">
                  <v:path/>
                  <v:fill on="f" focussize="0,0"/>
                  <v:stroke on="f" joinstyle="miter"/>
                  <v:imagedata r:id="rId58" o:title=""/>
                  <o:lock v:ext="edit" aspectratio="t"/>
                  <w10:wrap type="none"/>
                  <w10:anchorlock/>
                </v:shape>
                <o:OLEObject Type="Embed" ProgID="Equation.DSMT4" ShapeID="_x0000_i1050" DrawAspect="Content" ObjectID="_1468075750" r:id="rId59">
                  <o:LockedField>false</o:LockedField>
                </o:OLEObject>
              </w:object>
            </w:r>
          </w:p>
        </w:tc>
        <w:tc>
          <w:tcPr>
            <w:tcW w:w="1559" w:type="dxa"/>
            <w:tcBorders>
              <w:top w:val="single" w:color="auto" w:sz="4" w:space="0"/>
              <w:left w:val="nil"/>
              <w:bottom w:val="single" w:color="auto" w:sz="4" w:space="0"/>
              <w:right w:val="single" w:color="auto" w:sz="4" w:space="0"/>
            </w:tcBorders>
            <w:noWrap w:val="0"/>
            <w:vAlign w:val="center"/>
          </w:tcPr>
          <w:p w14:paraId="4E3E78B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w:t>
            </w:r>
            <w:r>
              <w:rPr>
                <w:rFonts w:hint="default" w:ascii="Times New Roman" w:hAnsi="Times New Roman" w:eastAsia="宋体" w:cs="Times New Roman"/>
                <w:color w:val="000000" w:themeColor="text1"/>
                <w:sz w:val="24"/>
                <w:szCs w:val="24"/>
                <w:lang w:val="en-US"/>
                <w14:textFill>
                  <w14:solidFill>
                    <w14:schemeClr w14:val="tx1"/>
                  </w14:solidFill>
                </w14:textFill>
              </w:rPr>
              <w:t>29</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tc>
      </w:tr>
      <w:tr w14:paraId="7C24D64A">
        <w:tblPrEx>
          <w:tblCellMar>
            <w:top w:w="0" w:type="dxa"/>
            <w:left w:w="108" w:type="dxa"/>
            <w:bottom w:w="0" w:type="dxa"/>
            <w:right w:w="108" w:type="dxa"/>
          </w:tblCellMar>
        </w:tblPrEx>
        <w:trPr>
          <w:trHeight w:val="495" w:hRule="atLeast"/>
          <w:jc w:val="center"/>
        </w:trPr>
        <w:tc>
          <w:tcPr>
            <w:tcW w:w="1388" w:type="dxa"/>
            <w:tcBorders>
              <w:top w:val="single" w:color="auto" w:sz="4" w:space="0"/>
              <w:left w:val="single" w:color="auto" w:sz="4" w:space="0"/>
              <w:bottom w:val="single" w:color="auto" w:sz="4" w:space="0"/>
              <w:right w:val="single" w:color="auto" w:sz="4" w:space="0"/>
            </w:tcBorders>
            <w:noWrap w:val="0"/>
            <w:vAlign w:val="center"/>
          </w:tcPr>
          <w:p w14:paraId="0029C43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积分时间</w:t>
            </w:r>
          </w:p>
        </w:tc>
        <w:tc>
          <w:tcPr>
            <w:tcW w:w="1305" w:type="dxa"/>
            <w:tcBorders>
              <w:top w:val="single" w:color="auto" w:sz="4" w:space="0"/>
              <w:left w:val="nil"/>
              <w:bottom w:val="single" w:color="auto" w:sz="4" w:space="0"/>
              <w:right w:val="single" w:color="auto" w:sz="4" w:space="0"/>
            </w:tcBorders>
            <w:noWrap w:val="0"/>
            <w:vAlign w:val="center"/>
          </w:tcPr>
          <w:p w14:paraId="1234476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m:oMathPara>
              <m:oMath>
                <m:f>
                  <m:fPr>
                    <m:ctrlPr>
                      <w:rPr>
                        <w:rFonts w:hint="default" w:ascii="Cambria Math" w:hAnsi="Cambria Math" w:eastAsia="宋体" w:cs="Times New Roman"/>
                        <w:i/>
                        <w:color w:val="000000" w:themeColor="text1"/>
                        <w:sz w:val="24"/>
                        <w:szCs w:val="24"/>
                        <w14:textFill>
                          <w14:solidFill>
                            <w14:schemeClr w14:val="tx1"/>
                          </w14:solidFill>
                        </w14:textFill>
                      </w:rPr>
                    </m:ctrlPr>
                  </m:fPr>
                  <m:num>
                    <m:r>
                      <m:rPr>
                        <m:nor/>
                      </m:rPr>
                      <w:rPr>
                        <w:rFonts w:hint="default" w:ascii="Cambria Math" w:hAnsi="Cambria Math" w:eastAsia="宋体" w:cs="Times New Roman"/>
                        <w:i/>
                        <w:color w:val="000000" w:themeColor="text1"/>
                        <w:sz w:val="24"/>
                        <w:szCs w:val="24"/>
                        <w:lang w:val="en-US"/>
                        <w14:textFill>
                          <w14:solidFill>
                            <w14:schemeClr w14:val="tx1"/>
                          </w14:solidFill>
                        </w14:textFill>
                      </w:rPr>
                      <m:t>u</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ctrlPr>
                      <w:rPr>
                        <w:rFonts w:hint="default" w:ascii="Cambria Math" w:hAnsi="Cambria Math" w:eastAsia="宋体" w:cs="Times New Roman"/>
                        <w:i/>
                        <w:color w:val="000000" w:themeColor="text1"/>
                        <w:sz w:val="24"/>
                        <w:szCs w:val="24"/>
                        <w14:textFill>
                          <w14:solidFill>
                            <w14:schemeClr w14:val="tx1"/>
                          </w14:solidFill>
                        </w14:textFill>
                      </w:rPr>
                    </m:ctrlPr>
                  </m:num>
                  <m:den>
                    <m:r>
                      <m:rPr>
                        <m:nor/>
                      </m:rPr>
                      <w:rPr>
                        <w:rFonts w:hint="default" w:ascii="Cambria Math" w:hAnsi="Cambria Math" w:eastAsia="宋体" w:cs="Times New Roman"/>
                        <w:i/>
                        <w:color w:val="000000" w:themeColor="text1"/>
                        <w:sz w:val="24"/>
                        <w:szCs w:val="24"/>
                        <w:lang w:val="en-US"/>
                        <w14:textFill>
                          <w14:solidFill>
                            <w14:schemeClr w14:val="tx1"/>
                          </w14:solidFill>
                        </w14:textFill>
                      </w:rPr>
                      <m:t>t</m:t>
                    </m:r>
                    <m:ctrlPr>
                      <w:rPr>
                        <w:rFonts w:hint="default" w:ascii="Cambria Math" w:hAnsi="Cambria Math" w:eastAsia="宋体" w:cs="Times New Roman"/>
                        <w:i/>
                        <w:color w:val="000000" w:themeColor="text1"/>
                        <w:sz w:val="24"/>
                        <w:szCs w:val="24"/>
                        <w14:textFill>
                          <w14:solidFill>
                            <w14:schemeClr w14:val="tx1"/>
                          </w14:solidFill>
                        </w14:textFill>
                      </w:rPr>
                    </m:ctrlPr>
                  </m:den>
                </m:f>
              </m:oMath>
            </m:oMathPara>
          </w:p>
        </w:tc>
        <w:tc>
          <w:tcPr>
            <w:tcW w:w="1485" w:type="dxa"/>
            <w:tcBorders>
              <w:top w:val="single" w:color="auto" w:sz="4" w:space="0"/>
              <w:left w:val="nil"/>
              <w:bottom w:val="single" w:color="auto" w:sz="4" w:space="0"/>
              <w:right w:val="single" w:color="auto" w:sz="4" w:space="0"/>
            </w:tcBorders>
            <w:noWrap w:val="0"/>
            <w:vAlign w:val="center"/>
          </w:tcPr>
          <w:p w14:paraId="108EEE3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0.03%</w:t>
            </w:r>
          </w:p>
        </w:tc>
        <w:tc>
          <w:tcPr>
            <w:tcW w:w="930" w:type="dxa"/>
            <w:tcBorders>
              <w:top w:val="single" w:color="auto" w:sz="4" w:space="0"/>
              <w:left w:val="nil"/>
              <w:bottom w:val="single" w:color="auto" w:sz="4" w:space="0"/>
              <w:right w:val="single" w:color="auto" w:sz="4" w:space="0"/>
            </w:tcBorders>
            <w:noWrap w:val="0"/>
            <w:vAlign w:val="center"/>
          </w:tcPr>
          <w:p w14:paraId="30ACE0C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B</w:t>
            </w:r>
          </w:p>
        </w:tc>
        <w:tc>
          <w:tcPr>
            <w:tcW w:w="1050" w:type="dxa"/>
            <w:tcBorders>
              <w:top w:val="single" w:color="auto" w:sz="4" w:space="0"/>
              <w:left w:val="nil"/>
              <w:bottom w:val="single" w:color="auto" w:sz="4" w:space="0"/>
              <w:right w:val="single" w:color="auto" w:sz="4" w:space="0"/>
            </w:tcBorders>
            <w:noWrap w:val="0"/>
            <w:vAlign w:val="center"/>
          </w:tcPr>
          <w:p w14:paraId="14709207">
            <w:pPr>
              <w:pStyle w:val="11"/>
              <w:keepNext w:val="0"/>
              <w:keepLines w:val="0"/>
              <w:pageBreakBefore w:val="0"/>
              <w:suppressLineNumbers w:val="0"/>
              <w:pBdr>
                <w:bottom w:val="none" w:color="auto" w:sz="0" w:space="0"/>
              </w:pBdr>
              <w:tabs>
                <w:tab w:val="clear" w:pos="4153"/>
                <w:tab w:val="clear" w:pos="8306"/>
              </w:tabs>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均匀</w:t>
            </w:r>
          </w:p>
        </w:tc>
        <w:tc>
          <w:tcPr>
            <w:tcW w:w="831" w:type="dxa"/>
            <w:tcBorders>
              <w:top w:val="single" w:color="auto" w:sz="4" w:space="0"/>
              <w:left w:val="nil"/>
              <w:bottom w:val="single" w:color="auto" w:sz="4" w:space="0"/>
              <w:right w:val="single" w:color="auto" w:sz="4" w:space="0"/>
            </w:tcBorders>
            <w:noWrap w:val="0"/>
            <w:vAlign w:val="center"/>
          </w:tcPr>
          <w:p w14:paraId="02C2EF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position w:val="-6"/>
                <w:sz w:val="24"/>
                <w:szCs w:val="24"/>
                <w14:textFill>
                  <w14:solidFill>
                    <w14:schemeClr w14:val="tx1"/>
                  </w14:solidFill>
                </w14:textFill>
              </w:rPr>
              <w:object>
                <v:shape id="_x0000_i1051" o:spt="75" type="#_x0000_t75" style="height:15.75pt;width:16.5pt;" o:ole="t" filled="f" o:preferrelative="t" stroked="f" coordsize="21600,21600">
                  <v:path/>
                  <v:fill on="f" focussize="0,0"/>
                  <v:stroke on="f" joinstyle="miter"/>
                  <v:imagedata r:id="rId58" o:title=""/>
                  <o:lock v:ext="edit" aspectratio="t"/>
                  <w10:wrap type="none"/>
                  <w10:anchorlock/>
                </v:shape>
                <o:OLEObject Type="Embed" ProgID="Equation.DSMT4" ShapeID="_x0000_i1051" DrawAspect="Content" ObjectID="_1468075751" r:id="rId60">
                  <o:LockedField>false</o:LockedField>
                </o:OLEObject>
              </w:object>
            </w:r>
          </w:p>
        </w:tc>
        <w:tc>
          <w:tcPr>
            <w:tcW w:w="1559" w:type="dxa"/>
            <w:tcBorders>
              <w:top w:val="single" w:color="auto" w:sz="4" w:space="0"/>
              <w:left w:val="nil"/>
              <w:bottom w:val="single" w:color="auto" w:sz="4" w:space="0"/>
              <w:right w:val="single" w:color="auto" w:sz="4" w:space="0"/>
            </w:tcBorders>
            <w:noWrap w:val="0"/>
            <w:vAlign w:val="center"/>
          </w:tcPr>
          <w:p w14:paraId="349DDC8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0.0</w:t>
            </w:r>
            <w:r>
              <w:rPr>
                <w:rFonts w:hint="default" w:ascii="Times New Roman" w:hAnsi="Times New Roman" w:eastAsia="宋体" w:cs="Times New Roman"/>
                <w:color w:val="000000" w:themeColor="text1"/>
                <w:sz w:val="24"/>
                <w:szCs w:val="24"/>
                <w:lang w:val="en-US"/>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tc>
      </w:tr>
    </w:tbl>
    <w:p w14:paraId="27BC656B">
      <w:pPr>
        <w:pStyle w:val="35"/>
        <w:keepNext w:val="0"/>
        <w:keepLines w:val="0"/>
        <w:pageBreakBefore w:val="0"/>
        <w:kinsoku/>
        <w:wordWrap/>
        <w:topLinePunct w:val="0"/>
        <w:bidi w:val="0"/>
        <w:adjustRightInd w:val="0"/>
        <w:snapToGrid w:val="0"/>
        <w:spacing w:before="156" w:beforeLines="50" w:after="156" w:line="336" w:lineRule="auto"/>
        <w:ind w:right="-105"/>
        <w:outlineLvl w:val="9"/>
        <w:rPr>
          <w:rFonts w:hint="default" w:ascii="Times New Roman" w:hAnsi="Times New Roman" w:eastAsia="宋体" w:cs="Times New Roman"/>
          <w:color w:val="000000" w:themeColor="text1"/>
          <w:sz w:val="24"/>
          <w:szCs w:val="24"/>
          <w14:textFill>
            <w14:solidFill>
              <w14:schemeClr w14:val="tx1"/>
            </w14:solidFill>
          </w14:textFill>
        </w:rPr>
      </w:pPr>
      <w:bookmarkStart w:id="238" w:name="_Toc2973"/>
      <w:bookmarkStart w:id="239" w:name="_Toc2766"/>
      <w:r>
        <w:rPr>
          <w:rFonts w:hint="default" w:ascii="Times New Roman" w:hAnsi="Times New Roman" w:eastAsia="宋体" w:cs="Times New Roman"/>
          <w:color w:val="000000" w:themeColor="text1"/>
          <w:sz w:val="24"/>
          <w:szCs w:val="24"/>
          <w14:textFill>
            <w14:solidFill>
              <w14:schemeClr w14:val="tx1"/>
            </w14:solidFill>
          </w14:textFill>
        </w:rPr>
        <w:t>A.5 合成相对标准不确定度的计算</w:t>
      </w:r>
      <w:bookmarkEnd w:id="238"/>
      <w:bookmarkEnd w:id="239"/>
    </w:p>
    <w:p w14:paraId="79E232F7">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合成相对标准不确定度按公式</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A.7</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计算可得：</w:t>
      </w:r>
      <w:r>
        <w:rPr>
          <w:rFonts w:hint="default" w:ascii="Times New Roman" w:hAnsi="Times New Roman" w:eastAsia="宋体" w:cs="Times New Roman"/>
          <w:color w:val="000000" w:themeColor="text1"/>
          <w:sz w:val="24"/>
          <w:szCs w:val="24"/>
          <w14:textFill>
            <w14:solidFill>
              <w14:schemeClr w14:val="tx1"/>
            </w14:solidFill>
          </w14:textFill>
        </w:rPr>
        <w:tab/>
      </w:r>
    </w:p>
    <w:p w14:paraId="13F8EBB4">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m:oMathPara>
        <m:oMath>
          <m:sSub>
            <m:sSubPr>
              <m:ctrlPr>
                <w:rPr>
                  <w:rFonts w:hint="default" w:ascii="Cambria Math" w:hAnsi="Cambria Math" w:eastAsia="宋体" w:cs="Times New Roman"/>
                  <w:i/>
                  <w:color w:val="000000" w:themeColor="text1"/>
                  <w:sz w:val="24"/>
                  <w:szCs w:val="24"/>
                  <w:highlight w:val="none"/>
                  <w14:textFill>
                    <w14:solidFill>
                      <w14:schemeClr w14:val="tx1"/>
                    </w14:solidFill>
                  </w14:textFill>
                </w:rPr>
              </m:ctrlPr>
            </m:sSubPr>
            <m:e>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u</m:t>
              </m:r>
              <m:ctrlPr>
                <w:rPr>
                  <w:rFonts w:hint="default" w:ascii="Cambria Math" w:hAnsi="Cambria Math" w:eastAsia="宋体" w:cs="Times New Roman"/>
                  <w:i/>
                  <w:color w:val="000000" w:themeColor="text1"/>
                  <w:sz w:val="24"/>
                  <w:szCs w:val="24"/>
                  <w:highlight w:val="none"/>
                  <w14:textFill>
                    <w14:solidFill>
                      <w14:schemeClr w14:val="tx1"/>
                    </w14:solidFill>
                  </w14:textFill>
                </w:rPr>
              </m:ctrlPr>
            </m:e>
            <m:sub>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c</m:t>
              </m:r>
              <m:ctrlPr>
                <w:rPr>
                  <w:rFonts w:hint="default" w:ascii="Cambria Math" w:hAnsi="Cambria Math" w:eastAsia="宋体" w:cs="Times New Roman"/>
                  <w:i/>
                  <w:color w:val="000000" w:themeColor="text1"/>
                  <w:sz w:val="24"/>
                  <w:szCs w:val="24"/>
                  <w:highlight w:val="none"/>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highlight w:val="none"/>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r</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Q</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highlight w:val="none"/>
              <w:lang w:val="en-US"/>
              <w14:textFill>
                <w14:solidFill>
                  <w14:schemeClr w14:val="tx1"/>
                </w14:solidFill>
              </w14:textFill>
            </w:rPr>
            <m:t>)=</m:t>
          </m:r>
          <m:rad>
            <m:radPr>
              <m:degHide m:val="1"/>
              <m:ctrlPr>
                <w:rPr>
                  <w:rFonts w:hint="default" w:ascii="Cambria Math" w:hAnsi="Cambria Math" w:eastAsia="宋体" w:cs="Times New Roman"/>
                  <w:i/>
                  <w:color w:val="000000" w:themeColor="text1"/>
                  <w:sz w:val="24"/>
                  <w:szCs w:val="24"/>
                  <w:lang w:val="en-US"/>
                  <w14:textFill>
                    <w14:solidFill>
                      <w14:schemeClr w14:val="tx1"/>
                    </w14:solidFill>
                  </w14:textFill>
                </w:rPr>
              </m:ctrlPr>
            </m:radPr>
            <m:deg>
              <m:ctrlPr>
                <w:rPr>
                  <w:rFonts w:hint="default" w:ascii="Cambria Math" w:hAnsi="Cambria Math" w:eastAsia="宋体" w:cs="Times New Roman"/>
                  <w:i/>
                  <w:color w:val="000000" w:themeColor="text1"/>
                  <w:sz w:val="24"/>
                  <w:szCs w:val="24"/>
                  <w:lang w:val="en-US"/>
                  <w14:textFill>
                    <w14:solidFill>
                      <w14:schemeClr w14:val="tx1"/>
                    </w14:solidFill>
                  </w14:textFill>
                </w:rPr>
              </m:ctrlPr>
            </m:deg>
            <m:e>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(0.06%)</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(0.29%)</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(0.29%)</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m:t>
              </m:r>
              <m:sSup>
                <m:sSupPr>
                  <m:ctrlPr>
                    <w:rPr>
                      <w:rFonts w:hint="default" w:ascii="Cambria Math" w:hAnsi="Cambria Math" w:eastAsia="宋体" w:cs="Times New Roman"/>
                      <w:i/>
                      <w:color w:val="000000" w:themeColor="text1"/>
                      <w:sz w:val="24"/>
                      <w:szCs w:val="24"/>
                      <w:lang w:val="en-US"/>
                      <w14:textFill>
                        <w14:solidFill>
                          <w14:schemeClr w14:val="tx1"/>
                        </w14:solidFill>
                      </w14:textFill>
                    </w:rPr>
                  </m:ctrlPr>
                </m:sSupPr>
                <m:e>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(0.03%)</m:t>
                  </m:r>
                  <m:ctrlPr>
                    <w:rPr>
                      <w:rFonts w:hint="default" w:ascii="Cambria Math" w:hAnsi="Cambria Math" w:eastAsia="宋体" w:cs="Times New Roman"/>
                      <w:i/>
                      <w:color w:val="000000" w:themeColor="text1"/>
                      <w:sz w:val="24"/>
                      <w:szCs w:val="24"/>
                      <w:lang w:val="en-US"/>
                      <w14:textFill>
                        <w14:solidFill>
                          <w14:schemeClr w14:val="tx1"/>
                        </w14:solidFill>
                      </w14:textFill>
                    </w:rPr>
                  </m:ctrlPr>
                </m:e>
                <m:sup>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2</m:t>
                  </m:r>
                  <m:ctrlPr>
                    <w:rPr>
                      <w:rFonts w:hint="default" w:ascii="Cambria Math" w:hAnsi="Cambria Math" w:eastAsia="宋体" w:cs="Times New Roman"/>
                      <w:i/>
                      <w:color w:val="000000" w:themeColor="text1"/>
                      <w:sz w:val="24"/>
                      <w:szCs w:val="24"/>
                      <w:lang w:val="en-US"/>
                      <w14:textFill>
                        <w14:solidFill>
                          <w14:schemeClr w14:val="tx1"/>
                        </w14:solidFill>
                      </w14:textFill>
                    </w:rPr>
                  </m:ctrlPr>
                </m:sup>
              </m:sSup>
              <m:ctrlPr>
                <w:rPr>
                  <w:rFonts w:hint="default" w:ascii="Cambria Math" w:hAnsi="Cambria Math" w:eastAsia="宋体" w:cs="Times New Roman"/>
                  <w:i/>
                  <w:color w:val="000000" w:themeColor="text1"/>
                  <w:sz w:val="24"/>
                  <w:szCs w:val="24"/>
                  <w:lang w:val="en-US"/>
                  <w14:textFill>
                    <w14:solidFill>
                      <w14:schemeClr w14:val="tx1"/>
                    </w14:solidFill>
                  </w14:textFill>
                </w:rPr>
              </m:ctrlPr>
            </m:e>
          </m:rad>
          <m:r>
            <m:rPr>
              <m:nor/>
              <m:sty m:val="p"/>
            </m:rPr>
            <w:rPr>
              <w:rFonts w:hint="default" w:ascii="Cambria Math" w:hAnsi="Cambria Math" w:eastAsia="宋体" w:cs="Times New Roman"/>
              <w:b w:val="0"/>
              <w:i w:val="0"/>
              <w:color w:val="000000" w:themeColor="text1"/>
              <w:sz w:val="24"/>
              <w:szCs w:val="24"/>
              <w:lang w:val="en-US"/>
              <w14:textFill>
                <w14:solidFill>
                  <w14:schemeClr w14:val="tx1"/>
                </w14:solidFill>
              </w14:textFill>
            </w:rPr>
            <m:t>=0.42%</m:t>
          </m:r>
        </m:oMath>
      </m:oMathPara>
    </w:p>
    <w:p w14:paraId="35DEE913">
      <w:pPr>
        <w:pStyle w:val="35"/>
        <w:keepNext w:val="0"/>
        <w:keepLines w:val="0"/>
        <w:pageBreakBefore w:val="0"/>
        <w:kinsoku/>
        <w:wordWrap/>
        <w:topLinePunct w:val="0"/>
        <w:bidi w:val="0"/>
        <w:adjustRightInd w:val="0"/>
        <w:snapToGrid w:val="0"/>
        <w:spacing w:before="156" w:after="156" w:line="336" w:lineRule="auto"/>
        <w:ind w:right="-105"/>
        <w:outlineLvl w:val="9"/>
        <w:rPr>
          <w:rFonts w:hint="default" w:ascii="Times New Roman" w:hAnsi="Times New Roman" w:eastAsia="宋体" w:cs="Times New Roman"/>
          <w:color w:val="000000" w:themeColor="text1"/>
          <w:sz w:val="24"/>
          <w:szCs w:val="24"/>
          <w14:textFill>
            <w14:solidFill>
              <w14:schemeClr w14:val="tx1"/>
            </w14:solidFill>
          </w14:textFill>
        </w:rPr>
      </w:pPr>
      <w:bookmarkStart w:id="240" w:name="_Toc17354"/>
      <w:bookmarkStart w:id="241" w:name="_Toc8621"/>
      <w:r>
        <w:rPr>
          <w:rFonts w:hint="default" w:ascii="Times New Roman" w:hAnsi="Times New Roman" w:eastAsia="宋体" w:cs="Times New Roman"/>
          <w:color w:val="000000" w:themeColor="text1"/>
          <w:sz w:val="24"/>
          <w:szCs w:val="24"/>
          <w14:textFill>
            <w14:solidFill>
              <w14:schemeClr w14:val="tx1"/>
            </w14:solidFill>
          </w14:textFill>
        </w:rPr>
        <w:t>A.6 扩展相对不确定度的确定</w:t>
      </w:r>
      <w:bookmarkEnd w:id="240"/>
      <w:bookmarkEnd w:id="241"/>
    </w:p>
    <w:p w14:paraId="6156351D">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position w:val="-12"/>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取包含因子</w:t>
      </w:r>
      <w:r>
        <w:rPr>
          <w:rFonts w:hint="default" w:ascii="Times New Roman" w:hAnsi="Times New Roman" w:eastAsia="宋体" w:cs="Times New Roman"/>
          <w:i/>
          <w:color w:val="000000" w:themeColor="text1"/>
          <w:sz w:val="24"/>
          <w:szCs w:val="24"/>
          <w14:textFill>
            <w14:solidFill>
              <w14:schemeClr w14:val="tx1"/>
            </w14:solidFill>
          </w14:textFill>
        </w:rPr>
        <w:t>k</w:t>
      </w:r>
      <w:r>
        <w:rPr>
          <w:rFonts w:hint="default" w:ascii="Times New Roman" w:hAnsi="Times New Roman" w:eastAsia="宋体" w:cs="Times New Roman"/>
          <w:color w:val="000000" w:themeColor="text1"/>
          <w:sz w:val="24"/>
          <w:szCs w:val="24"/>
          <w14:textFill>
            <w14:solidFill>
              <w14:schemeClr w14:val="tx1"/>
            </w14:solidFill>
          </w14:textFill>
        </w:rPr>
        <w:t>=2，则扩展相对不确定度为：</w:t>
      </w:r>
    </w:p>
    <w:p w14:paraId="324F76FC">
      <w:pPr>
        <w:keepNext w:val="0"/>
        <w:keepLines w:val="0"/>
        <w:pageBreakBefore w:val="0"/>
        <w:kinsoku/>
        <w:wordWrap/>
        <w:topLinePunct w:val="0"/>
        <w:bidi w:val="0"/>
        <w:adjustRightInd w:val="0"/>
        <w:snapToGrid w:val="0"/>
        <w:spacing w:line="336" w:lineRule="auto"/>
        <w:ind w:firstLine="480" w:firstLineChars="200"/>
        <w:rPr>
          <w:rFonts w:hint="default" w:ascii="Times New Roman" w:hAnsi="Times New Roman" w:eastAsia="宋体" w:cs="Times New Roman"/>
          <w:color w:val="000000" w:themeColor="text1"/>
          <w:sz w:val="24"/>
          <w:szCs w:val="24"/>
          <w:lang w:val="en-US"/>
          <w14:textFill>
            <w14:solidFill>
              <w14:schemeClr w14:val="tx1"/>
            </w14:solidFill>
          </w14:textFill>
        </w:rPr>
      </w:pPr>
      <m:oMathPara>
        <m:oMath>
          <m:r>
            <m:rPr>
              <m:nor/>
            </m:rPr>
            <w:rPr>
              <w:rFonts w:hint="default" w:ascii="Cambria Math" w:hAnsi="Cambria Math" w:eastAsia="宋体" w:cs="Times New Roman"/>
              <w:i/>
              <w:color w:val="000000" w:themeColor="text1"/>
              <w:kern w:val="2"/>
              <w:sz w:val="24"/>
              <w:szCs w:val="24"/>
              <w:lang w:val="en-US" w:eastAsia="zh-CN" w:bidi="ar-SA"/>
              <w14:textFill>
                <w14:solidFill>
                  <w14:schemeClr w14:val="tx1"/>
                </w14:solidFill>
              </w14:textFill>
            </w:rPr>
            <m:t>U</m:t>
          </m:r>
          <m:r>
            <m:rPr>
              <m:nor/>
              <m:sty m:val="p"/>
            </m:rPr>
            <w:rPr>
              <w:rFonts w:hint="default" w:ascii="Cambria Math" w:hAnsi="Cambria Math" w:eastAsia="宋体" w:cs="Times New Roman"/>
              <w:b w:val="0"/>
              <w:i w:val="0"/>
              <w:color w:val="000000" w:themeColor="text1"/>
              <w:kern w:val="2"/>
              <w:sz w:val="24"/>
              <w:szCs w:val="24"/>
              <w:lang w:val="en-US" w:eastAsia="zh-CN" w:bidi="ar-SA"/>
              <w14:textFill>
                <w14:solidFill>
                  <w14:schemeClr w14:val="tx1"/>
                </w14:solidFill>
              </w14:textFill>
            </w:rPr>
            <m:t>(</m:t>
          </m:r>
          <m:sSub>
            <m:sSubP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r</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Q</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kern w:val="2"/>
              <w:sz w:val="24"/>
              <w:szCs w:val="24"/>
              <w:lang w:val="en-US" w:eastAsia="zh-CN" w:bidi="ar-SA"/>
              <w14:textFill>
                <w14:solidFill>
                  <w14:schemeClr w14:val="tx1"/>
                </w14:solidFill>
              </w14:textFill>
            </w:rPr>
            <m:t>)=</m:t>
          </m:r>
          <m:r>
            <m:rPr>
              <m:nor/>
            </m:rPr>
            <w:rPr>
              <w:rFonts w:hint="default" w:ascii="Cambria Math" w:hAnsi="Cambria Math" w:eastAsia="宋体" w:cs="Times New Roman"/>
              <w:i/>
              <w:color w:val="000000" w:themeColor="text1"/>
              <w:kern w:val="2"/>
              <w:sz w:val="24"/>
              <w:szCs w:val="24"/>
              <w:lang w:val="en-US" w:eastAsia="zh-CN" w:bidi="ar-SA"/>
              <w14:textFill>
                <w14:solidFill>
                  <w14:schemeClr w14:val="tx1"/>
                </w14:solidFill>
              </w14:textFill>
            </w:rPr>
            <m:t>k</m:t>
          </m:r>
          <m:r>
            <m:rPr>
              <m:nor/>
              <m:sty m:val="p"/>
            </m:rPr>
            <w:rPr>
              <w:rFonts w:hint="default" w:ascii="Cambria Math" w:hAnsi="Cambria Math" w:eastAsia="宋体" w:cs="Times New Roman"/>
              <w:b w:val="0"/>
              <w:i w:val="0"/>
              <w:color w:val="000000" w:themeColor="text1"/>
              <w:kern w:val="2"/>
              <w:sz w:val="24"/>
              <w:szCs w:val="24"/>
              <w:lang w:val="en-US" w:eastAsia="zh-CN" w:bidi="ar-SA"/>
              <w14:textFill>
                <w14:solidFill>
                  <w14:schemeClr w14:val="tx1"/>
                </w14:solidFill>
              </w14:textFill>
            </w:rPr>
            <m:t>×</m:t>
          </m:r>
          <m:sSub>
            <m:sSubPr>
              <m:ctrlPr>
                <w:rPr>
                  <w:rFonts w:hint="default" w:ascii="Cambria Math" w:hAnsi="Cambria Math" w:eastAsia="宋体" w:cs="Times New Roman"/>
                  <w:i/>
                  <w:color w:val="000000" w:themeColor="text1"/>
                  <w:sz w:val="24"/>
                  <w:szCs w:val="24"/>
                  <w:highlight w:val="none"/>
                  <w14:textFill>
                    <w14:solidFill>
                      <w14:schemeClr w14:val="tx1"/>
                    </w14:solidFill>
                  </w14:textFill>
                </w:rPr>
              </m:ctrlPr>
            </m:sSubPr>
            <m:e>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u</m:t>
              </m:r>
              <m:ctrlPr>
                <w:rPr>
                  <w:rFonts w:hint="default" w:ascii="Cambria Math" w:hAnsi="Cambria Math" w:eastAsia="宋体" w:cs="Times New Roman"/>
                  <w:i/>
                  <w:color w:val="000000" w:themeColor="text1"/>
                  <w:sz w:val="24"/>
                  <w:szCs w:val="24"/>
                  <w:highlight w:val="none"/>
                  <w14:textFill>
                    <w14:solidFill>
                      <w14:schemeClr w14:val="tx1"/>
                    </w14:solidFill>
                  </w14:textFill>
                </w:rPr>
              </m:ctrlPr>
            </m:e>
            <m:sub>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c</m:t>
              </m:r>
              <m:ctrlPr>
                <w:rPr>
                  <w:rFonts w:hint="default" w:ascii="Cambria Math" w:hAnsi="Cambria Math" w:eastAsia="宋体" w:cs="Times New Roman"/>
                  <w:i/>
                  <w:color w:val="000000" w:themeColor="text1"/>
                  <w:sz w:val="24"/>
                  <w:szCs w:val="24"/>
                  <w:highlight w:val="none"/>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highlight w:val="none"/>
              <w:lang w:val="en-US"/>
              <w14:textFill>
                <w14:solidFill>
                  <w14:schemeClr w14:val="tx1"/>
                </w14:solidFill>
              </w14:textFill>
            </w:rPr>
            <m:t>(</m:t>
          </m:r>
          <m:sSub>
            <m:sSubP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SubPr>
            <m:e>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r</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e>
            <m:sub>
              <m:r>
                <m:rPr>
                  <m:nor/>
                </m:rPr>
                <w:rPr>
                  <w:rFonts w:hint="default" w:ascii="Cambria Math" w:hAnsi="Cambria Math" w:eastAsia="宋体" w:cs="Times New Roman"/>
                  <w:i/>
                  <w:color w:val="000000" w:themeColor="text1"/>
                  <w:sz w:val="24"/>
                  <w:szCs w:val="24"/>
                  <w:highlight w:val="none"/>
                  <w:lang w:val="en-US"/>
                  <w14:textFill>
                    <w14:solidFill>
                      <w14:schemeClr w14:val="tx1"/>
                    </w14:solidFill>
                  </w14:textFill>
                </w:rPr>
                <m:t>Q</m:t>
              </m:r>
              <m:ctrlPr>
                <w:rPr>
                  <w:rFonts w:hint="default" w:ascii="Cambria Math" w:hAnsi="Cambria Math" w:eastAsia="宋体" w:cs="Times New Roman"/>
                  <w:i/>
                  <w:color w:val="000000" w:themeColor="text1"/>
                  <w:sz w:val="24"/>
                  <w:szCs w:val="24"/>
                  <w:highlight w:val="none"/>
                  <w:lang w:val="en-US"/>
                  <w14:textFill>
                    <w14:solidFill>
                      <w14:schemeClr w14:val="tx1"/>
                    </w14:solidFill>
                  </w14:textFill>
                </w:rPr>
              </m:ctrlPr>
            </m:sub>
          </m:sSub>
          <m:r>
            <m:rPr>
              <m:nor/>
              <m:sty m:val="p"/>
            </m:rPr>
            <w:rPr>
              <w:rFonts w:hint="default" w:ascii="Cambria Math" w:hAnsi="Cambria Math" w:eastAsia="宋体" w:cs="Times New Roman"/>
              <w:b w:val="0"/>
              <w:i w:val="0"/>
              <w:color w:val="000000" w:themeColor="text1"/>
              <w:sz w:val="24"/>
              <w:szCs w:val="24"/>
              <w:highlight w:val="none"/>
              <w:lang w:val="en-US"/>
              <w14:textFill>
                <w14:solidFill>
                  <w14:schemeClr w14:val="tx1"/>
                </w14:solidFill>
              </w14:textFill>
            </w:rPr>
            <m:t>)=0.84%</m:t>
          </m:r>
        </m:oMath>
      </m:oMathPara>
    </w:p>
    <w:p w14:paraId="73005AC0">
      <w:pPr>
        <w:widowControl/>
        <w:jc w:val="left"/>
        <w:rPr>
          <w:rFonts w:hint="eastAsia" w:ascii="宋体" w:hAnsi="宋体" w:eastAsia="宋体" w:cs="宋体"/>
          <w:color w:val="000000" w:themeColor="text1"/>
          <w14:textFill>
            <w14:solidFill>
              <w14:schemeClr w14:val="tx1"/>
            </w14:solidFill>
          </w14:textFill>
        </w:rPr>
      </w:pPr>
    </w:p>
    <w:bookmarkEnd w:id="222"/>
    <w:bookmarkEnd w:id="225"/>
    <w:bookmarkEnd w:id="226"/>
    <w:bookmarkEnd w:id="227"/>
    <w:bookmarkEnd w:id="228"/>
    <w:bookmarkEnd w:id="229"/>
    <w:bookmarkEnd w:id="230"/>
    <w:bookmarkEnd w:id="231"/>
    <w:bookmarkEnd w:id="232"/>
    <w:bookmarkEnd w:id="233"/>
    <w:p w14:paraId="6CB90ECE">
      <w:pPr>
        <w:spacing w:line="300" w:lineRule="auto"/>
        <w:ind w:firstLine="2835" w:firstLineChars="1350"/>
        <w:rPr>
          <w:position w:val="-12"/>
          <w:szCs w:val="21"/>
        </w:rPr>
      </w:pPr>
    </w:p>
    <w:p w14:paraId="148102D5">
      <w:pPr>
        <w:spacing w:line="360" w:lineRule="auto"/>
        <w:ind w:firstLine="480" w:firstLineChars="200"/>
        <w:rPr>
          <w:sz w:val="24"/>
        </w:rPr>
      </w:pPr>
    </w:p>
    <w:p w14:paraId="55BCA726">
      <w:pPr>
        <w:widowControl/>
        <w:jc w:val="left"/>
        <w:rPr>
          <w:sz w:val="24"/>
        </w:rPr>
      </w:pPr>
      <w:r>
        <w:rPr>
          <w:sz w:val="24"/>
        </w:rPr>
        <w:br w:type="page"/>
      </w:r>
    </w:p>
    <w:p w14:paraId="12EDC09E">
      <w:pPr>
        <w:pStyle w:val="2"/>
        <w:keepLines w:val="0"/>
        <w:snapToGrid w:val="0"/>
        <w:spacing w:before="0" w:after="0" w:line="300" w:lineRule="auto"/>
        <w:rPr>
          <w:rFonts w:ascii="Times New Roman" w:hAnsi="Times New Roman" w:eastAsia="黑体" w:cs="Times New Roman"/>
          <w:b w:val="0"/>
          <w:spacing w:val="20"/>
          <w:kern w:val="13"/>
          <w:sz w:val="28"/>
          <w:szCs w:val="28"/>
        </w:rPr>
      </w:pPr>
      <w:bookmarkStart w:id="242" w:name="_Toc5806"/>
      <w:bookmarkStart w:id="243" w:name="_Toc184626269"/>
      <w:bookmarkStart w:id="244" w:name="_Toc1713276054"/>
      <w:bookmarkStart w:id="245" w:name="_Toc23063"/>
      <w:bookmarkStart w:id="246" w:name="_Toc8403"/>
      <w:bookmarkStart w:id="247" w:name="_Toc29052"/>
      <w:bookmarkStart w:id="248" w:name="_Toc2045718154"/>
      <w:bookmarkStart w:id="249" w:name="_Toc1912897352"/>
      <w:r>
        <w:rPr>
          <w:rFonts w:ascii="Times New Roman" w:hAnsi="Times New Roman" w:eastAsia="黑体" w:cs="Times New Roman"/>
          <w:b w:val="0"/>
          <w:spacing w:val="20"/>
          <w:kern w:val="13"/>
          <w:sz w:val="28"/>
          <w:szCs w:val="28"/>
        </w:rPr>
        <w:t>附录B</w:t>
      </w:r>
      <w:bookmarkEnd w:id="242"/>
      <w:bookmarkEnd w:id="243"/>
      <w:bookmarkEnd w:id="244"/>
      <w:bookmarkEnd w:id="245"/>
      <w:bookmarkEnd w:id="246"/>
      <w:bookmarkEnd w:id="247"/>
      <w:bookmarkEnd w:id="248"/>
      <w:bookmarkEnd w:id="249"/>
    </w:p>
    <w:p w14:paraId="6050DAF5">
      <w:pPr>
        <w:snapToGrid w:val="0"/>
        <w:spacing w:before="156" w:beforeLines="50" w:line="360" w:lineRule="auto"/>
        <w:jc w:val="center"/>
        <w:outlineLvl w:val="0"/>
        <w:rPr>
          <w:rFonts w:eastAsia="黑体"/>
          <w:sz w:val="28"/>
          <w:szCs w:val="28"/>
        </w:rPr>
      </w:pPr>
      <w:bookmarkStart w:id="250" w:name="_Toc23518"/>
      <w:r>
        <w:rPr>
          <w:rFonts w:eastAsia="黑体"/>
          <w:sz w:val="28"/>
          <w:szCs w:val="28"/>
        </w:rPr>
        <w:t>自动反应量热仪校准原始记录</w:t>
      </w:r>
      <w:bookmarkEnd w:id="250"/>
    </w:p>
    <w:p w14:paraId="6B42C32B">
      <w:pPr>
        <w:snapToGrid w:val="0"/>
        <w:spacing w:before="156" w:beforeLines="50" w:line="360" w:lineRule="auto"/>
        <w:ind w:firstLine="6480" w:firstLineChars="2700"/>
        <w:rPr>
          <w:sz w:val="24"/>
        </w:rPr>
      </w:pPr>
      <w:r>
        <w:rPr>
          <w:sz w:val="24"/>
        </w:rPr>
        <w:t>证书编号：</w:t>
      </w:r>
    </w:p>
    <w:tbl>
      <w:tblPr>
        <w:tblStyle w:val="16"/>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04"/>
        <w:gridCol w:w="76"/>
        <w:gridCol w:w="1433"/>
        <w:gridCol w:w="187"/>
        <w:gridCol w:w="961"/>
        <w:gridCol w:w="124"/>
        <w:gridCol w:w="431"/>
        <w:gridCol w:w="923"/>
        <w:gridCol w:w="495"/>
        <w:gridCol w:w="3332"/>
        <w:gridCol w:w="23"/>
      </w:tblGrid>
      <w:tr w14:paraId="08B7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05" w:type="dxa"/>
            <w:gridSpan w:val="12"/>
            <w:vAlign w:val="center"/>
          </w:tcPr>
          <w:p w14:paraId="69868BCF">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送校仪器信息：</w:t>
            </w:r>
          </w:p>
        </w:tc>
      </w:tr>
      <w:tr w14:paraId="5CF7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420" w:type="dxa"/>
            <w:gridSpan w:val="2"/>
            <w:vAlign w:val="center"/>
          </w:tcPr>
          <w:p w14:paraId="14AD461C">
            <w:pPr>
              <w:keepNext w:val="0"/>
              <w:keepLines w:val="0"/>
              <w:suppressLineNumbers w:val="0"/>
              <w:adjustRightInd w:val="0"/>
              <w:snapToGrid w:val="0"/>
              <w:spacing w:before="0" w:beforeAutospacing="0" w:after="0" w:afterAutospacing="0"/>
              <w:ind w:left="0" w:right="0"/>
              <w:rPr>
                <w:rFonts w:hint="default"/>
                <w:szCs w:val="21"/>
              </w:rPr>
            </w:pPr>
            <w:r>
              <w:rPr>
                <w:rFonts w:hint="default"/>
                <w:szCs w:val="21"/>
              </w:rPr>
              <w:t>委托单号</w:t>
            </w:r>
          </w:p>
        </w:tc>
        <w:tc>
          <w:tcPr>
            <w:tcW w:w="2657" w:type="dxa"/>
            <w:gridSpan w:val="4"/>
            <w:vAlign w:val="center"/>
          </w:tcPr>
          <w:p w14:paraId="0B3BC649">
            <w:pPr>
              <w:keepNext/>
              <w:keepLines/>
              <w:suppressLineNumbers w:val="0"/>
              <w:adjustRightInd w:val="0"/>
              <w:snapToGrid w:val="0"/>
              <w:spacing w:before="260" w:beforeAutospacing="0" w:after="260" w:afterAutospacing="0"/>
              <w:ind w:left="0" w:right="0"/>
              <w:outlineLvl w:val="2"/>
              <w:rPr>
                <w:rFonts w:hint="default"/>
                <w:szCs w:val="21"/>
              </w:rPr>
            </w:pPr>
          </w:p>
        </w:tc>
        <w:tc>
          <w:tcPr>
            <w:tcW w:w="1478" w:type="dxa"/>
            <w:gridSpan w:val="3"/>
            <w:vAlign w:val="center"/>
          </w:tcPr>
          <w:p w14:paraId="405EC4CE">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送校单位</w:t>
            </w:r>
          </w:p>
        </w:tc>
        <w:tc>
          <w:tcPr>
            <w:tcW w:w="3850" w:type="dxa"/>
            <w:gridSpan w:val="3"/>
            <w:vAlign w:val="center"/>
          </w:tcPr>
          <w:p w14:paraId="30AC10C2">
            <w:pPr>
              <w:keepNext/>
              <w:keepLines w:val="0"/>
              <w:suppressLineNumbers w:val="0"/>
              <w:tabs>
                <w:tab w:val="left" w:pos="425"/>
              </w:tabs>
              <w:adjustRightInd w:val="0"/>
              <w:snapToGrid w:val="0"/>
              <w:spacing w:before="156" w:beforeLines="50" w:beforeAutospacing="0" w:after="156" w:afterLines="50" w:afterAutospacing="0"/>
              <w:ind w:left="425" w:right="0" w:hanging="425"/>
              <w:outlineLvl w:val="0"/>
              <w:rPr>
                <w:rFonts w:hint="default"/>
                <w:szCs w:val="21"/>
              </w:rPr>
            </w:pPr>
          </w:p>
        </w:tc>
      </w:tr>
      <w:tr w14:paraId="43CE5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0" w:type="dxa"/>
            <w:gridSpan w:val="2"/>
            <w:vAlign w:val="center"/>
          </w:tcPr>
          <w:p w14:paraId="7C60CD3E">
            <w:pPr>
              <w:keepNext w:val="0"/>
              <w:keepLines w:val="0"/>
              <w:suppressLineNumbers w:val="0"/>
              <w:adjustRightInd w:val="0"/>
              <w:snapToGrid w:val="0"/>
              <w:spacing w:before="0" w:beforeAutospacing="0" w:after="0" w:afterAutospacing="0"/>
              <w:ind w:left="0" w:right="0"/>
              <w:rPr>
                <w:rFonts w:hint="default"/>
                <w:szCs w:val="21"/>
              </w:rPr>
            </w:pPr>
            <w:r>
              <w:rPr>
                <w:rFonts w:hint="default"/>
                <w:szCs w:val="21"/>
              </w:rPr>
              <w:t>名称</w:t>
            </w:r>
          </w:p>
        </w:tc>
        <w:tc>
          <w:tcPr>
            <w:tcW w:w="2657" w:type="dxa"/>
            <w:gridSpan w:val="4"/>
            <w:vAlign w:val="center"/>
          </w:tcPr>
          <w:p w14:paraId="0EDA7374">
            <w:pPr>
              <w:keepNext/>
              <w:keepLines/>
              <w:suppressLineNumbers w:val="0"/>
              <w:adjustRightInd w:val="0"/>
              <w:snapToGrid w:val="0"/>
              <w:spacing w:before="260" w:beforeAutospacing="0" w:after="260" w:afterAutospacing="0"/>
              <w:ind w:left="0" w:right="0"/>
              <w:outlineLvl w:val="2"/>
              <w:rPr>
                <w:rFonts w:hint="default"/>
                <w:szCs w:val="21"/>
              </w:rPr>
            </w:pPr>
          </w:p>
        </w:tc>
        <w:tc>
          <w:tcPr>
            <w:tcW w:w="1478" w:type="dxa"/>
            <w:gridSpan w:val="3"/>
            <w:vAlign w:val="center"/>
          </w:tcPr>
          <w:p w14:paraId="20E58617">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制造单位</w:t>
            </w:r>
          </w:p>
        </w:tc>
        <w:tc>
          <w:tcPr>
            <w:tcW w:w="3850" w:type="dxa"/>
            <w:gridSpan w:val="3"/>
            <w:vAlign w:val="center"/>
          </w:tcPr>
          <w:p w14:paraId="6440044B">
            <w:pPr>
              <w:keepNext/>
              <w:keepLines w:val="0"/>
              <w:suppressLineNumbers w:val="0"/>
              <w:tabs>
                <w:tab w:val="left" w:pos="425"/>
              </w:tabs>
              <w:adjustRightInd w:val="0"/>
              <w:snapToGrid w:val="0"/>
              <w:spacing w:before="156" w:beforeLines="50" w:beforeAutospacing="0" w:after="156" w:afterLines="50" w:afterAutospacing="0"/>
              <w:ind w:left="425" w:right="0" w:hanging="425"/>
              <w:outlineLvl w:val="0"/>
              <w:rPr>
                <w:rFonts w:hint="default"/>
                <w:szCs w:val="21"/>
              </w:rPr>
            </w:pPr>
          </w:p>
        </w:tc>
      </w:tr>
      <w:tr w14:paraId="37A5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420" w:type="dxa"/>
            <w:gridSpan w:val="2"/>
            <w:vAlign w:val="center"/>
          </w:tcPr>
          <w:p w14:paraId="13C4F0FE">
            <w:pPr>
              <w:keepNext w:val="0"/>
              <w:keepLines w:val="0"/>
              <w:suppressLineNumbers w:val="0"/>
              <w:adjustRightInd w:val="0"/>
              <w:snapToGrid w:val="0"/>
              <w:spacing w:before="0" w:beforeAutospacing="0" w:after="0" w:afterAutospacing="0"/>
              <w:ind w:left="0" w:right="0"/>
              <w:rPr>
                <w:rFonts w:hint="default"/>
                <w:szCs w:val="21"/>
              </w:rPr>
            </w:pPr>
            <w:r>
              <w:rPr>
                <w:rFonts w:hint="default"/>
                <w:szCs w:val="21"/>
              </w:rPr>
              <w:t>型号/规格</w:t>
            </w:r>
          </w:p>
        </w:tc>
        <w:tc>
          <w:tcPr>
            <w:tcW w:w="2657" w:type="dxa"/>
            <w:gridSpan w:val="4"/>
            <w:vAlign w:val="center"/>
          </w:tcPr>
          <w:p w14:paraId="44CA6E7A">
            <w:pPr>
              <w:keepNext/>
              <w:keepLines/>
              <w:suppressLineNumbers w:val="0"/>
              <w:adjustRightInd w:val="0"/>
              <w:snapToGrid w:val="0"/>
              <w:spacing w:before="260" w:beforeAutospacing="0" w:after="260" w:afterAutospacing="0"/>
              <w:ind w:left="0" w:right="0"/>
              <w:outlineLvl w:val="2"/>
              <w:rPr>
                <w:rFonts w:hint="default"/>
                <w:szCs w:val="21"/>
              </w:rPr>
            </w:pPr>
          </w:p>
        </w:tc>
        <w:tc>
          <w:tcPr>
            <w:tcW w:w="1478" w:type="dxa"/>
            <w:gridSpan w:val="3"/>
            <w:vAlign w:val="center"/>
          </w:tcPr>
          <w:p w14:paraId="0462345E">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出厂编号</w:t>
            </w:r>
          </w:p>
        </w:tc>
        <w:tc>
          <w:tcPr>
            <w:tcW w:w="3850" w:type="dxa"/>
            <w:gridSpan w:val="3"/>
            <w:vAlign w:val="center"/>
          </w:tcPr>
          <w:p w14:paraId="7D7EDE1D">
            <w:pPr>
              <w:keepNext/>
              <w:keepLines w:val="0"/>
              <w:suppressLineNumbers w:val="0"/>
              <w:tabs>
                <w:tab w:val="left" w:pos="425"/>
              </w:tabs>
              <w:adjustRightInd w:val="0"/>
              <w:snapToGrid w:val="0"/>
              <w:spacing w:before="156" w:beforeLines="50" w:beforeAutospacing="0" w:after="156" w:afterLines="50" w:afterAutospacing="0"/>
              <w:ind w:left="425" w:right="0" w:hanging="425"/>
              <w:outlineLvl w:val="0"/>
              <w:rPr>
                <w:rFonts w:hint="default"/>
                <w:szCs w:val="21"/>
              </w:rPr>
            </w:pPr>
          </w:p>
        </w:tc>
      </w:tr>
      <w:tr w14:paraId="63CD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441" w:hRule="atLeast"/>
          <w:jc w:val="center"/>
        </w:trPr>
        <w:tc>
          <w:tcPr>
            <w:tcW w:w="9382" w:type="dxa"/>
            <w:gridSpan w:val="11"/>
            <w:vAlign w:val="center"/>
          </w:tcPr>
          <w:p w14:paraId="44FC22F1">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校准环境条件及地点：</w:t>
            </w:r>
          </w:p>
        </w:tc>
      </w:tr>
      <w:tr w14:paraId="1DD06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400" w:hRule="atLeast"/>
          <w:jc w:val="center"/>
        </w:trPr>
        <w:tc>
          <w:tcPr>
            <w:tcW w:w="1316" w:type="dxa"/>
            <w:vAlign w:val="center"/>
          </w:tcPr>
          <w:p w14:paraId="64A85EAF">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温度</w:t>
            </w:r>
          </w:p>
        </w:tc>
        <w:tc>
          <w:tcPr>
            <w:tcW w:w="1800" w:type="dxa"/>
            <w:gridSpan w:val="4"/>
            <w:vAlign w:val="center"/>
          </w:tcPr>
          <w:p w14:paraId="7007DFF3">
            <w:pPr>
              <w:keepNext w:val="0"/>
              <w:keepLines w:val="0"/>
              <w:widowControl/>
              <w:suppressLineNumbers w:val="0"/>
              <w:tabs>
                <w:tab w:val="left" w:pos="-3024"/>
                <w:tab w:val="left" w:pos="8948"/>
              </w:tabs>
              <w:snapToGrid w:val="0"/>
              <w:spacing w:before="0" w:beforeAutospacing="0" w:after="0" w:afterAutospacing="0"/>
              <w:ind w:left="0" w:right="25" w:rightChars="12" w:firstLine="1155" w:firstLineChars="550"/>
              <w:rPr>
                <w:rFonts w:hint="default"/>
                <w:szCs w:val="21"/>
              </w:rPr>
            </w:pPr>
            <w:r>
              <w:rPr>
                <w:rFonts w:hint="default"/>
                <w:szCs w:val="21"/>
              </w:rPr>
              <w:t>℃</w:t>
            </w:r>
          </w:p>
        </w:tc>
        <w:tc>
          <w:tcPr>
            <w:tcW w:w="1085" w:type="dxa"/>
            <w:gridSpan w:val="2"/>
            <w:vAlign w:val="center"/>
          </w:tcPr>
          <w:p w14:paraId="74BF8F9E">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地点</w:t>
            </w:r>
          </w:p>
        </w:tc>
        <w:tc>
          <w:tcPr>
            <w:tcW w:w="5181" w:type="dxa"/>
            <w:gridSpan w:val="4"/>
            <w:vAlign w:val="center"/>
          </w:tcPr>
          <w:p w14:paraId="54D77176">
            <w:pPr>
              <w:keepNext/>
              <w:keepLines/>
              <w:widowControl/>
              <w:suppressLineNumbers w:val="0"/>
              <w:tabs>
                <w:tab w:val="left" w:pos="-3024"/>
                <w:tab w:val="left" w:pos="8948"/>
              </w:tabs>
              <w:snapToGrid w:val="0"/>
              <w:spacing w:before="260" w:beforeAutospacing="0" w:after="260" w:afterAutospacing="0"/>
              <w:ind w:left="0" w:right="25" w:rightChars="12"/>
              <w:outlineLvl w:val="2"/>
              <w:rPr>
                <w:rFonts w:hint="default"/>
                <w:szCs w:val="21"/>
              </w:rPr>
            </w:pPr>
          </w:p>
        </w:tc>
      </w:tr>
      <w:tr w14:paraId="2E0A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452" w:hRule="atLeast"/>
          <w:jc w:val="center"/>
        </w:trPr>
        <w:tc>
          <w:tcPr>
            <w:tcW w:w="1316" w:type="dxa"/>
            <w:vAlign w:val="center"/>
          </w:tcPr>
          <w:p w14:paraId="63C2D2B6">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相对湿度</w:t>
            </w:r>
          </w:p>
        </w:tc>
        <w:tc>
          <w:tcPr>
            <w:tcW w:w="1800" w:type="dxa"/>
            <w:gridSpan w:val="4"/>
            <w:vAlign w:val="center"/>
          </w:tcPr>
          <w:p w14:paraId="65508BB8">
            <w:pPr>
              <w:keepNext/>
              <w:keepLines/>
              <w:widowControl/>
              <w:suppressLineNumbers w:val="0"/>
              <w:tabs>
                <w:tab w:val="left" w:pos="-3024"/>
                <w:tab w:val="left" w:pos="8948"/>
              </w:tabs>
              <w:snapToGrid w:val="0"/>
              <w:spacing w:before="260" w:beforeAutospacing="0" w:after="260" w:afterAutospacing="0"/>
              <w:ind w:left="0" w:right="25" w:rightChars="12" w:firstLine="1260" w:firstLineChars="600"/>
              <w:outlineLvl w:val="2"/>
              <w:rPr>
                <w:rFonts w:hint="default"/>
                <w:szCs w:val="21"/>
              </w:rPr>
            </w:pPr>
          </w:p>
        </w:tc>
        <w:tc>
          <w:tcPr>
            <w:tcW w:w="1085" w:type="dxa"/>
            <w:gridSpan w:val="2"/>
            <w:vAlign w:val="center"/>
          </w:tcPr>
          <w:p w14:paraId="35DEC1EB">
            <w:pPr>
              <w:keepNext w:val="0"/>
              <w:keepLines w:val="0"/>
              <w:widowControl/>
              <w:suppressLineNumbers w:val="0"/>
              <w:tabs>
                <w:tab w:val="left" w:pos="-3024"/>
                <w:tab w:val="left" w:pos="8948"/>
              </w:tabs>
              <w:snapToGrid w:val="0"/>
              <w:spacing w:before="0" w:beforeAutospacing="0" w:after="0" w:afterAutospacing="0"/>
              <w:ind w:left="0" w:right="25" w:rightChars="12"/>
              <w:rPr>
                <w:rFonts w:hint="default"/>
                <w:szCs w:val="21"/>
              </w:rPr>
            </w:pPr>
            <w:r>
              <w:rPr>
                <w:rFonts w:hint="default"/>
                <w:szCs w:val="21"/>
              </w:rPr>
              <w:t>其它</w:t>
            </w:r>
          </w:p>
        </w:tc>
        <w:tc>
          <w:tcPr>
            <w:tcW w:w="5181" w:type="dxa"/>
            <w:gridSpan w:val="4"/>
            <w:vAlign w:val="center"/>
          </w:tcPr>
          <w:p w14:paraId="5C880970">
            <w:pPr>
              <w:keepNext/>
              <w:keepLines/>
              <w:widowControl/>
              <w:suppressLineNumbers w:val="0"/>
              <w:tabs>
                <w:tab w:val="left" w:pos="-3024"/>
                <w:tab w:val="left" w:pos="8948"/>
              </w:tabs>
              <w:snapToGrid w:val="0"/>
              <w:spacing w:before="260" w:beforeAutospacing="0" w:after="260" w:afterAutospacing="0"/>
              <w:ind w:left="0" w:right="25" w:rightChars="12"/>
              <w:outlineLvl w:val="2"/>
              <w:rPr>
                <w:rFonts w:hint="default"/>
                <w:szCs w:val="21"/>
              </w:rPr>
            </w:pPr>
          </w:p>
        </w:tc>
      </w:tr>
      <w:tr w14:paraId="0A40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71" w:hRule="atLeast"/>
          <w:jc w:val="center"/>
        </w:trPr>
        <w:tc>
          <w:tcPr>
            <w:tcW w:w="9382" w:type="dxa"/>
            <w:gridSpan w:val="11"/>
          </w:tcPr>
          <w:p w14:paraId="5DC9ADAC">
            <w:pPr>
              <w:keepNext w:val="0"/>
              <w:keepLines w:val="0"/>
              <w:suppressLineNumbers w:val="0"/>
              <w:spacing w:before="0" w:beforeAutospacing="0" w:after="0" w:afterAutospacing="0"/>
              <w:ind w:left="0" w:right="0"/>
              <w:rPr>
                <w:rFonts w:hint="default"/>
                <w:szCs w:val="21"/>
              </w:rPr>
            </w:pPr>
            <w:r>
              <w:rPr>
                <w:rFonts w:hint="default"/>
                <w:szCs w:val="21"/>
              </w:rPr>
              <w:t>校准所依据的技术文件（代号、名称）：</w:t>
            </w:r>
          </w:p>
          <w:p w14:paraId="4E95DF02">
            <w:pPr>
              <w:keepNext w:val="0"/>
              <w:keepLines w:val="0"/>
              <w:suppressLineNumbers w:val="0"/>
              <w:spacing w:before="0" w:beforeAutospacing="0" w:after="0" w:afterAutospacing="0"/>
              <w:ind w:left="0" w:right="0"/>
              <w:rPr>
                <w:rFonts w:hint="default"/>
                <w:szCs w:val="21"/>
              </w:rPr>
            </w:pPr>
          </w:p>
        </w:tc>
      </w:tr>
      <w:tr w14:paraId="3193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71" w:hRule="atLeast"/>
          <w:jc w:val="center"/>
        </w:trPr>
        <w:tc>
          <w:tcPr>
            <w:tcW w:w="9382" w:type="dxa"/>
            <w:gridSpan w:val="11"/>
          </w:tcPr>
          <w:p w14:paraId="5D8865F5">
            <w:pPr>
              <w:keepNext w:val="0"/>
              <w:keepLines w:val="0"/>
              <w:suppressLineNumbers w:val="0"/>
              <w:spacing w:before="0" w:beforeAutospacing="0" w:after="0" w:afterAutospacing="0"/>
              <w:ind w:left="0" w:right="0"/>
              <w:rPr>
                <w:rFonts w:hint="default"/>
                <w:szCs w:val="21"/>
              </w:rPr>
            </w:pPr>
            <w:r>
              <w:rPr>
                <w:rFonts w:hint="default"/>
                <w:szCs w:val="21"/>
              </w:rPr>
              <w:t>校准所使用的主要测量标准：</w:t>
            </w:r>
          </w:p>
        </w:tc>
      </w:tr>
      <w:tr w14:paraId="2165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1001" w:hRule="exact"/>
          <w:jc w:val="center"/>
        </w:trPr>
        <w:tc>
          <w:tcPr>
            <w:tcW w:w="1496" w:type="dxa"/>
            <w:gridSpan w:val="3"/>
            <w:vAlign w:val="center"/>
          </w:tcPr>
          <w:p w14:paraId="4340140E">
            <w:pPr>
              <w:keepNext w:val="0"/>
              <w:keepLines w:val="0"/>
              <w:suppressLineNumbers w:val="0"/>
              <w:spacing w:before="0" w:beforeAutospacing="0" w:after="0" w:afterAutospacing="0"/>
              <w:ind w:left="0" w:right="0"/>
              <w:jc w:val="center"/>
              <w:rPr>
                <w:rFonts w:hint="default"/>
                <w:szCs w:val="21"/>
              </w:rPr>
            </w:pPr>
            <w:r>
              <w:rPr>
                <w:rFonts w:hint="default"/>
                <w:szCs w:val="21"/>
              </w:rPr>
              <w:t>名称</w:t>
            </w:r>
          </w:p>
        </w:tc>
        <w:tc>
          <w:tcPr>
            <w:tcW w:w="1433" w:type="dxa"/>
            <w:vAlign w:val="center"/>
          </w:tcPr>
          <w:p w14:paraId="27721D4F">
            <w:pPr>
              <w:keepNext w:val="0"/>
              <w:keepLines w:val="0"/>
              <w:suppressLineNumbers w:val="0"/>
              <w:spacing w:before="0" w:beforeAutospacing="0" w:after="0" w:afterAutospacing="0"/>
              <w:ind w:left="0" w:right="0"/>
              <w:jc w:val="center"/>
              <w:rPr>
                <w:rFonts w:hint="default"/>
                <w:szCs w:val="21"/>
              </w:rPr>
            </w:pPr>
            <w:r>
              <w:rPr>
                <w:rFonts w:hint="default"/>
                <w:szCs w:val="21"/>
              </w:rPr>
              <w:t>测量范围</w:t>
            </w:r>
          </w:p>
        </w:tc>
        <w:tc>
          <w:tcPr>
            <w:tcW w:w="1703" w:type="dxa"/>
            <w:gridSpan w:val="4"/>
            <w:vAlign w:val="center"/>
          </w:tcPr>
          <w:p w14:paraId="7D17131C">
            <w:pPr>
              <w:keepNext w:val="0"/>
              <w:keepLines w:val="0"/>
              <w:suppressLineNumbers w:val="0"/>
              <w:spacing w:before="0" w:beforeAutospacing="0" w:after="0" w:afterAutospacing="0"/>
              <w:ind w:left="0" w:right="0"/>
              <w:jc w:val="center"/>
              <w:rPr>
                <w:rFonts w:hint="default"/>
                <w:szCs w:val="21"/>
              </w:rPr>
            </w:pPr>
            <w:r>
              <w:rPr>
                <w:rFonts w:hint="default"/>
                <w:szCs w:val="21"/>
              </w:rPr>
              <w:t>不确定度/</w:t>
            </w:r>
          </w:p>
          <w:p w14:paraId="040E2BF5">
            <w:pPr>
              <w:keepNext w:val="0"/>
              <w:keepLines w:val="0"/>
              <w:suppressLineNumbers w:val="0"/>
              <w:spacing w:before="0" w:beforeAutospacing="0" w:after="0" w:afterAutospacing="0"/>
              <w:ind w:left="0" w:right="0"/>
              <w:jc w:val="center"/>
              <w:rPr>
                <w:rFonts w:hint="default"/>
                <w:szCs w:val="21"/>
              </w:rPr>
            </w:pPr>
            <w:r>
              <w:rPr>
                <w:rFonts w:hint="default"/>
                <w:szCs w:val="21"/>
              </w:rPr>
              <w:t>准确度等级</w:t>
            </w:r>
          </w:p>
        </w:tc>
        <w:tc>
          <w:tcPr>
            <w:tcW w:w="1418" w:type="dxa"/>
            <w:gridSpan w:val="2"/>
            <w:vAlign w:val="center"/>
          </w:tcPr>
          <w:p w14:paraId="66CBA5B7">
            <w:pPr>
              <w:keepNext w:val="0"/>
              <w:keepLines w:val="0"/>
              <w:suppressLineNumbers w:val="0"/>
              <w:spacing w:before="0" w:beforeAutospacing="0" w:after="0" w:afterAutospacing="0"/>
              <w:ind w:left="0" w:right="0"/>
              <w:jc w:val="center"/>
              <w:rPr>
                <w:rFonts w:hint="default"/>
                <w:szCs w:val="21"/>
              </w:rPr>
            </w:pPr>
            <w:r>
              <w:rPr>
                <w:rFonts w:hint="default"/>
                <w:szCs w:val="21"/>
              </w:rPr>
              <w:t>证书编号</w:t>
            </w:r>
          </w:p>
        </w:tc>
        <w:tc>
          <w:tcPr>
            <w:tcW w:w="3332" w:type="dxa"/>
            <w:vAlign w:val="center"/>
          </w:tcPr>
          <w:p w14:paraId="47076E28">
            <w:pPr>
              <w:keepNext w:val="0"/>
              <w:keepLines w:val="0"/>
              <w:suppressLineNumbers w:val="0"/>
              <w:spacing w:before="0" w:beforeAutospacing="0" w:after="0" w:afterAutospacing="0"/>
              <w:ind w:left="0" w:right="0"/>
              <w:jc w:val="center"/>
              <w:rPr>
                <w:rFonts w:hint="default"/>
                <w:szCs w:val="21"/>
              </w:rPr>
            </w:pPr>
            <w:r>
              <w:rPr>
                <w:rFonts w:hint="default"/>
                <w:szCs w:val="21"/>
              </w:rPr>
              <w:t>证书有效期至</w:t>
            </w:r>
          </w:p>
          <w:p w14:paraId="5CCFFEB7">
            <w:pPr>
              <w:keepNext w:val="0"/>
              <w:keepLines w:val="0"/>
              <w:suppressLineNumbers w:val="0"/>
              <w:spacing w:before="0" w:beforeAutospacing="0" w:after="0" w:afterAutospacing="0"/>
              <w:ind w:left="0" w:right="0"/>
              <w:jc w:val="center"/>
              <w:rPr>
                <w:rFonts w:hint="default"/>
                <w:szCs w:val="21"/>
              </w:rPr>
            </w:pPr>
            <w:r>
              <w:rPr>
                <w:rFonts w:hint="default"/>
                <w:szCs w:val="21"/>
              </w:rPr>
              <w:t>(YYYY-MM-DD)</w:t>
            </w:r>
          </w:p>
        </w:tc>
      </w:tr>
      <w:tr w14:paraId="28EF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2845" w:hRule="exact"/>
          <w:jc w:val="center"/>
        </w:trPr>
        <w:tc>
          <w:tcPr>
            <w:tcW w:w="1496" w:type="dxa"/>
            <w:gridSpan w:val="3"/>
            <w:vAlign w:val="center"/>
          </w:tcPr>
          <w:p w14:paraId="2BFB15EE">
            <w:pPr>
              <w:keepNext w:val="0"/>
              <w:keepLines w:val="0"/>
              <w:suppressLineNumbers w:val="0"/>
              <w:spacing w:before="0" w:beforeAutospacing="0" w:after="0" w:afterAutospacing="0"/>
              <w:ind w:left="0" w:right="0"/>
              <w:rPr>
                <w:rFonts w:hint="default"/>
              </w:rPr>
            </w:pPr>
          </w:p>
        </w:tc>
        <w:tc>
          <w:tcPr>
            <w:tcW w:w="1433" w:type="dxa"/>
            <w:vAlign w:val="center"/>
          </w:tcPr>
          <w:p w14:paraId="7EFE5425">
            <w:pPr>
              <w:keepNext w:val="0"/>
              <w:keepLines w:val="0"/>
              <w:suppressLineNumbers w:val="0"/>
              <w:spacing w:before="0" w:beforeAutospacing="0" w:after="0" w:afterAutospacing="0"/>
              <w:ind w:left="0" w:right="0"/>
              <w:rPr>
                <w:rFonts w:hint="default"/>
              </w:rPr>
            </w:pPr>
          </w:p>
        </w:tc>
        <w:tc>
          <w:tcPr>
            <w:tcW w:w="1703" w:type="dxa"/>
            <w:gridSpan w:val="4"/>
            <w:vAlign w:val="center"/>
          </w:tcPr>
          <w:p w14:paraId="6AA95E70">
            <w:pPr>
              <w:keepNext w:val="0"/>
              <w:keepLines w:val="0"/>
              <w:suppressLineNumbers w:val="0"/>
              <w:spacing w:before="0" w:beforeAutospacing="0" w:after="0" w:afterAutospacing="0"/>
              <w:ind w:left="0" w:right="0"/>
              <w:rPr>
                <w:rFonts w:hint="default"/>
              </w:rPr>
            </w:pPr>
          </w:p>
        </w:tc>
        <w:tc>
          <w:tcPr>
            <w:tcW w:w="1418" w:type="dxa"/>
            <w:gridSpan w:val="2"/>
            <w:vAlign w:val="center"/>
          </w:tcPr>
          <w:p w14:paraId="0AA5E5E8">
            <w:pPr>
              <w:keepNext w:val="0"/>
              <w:keepLines w:val="0"/>
              <w:suppressLineNumbers w:val="0"/>
              <w:spacing w:before="0" w:beforeAutospacing="0" w:after="0" w:afterAutospacing="0"/>
              <w:ind w:left="0" w:right="0"/>
              <w:rPr>
                <w:rFonts w:hint="default"/>
              </w:rPr>
            </w:pPr>
          </w:p>
        </w:tc>
        <w:tc>
          <w:tcPr>
            <w:tcW w:w="3332" w:type="dxa"/>
            <w:vAlign w:val="center"/>
          </w:tcPr>
          <w:p w14:paraId="4EB1720A">
            <w:pPr>
              <w:keepNext w:val="0"/>
              <w:keepLines w:val="0"/>
              <w:suppressLineNumbers w:val="0"/>
              <w:spacing w:before="0" w:beforeAutospacing="0" w:after="0" w:afterAutospacing="0"/>
              <w:ind w:left="0" w:right="0"/>
              <w:rPr>
                <w:rFonts w:hint="default"/>
              </w:rPr>
            </w:pPr>
          </w:p>
        </w:tc>
      </w:tr>
    </w:tbl>
    <w:p w14:paraId="38DC4E59">
      <w:pPr>
        <w:spacing w:line="360" w:lineRule="auto"/>
        <w:rPr>
          <w:szCs w:val="28"/>
        </w:rPr>
      </w:pPr>
    </w:p>
    <w:p w14:paraId="7AA7FDDA">
      <w:pPr>
        <w:snapToGrid w:val="0"/>
        <w:spacing w:before="156" w:beforeLines="50"/>
        <w:jc w:val="center"/>
      </w:pPr>
      <w:r>
        <w:t>第  页    共  页</w:t>
      </w:r>
    </w:p>
    <w:p w14:paraId="4D437C0A">
      <w:pPr>
        <w:jc w:val="left"/>
      </w:pPr>
      <w:r>
        <w:br w:type="page"/>
      </w:r>
    </w:p>
    <w:p w14:paraId="4E56576A">
      <w:pPr>
        <w:snapToGrid w:val="0"/>
        <w:jc w:val="center"/>
        <w:rPr>
          <w:rFonts w:eastAsia="黑体"/>
          <w:sz w:val="28"/>
          <w:szCs w:val="28"/>
        </w:rPr>
      </w:pPr>
      <w:r>
        <w:rPr>
          <w:rFonts w:eastAsia="黑体"/>
          <w:sz w:val="28"/>
          <w:szCs w:val="28"/>
        </w:rPr>
        <w:t>自动反应量热仪校准原始记录</w:t>
      </w:r>
    </w:p>
    <w:p w14:paraId="78E9E611">
      <w:pPr>
        <w:snapToGrid w:val="0"/>
        <w:spacing w:before="156" w:beforeLines="50" w:line="360" w:lineRule="auto"/>
        <w:ind w:firstLine="6480" w:firstLineChars="2700"/>
        <w:rPr>
          <w:sz w:val="24"/>
        </w:rPr>
      </w:pPr>
      <w:r>
        <w:rPr>
          <w:sz w:val="24"/>
        </w:rPr>
        <w:t>证书编号：</w:t>
      </w:r>
    </w:p>
    <w:p w14:paraId="230DC85D">
      <w:pPr>
        <w:snapToGrid w:val="0"/>
        <w:spacing w:before="156" w:beforeLines="50" w:line="360" w:lineRule="auto"/>
        <w:jc w:val="center"/>
        <w:rPr>
          <w:sz w:val="24"/>
        </w:rPr>
      </w:pPr>
      <w:r>
        <w:rPr>
          <w:sz w:val="24"/>
        </w:rPr>
        <w:t>校准结果记录</w:t>
      </w:r>
    </w:p>
    <w:p w14:paraId="5D7C06A3">
      <w:pPr>
        <w:numPr>
          <w:ilvl w:val="0"/>
          <w:numId w:val="1"/>
        </w:numPr>
        <w:spacing w:before="156" w:beforeLines="50" w:after="156" w:afterLines="50" w:line="360" w:lineRule="auto"/>
        <w:jc w:val="left"/>
        <w:rPr>
          <w:rFonts w:eastAsia="黑体"/>
          <w:sz w:val="24"/>
        </w:rPr>
      </w:pPr>
      <w:r>
        <w:rPr>
          <w:rFonts w:eastAsia="黑体"/>
          <w:sz w:val="24"/>
        </w:rPr>
        <w:t>质量示值误差</w:t>
      </w:r>
    </w:p>
    <w:tbl>
      <w:tblPr>
        <w:tblStyle w:val="16"/>
        <w:tblW w:w="5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8"/>
        <w:gridCol w:w="1017"/>
        <w:gridCol w:w="1244"/>
        <w:gridCol w:w="1021"/>
        <w:gridCol w:w="1004"/>
      </w:tblGrid>
      <w:tr w14:paraId="7448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488" w:type="dxa"/>
            <w:vMerge w:val="restart"/>
            <w:vAlign w:val="center"/>
          </w:tcPr>
          <w:p w14:paraId="1B298B3C">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载荷(g)</w:t>
            </w:r>
          </w:p>
        </w:tc>
        <w:tc>
          <w:tcPr>
            <w:tcW w:w="2261" w:type="dxa"/>
            <w:gridSpan w:val="2"/>
            <w:vAlign w:val="center"/>
          </w:tcPr>
          <w:p w14:paraId="631FF880">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测得值(g)</w:t>
            </w:r>
          </w:p>
        </w:tc>
        <w:tc>
          <w:tcPr>
            <w:tcW w:w="2025" w:type="dxa"/>
            <w:gridSpan w:val="2"/>
            <w:vAlign w:val="center"/>
          </w:tcPr>
          <w:p w14:paraId="18FEAFBB">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示值误差(g)</w:t>
            </w:r>
          </w:p>
        </w:tc>
      </w:tr>
      <w:tr w14:paraId="09C82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488" w:type="dxa"/>
            <w:vMerge w:val="continue"/>
            <w:vAlign w:val="center"/>
          </w:tcPr>
          <w:p w14:paraId="536F6004">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17" w:type="dxa"/>
            <w:vAlign w:val="center"/>
          </w:tcPr>
          <w:p w14:paraId="708CCC38">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加载</w:t>
            </w:r>
          </w:p>
        </w:tc>
        <w:tc>
          <w:tcPr>
            <w:tcW w:w="1244" w:type="dxa"/>
            <w:vAlign w:val="center"/>
          </w:tcPr>
          <w:p w14:paraId="0B7F2C4B">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卸载</w:t>
            </w:r>
          </w:p>
        </w:tc>
        <w:tc>
          <w:tcPr>
            <w:tcW w:w="1021" w:type="dxa"/>
            <w:vAlign w:val="center"/>
          </w:tcPr>
          <w:p w14:paraId="15EB1E68">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加载</w:t>
            </w:r>
          </w:p>
        </w:tc>
        <w:tc>
          <w:tcPr>
            <w:tcW w:w="1004" w:type="dxa"/>
            <w:vAlign w:val="center"/>
          </w:tcPr>
          <w:p w14:paraId="03E057E0">
            <w:pPr>
              <w:keepNext w:val="0"/>
              <w:keepLines w:val="0"/>
              <w:suppressLineNumbers w:val="0"/>
              <w:adjustRightInd w:val="0"/>
              <w:snapToGrid w:val="0"/>
              <w:spacing w:before="0" w:beforeAutospacing="0" w:after="0" w:afterAutospacing="0"/>
              <w:ind w:left="0" w:right="0"/>
              <w:jc w:val="center"/>
              <w:rPr>
                <w:rFonts w:hint="default"/>
                <w:szCs w:val="21"/>
              </w:rPr>
            </w:pPr>
            <w:r>
              <w:rPr>
                <w:rFonts w:hint="default"/>
                <w:szCs w:val="21"/>
              </w:rPr>
              <w:t>卸载</w:t>
            </w:r>
          </w:p>
        </w:tc>
      </w:tr>
      <w:tr w14:paraId="164D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Align w:val="center"/>
          </w:tcPr>
          <w:p w14:paraId="145ED383">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17" w:type="dxa"/>
            <w:vAlign w:val="center"/>
          </w:tcPr>
          <w:p w14:paraId="4BC35304">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244" w:type="dxa"/>
            <w:vAlign w:val="center"/>
          </w:tcPr>
          <w:p w14:paraId="1C468140">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21" w:type="dxa"/>
            <w:vAlign w:val="center"/>
          </w:tcPr>
          <w:p w14:paraId="5E884AFD">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04" w:type="dxa"/>
            <w:vAlign w:val="center"/>
          </w:tcPr>
          <w:p w14:paraId="434489E3">
            <w:pPr>
              <w:keepNext w:val="0"/>
              <w:keepLines w:val="0"/>
              <w:suppressLineNumbers w:val="0"/>
              <w:adjustRightInd w:val="0"/>
              <w:snapToGrid w:val="0"/>
              <w:spacing w:before="0" w:beforeAutospacing="0" w:after="0" w:afterAutospacing="0"/>
              <w:ind w:left="0" w:right="0"/>
              <w:jc w:val="center"/>
              <w:rPr>
                <w:rFonts w:hint="default"/>
                <w:szCs w:val="21"/>
              </w:rPr>
            </w:pPr>
          </w:p>
        </w:tc>
      </w:tr>
      <w:tr w14:paraId="7A1AD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Align w:val="center"/>
          </w:tcPr>
          <w:p w14:paraId="14B778E6">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17" w:type="dxa"/>
            <w:vAlign w:val="center"/>
          </w:tcPr>
          <w:p w14:paraId="1CB230E9">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244" w:type="dxa"/>
            <w:vAlign w:val="center"/>
          </w:tcPr>
          <w:p w14:paraId="481FB9A0">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21" w:type="dxa"/>
            <w:vAlign w:val="center"/>
          </w:tcPr>
          <w:p w14:paraId="787412DA">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04" w:type="dxa"/>
            <w:vAlign w:val="center"/>
          </w:tcPr>
          <w:p w14:paraId="0C6520F2">
            <w:pPr>
              <w:keepNext w:val="0"/>
              <w:keepLines w:val="0"/>
              <w:suppressLineNumbers w:val="0"/>
              <w:adjustRightInd w:val="0"/>
              <w:snapToGrid w:val="0"/>
              <w:spacing w:before="0" w:beforeAutospacing="0" w:after="0" w:afterAutospacing="0"/>
              <w:ind w:left="0" w:right="0"/>
              <w:jc w:val="center"/>
              <w:rPr>
                <w:rFonts w:hint="default"/>
                <w:szCs w:val="21"/>
              </w:rPr>
            </w:pPr>
          </w:p>
        </w:tc>
      </w:tr>
      <w:tr w14:paraId="3549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Align w:val="center"/>
          </w:tcPr>
          <w:p w14:paraId="77CE7F67">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17" w:type="dxa"/>
            <w:vAlign w:val="center"/>
          </w:tcPr>
          <w:p w14:paraId="0BD5F5A9">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244" w:type="dxa"/>
            <w:vAlign w:val="center"/>
          </w:tcPr>
          <w:p w14:paraId="7E7FCAC8">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21" w:type="dxa"/>
            <w:vAlign w:val="center"/>
          </w:tcPr>
          <w:p w14:paraId="510229E6">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04" w:type="dxa"/>
            <w:vAlign w:val="center"/>
          </w:tcPr>
          <w:p w14:paraId="7309F1BB">
            <w:pPr>
              <w:keepNext w:val="0"/>
              <w:keepLines w:val="0"/>
              <w:suppressLineNumbers w:val="0"/>
              <w:adjustRightInd w:val="0"/>
              <w:snapToGrid w:val="0"/>
              <w:spacing w:before="0" w:beforeAutospacing="0" w:after="0" w:afterAutospacing="0"/>
              <w:ind w:left="0" w:right="0"/>
              <w:jc w:val="center"/>
              <w:rPr>
                <w:rFonts w:hint="default"/>
                <w:szCs w:val="21"/>
              </w:rPr>
            </w:pPr>
          </w:p>
        </w:tc>
      </w:tr>
      <w:tr w14:paraId="6B5A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Align w:val="center"/>
          </w:tcPr>
          <w:p w14:paraId="22703CD5">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17" w:type="dxa"/>
            <w:vAlign w:val="center"/>
          </w:tcPr>
          <w:p w14:paraId="30D03FBF">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244" w:type="dxa"/>
            <w:vAlign w:val="center"/>
          </w:tcPr>
          <w:p w14:paraId="4BC31F3B">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21" w:type="dxa"/>
            <w:vAlign w:val="center"/>
          </w:tcPr>
          <w:p w14:paraId="7DA4D852">
            <w:pPr>
              <w:keepNext w:val="0"/>
              <w:keepLines w:val="0"/>
              <w:suppressLineNumbers w:val="0"/>
              <w:adjustRightInd w:val="0"/>
              <w:snapToGrid w:val="0"/>
              <w:spacing w:before="0" w:beforeAutospacing="0" w:after="0" w:afterAutospacing="0"/>
              <w:ind w:left="0" w:right="0"/>
              <w:jc w:val="center"/>
              <w:rPr>
                <w:rFonts w:hint="default"/>
                <w:szCs w:val="21"/>
              </w:rPr>
            </w:pPr>
          </w:p>
        </w:tc>
        <w:tc>
          <w:tcPr>
            <w:tcW w:w="1004" w:type="dxa"/>
            <w:vAlign w:val="center"/>
          </w:tcPr>
          <w:p w14:paraId="378A3B25">
            <w:pPr>
              <w:keepNext w:val="0"/>
              <w:keepLines w:val="0"/>
              <w:suppressLineNumbers w:val="0"/>
              <w:adjustRightInd w:val="0"/>
              <w:snapToGrid w:val="0"/>
              <w:spacing w:before="0" w:beforeAutospacing="0" w:after="0" w:afterAutospacing="0"/>
              <w:ind w:left="0" w:right="0"/>
              <w:jc w:val="center"/>
              <w:rPr>
                <w:rFonts w:hint="default"/>
                <w:szCs w:val="21"/>
              </w:rPr>
            </w:pPr>
          </w:p>
        </w:tc>
      </w:tr>
    </w:tbl>
    <w:p w14:paraId="64713984">
      <w:pPr>
        <w:numPr>
          <w:ilvl w:val="0"/>
          <w:numId w:val="1"/>
        </w:numPr>
        <w:spacing w:before="156" w:beforeLines="50" w:after="156" w:afterLines="50" w:line="360" w:lineRule="auto"/>
        <w:jc w:val="left"/>
        <w:rPr>
          <w:rFonts w:eastAsia="黑体"/>
          <w:sz w:val="28"/>
          <w:szCs w:val="28"/>
        </w:rPr>
      </w:pPr>
      <w:r>
        <w:rPr>
          <w:rFonts w:eastAsia="黑体"/>
          <w:sz w:val="24"/>
        </w:rPr>
        <w:t>温度示值误差</w:t>
      </w:r>
    </w:p>
    <w:tbl>
      <w:tblPr>
        <w:tblStyle w:val="16"/>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914"/>
        <w:gridCol w:w="1014"/>
        <w:gridCol w:w="1011"/>
        <w:gridCol w:w="994"/>
        <w:gridCol w:w="978"/>
        <w:gridCol w:w="994"/>
        <w:gridCol w:w="1028"/>
        <w:gridCol w:w="1565"/>
      </w:tblGrid>
      <w:tr w14:paraId="2FBD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636" w:type="dxa"/>
            <w:gridSpan w:val="2"/>
            <w:vAlign w:val="center"/>
          </w:tcPr>
          <w:p w14:paraId="25D64AC7">
            <w:pPr>
              <w:keepNext w:val="0"/>
              <w:keepLines w:val="0"/>
              <w:suppressLineNumbers w:val="0"/>
              <w:spacing w:before="0" w:beforeAutospacing="0" w:after="0" w:afterAutospacing="0"/>
              <w:ind w:left="0" w:right="0"/>
              <w:jc w:val="center"/>
              <w:rPr>
                <w:rFonts w:hint="default"/>
                <w:sz w:val="24"/>
              </w:rPr>
            </w:pPr>
          </w:p>
        </w:tc>
        <w:tc>
          <w:tcPr>
            <w:tcW w:w="1014" w:type="dxa"/>
            <w:vAlign w:val="center"/>
          </w:tcPr>
          <w:p w14:paraId="5FE7E26D">
            <w:pPr>
              <w:keepNext w:val="0"/>
              <w:keepLines w:val="0"/>
              <w:suppressLineNumbers w:val="0"/>
              <w:spacing w:before="0" w:beforeAutospacing="0" w:after="0" w:afterAutospacing="0"/>
              <w:ind w:left="0" w:right="0"/>
              <w:jc w:val="center"/>
              <w:rPr>
                <w:rFonts w:hint="default"/>
                <w:sz w:val="24"/>
              </w:rPr>
            </w:pPr>
            <w:r>
              <w:rPr>
                <w:rFonts w:hint="default"/>
                <w:sz w:val="24"/>
              </w:rPr>
              <w:t>1</w:t>
            </w:r>
          </w:p>
        </w:tc>
        <w:tc>
          <w:tcPr>
            <w:tcW w:w="1011" w:type="dxa"/>
            <w:vAlign w:val="center"/>
          </w:tcPr>
          <w:p w14:paraId="04D45FB1">
            <w:pPr>
              <w:keepNext w:val="0"/>
              <w:keepLines w:val="0"/>
              <w:suppressLineNumbers w:val="0"/>
              <w:spacing w:before="0" w:beforeAutospacing="0" w:after="0" w:afterAutospacing="0"/>
              <w:ind w:left="0" w:right="0"/>
              <w:jc w:val="center"/>
              <w:rPr>
                <w:rFonts w:hint="default"/>
                <w:sz w:val="24"/>
              </w:rPr>
            </w:pPr>
            <w:r>
              <w:rPr>
                <w:rFonts w:hint="default"/>
                <w:sz w:val="24"/>
              </w:rPr>
              <w:t>2</w:t>
            </w:r>
          </w:p>
        </w:tc>
        <w:tc>
          <w:tcPr>
            <w:tcW w:w="994" w:type="dxa"/>
            <w:vAlign w:val="center"/>
          </w:tcPr>
          <w:p w14:paraId="5A6817D1">
            <w:pPr>
              <w:keepNext w:val="0"/>
              <w:keepLines w:val="0"/>
              <w:suppressLineNumbers w:val="0"/>
              <w:spacing w:before="0" w:beforeAutospacing="0" w:after="0" w:afterAutospacing="0"/>
              <w:ind w:left="0" w:right="0"/>
              <w:jc w:val="center"/>
              <w:rPr>
                <w:rFonts w:hint="default"/>
                <w:sz w:val="24"/>
              </w:rPr>
            </w:pPr>
            <w:r>
              <w:rPr>
                <w:rFonts w:hint="default"/>
                <w:sz w:val="24"/>
              </w:rPr>
              <w:t>3</w:t>
            </w:r>
          </w:p>
        </w:tc>
        <w:tc>
          <w:tcPr>
            <w:tcW w:w="978" w:type="dxa"/>
            <w:vAlign w:val="center"/>
          </w:tcPr>
          <w:p w14:paraId="1A4D0531">
            <w:pPr>
              <w:keepNext w:val="0"/>
              <w:keepLines w:val="0"/>
              <w:suppressLineNumbers w:val="0"/>
              <w:spacing w:before="0" w:beforeAutospacing="0" w:after="0" w:afterAutospacing="0"/>
              <w:ind w:left="0" w:right="0"/>
              <w:jc w:val="center"/>
              <w:rPr>
                <w:rFonts w:hint="default"/>
                <w:sz w:val="24"/>
              </w:rPr>
            </w:pPr>
            <w:r>
              <w:rPr>
                <w:rFonts w:hint="default"/>
                <w:sz w:val="24"/>
              </w:rPr>
              <w:t>4</w:t>
            </w:r>
          </w:p>
        </w:tc>
        <w:tc>
          <w:tcPr>
            <w:tcW w:w="994" w:type="dxa"/>
            <w:vAlign w:val="center"/>
          </w:tcPr>
          <w:p w14:paraId="3705D614">
            <w:pPr>
              <w:keepNext w:val="0"/>
              <w:keepLines w:val="0"/>
              <w:suppressLineNumbers w:val="0"/>
              <w:spacing w:before="0" w:beforeAutospacing="0" w:after="0" w:afterAutospacing="0"/>
              <w:ind w:left="0" w:right="0"/>
              <w:jc w:val="center"/>
              <w:rPr>
                <w:rFonts w:hint="default"/>
                <w:sz w:val="24"/>
              </w:rPr>
            </w:pPr>
            <w:r>
              <w:rPr>
                <w:rFonts w:hint="default"/>
                <w:sz w:val="24"/>
              </w:rPr>
              <w:t>5</w:t>
            </w:r>
          </w:p>
        </w:tc>
        <w:tc>
          <w:tcPr>
            <w:tcW w:w="1028" w:type="dxa"/>
            <w:vAlign w:val="center"/>
          </w:tcPr>
          <w:p w14:paraId="1224F2EB">
            <w:pPr>
              <w:keepNext w:val="0"/>
              <w:keepLines w:val="0"/>
              <w:suppressLineNumbers w:val="0"/>
              <w:spacing w:before="0" w:beforeAutospacing="0" w:after="0" w:afterAutospacing="0"/>
              <w:ind w:left="0" w:right="0"/>
              <w:jc w:val="center"/>
              <w:rPr>
                <w:rFonts w:hint="default"/>
                <w:sz w:val="24"/>
              </w:rPr>
            </w:pPr>
            <w:r>
              <w:rPr>
                <w:rFonts w:hint="default"/>
                <w:sz w:val="24"/>
              </w:rPr>
              <w:t>6</w:t>
            </w:r>
          </w:p>
        </w:tc>
        <w:tc>
          <w:tcPr>
            <w:tcW w:w="1565" w:type="dxa"/>
            <w:vAlign w:val="center"/>
          </w:tcPr>
          <w:p w14:paraId="40CE7A8C">
            <w:pPr>
              <w:keepNext w:val="0"/>
              <w:keepLines w:val="0"/>
              <w:suppressLineNumbers w:val="0"/>
              <w:spacing w:before="0" w:beforeAutospacing="0" w:after="0" w:afterAutospacing="0"/>
              <w:ind w:left="0" w:right="0"/>
              <w:jc w:val="center"/>
              <w:rPr>
                <w:rFonts w:hint="default"/>
                <w:szCs w:val="21"/>
              </w:rPr>
            </w:pPr>
            <w:r>
              <w:rPr>
                <w:rFonts w:hint="default"/>
                <w:szCs w:val="21"/>
              </w:rPr>
              <w:t>平均值</w:t>
            </w:r>
          </w:p>
        </w:tc>
      </w:tr>
      <w:tr w14:paraId="7F0AF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exact"/>
        </w:trPr>
        <w:tc>
          <w:tcPr>
            <w:tcW w:w="722" w:type="dxa"/>
            <w:vMerge w:val="restart"/>
            <w:vAlign w:val="center"/>
          </w:tcPr>
          <w:p w14:paraId="5EDFFDB0">
            <w:pPr>
              <w:keepNext w:val="0"/>
              <w:keepLines w:val="0"/>
              <w:suppressLineNumbers w:val="0"/>
              <w:spacing w:before="0" w:beforeAutospacing="0" w:after="0" w:afterAutospacing="0"/>
              <w:ind w:left="0" w:right="0"/>
              <w:jc w:val="center"/>
              <w:rPr>
                <w:rFonts w:hint="default"/>
                <w:szCs w:val="21"/>
              </w:rPr>
            </w:pPr>
            <w:r>
              <w:rPr>
                <w:rFonts w:hint="default"/>
                <w:szCs w:val="21"/>
              </w:rPr>
              <w:t>50℃</w:t>
            </w:r>
          </w:p>
        </w:tc>
        <w:tc>
          <w:tcPr>
            <w:tcW w:w="914" w:type="dxa"/>
            <w:vAlign w:val="center"/>
          </w:tcPr>
          <w:p w14:paraId="5227052A">
            <w:pPr>
              <w:keepNext w:val="0"/>
              <w:keepLines w:val="0"/>
              <w:suppressLineNumbers w:val="0"/>
              <w:spacing w:before="0" w:beforeAutospacing="0" w:after="0" w:afterAutospacing="0"/>
              <w:ind w:left="0" w:right="0"/>
              <w:jc w:val="center"/>
              <w:rPr>
                <w:rFonts w:hint="default"/>
                <w:szCs w:val="21"/>
              </w:rPr>
            </w:pPr>
            <w:r>
              <w:rPr>
                <w:rFonts w:hint="default"/>
                <w:szCs w:val="21"/>
              </w:rPr>
              <w:t>被校仪器示值</w:t>
            </w:r>
          </w:p>
        </w:tc>
        <w:tc>
          <w:tcPr>
            <w:tcW w:w="1014" w:type="dxa"/>
            <w:vAlign w:val="center"/>
          </w:tcPr>
          <w:p w14:paraId="1475BD50">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55652F80">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72935F77">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663272EA">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495CE247">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5E3C331F">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6C3E7967">
            <w:pPr>
              <w:keepNext w:val="0"/>
              <w:keepLines w:val="0"/>
              <w:suppressLineNumbers w:val="0"/>
              <w:spacing w:before="0" w:beforeAutospacing="0" w:after="0" w:afterAutospacing="0"/>
              <w:ind w:left="0" w:right="0"/>
              <w:jc w:val="center"/>
              <w:rPr>
                <w:rFonts w:hint="default"/>
                <w:sz w:val="18"/>
                <w:szCs w:val="18"/>
              </w:rPr>
            </w:pPr>
          </w:p>
        </w:tc>
      </w:tr>
      <w:tr w14:paraId="2B30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exact"/>
        </w:trPr>
        <w:tc>
          <w:tcPr>
            <w:tcW w:w="722" w:type="dxa"/>
            <w:vMerge w:val="continue"/>
            <w:vAlign w:val="center"/>
          </w:tcPr>
          <w:p w14:paraId="271884CE">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69D2A386">
            <w:pPr>
              <w:keepNext w:val="0"/>
              <w:keepLines w:val="0"/>
              <w:suppressLineNumbers w:val="0"/>
              <w:spacing w:before="0" w:beforeAutospacing="0" w:after="0" w:afterAutospacing="0"/>
              <w:ind w:left="0" w:right="0"/>
              <w:jc w:val="center"/>
              <w:rPr>
                <w:rFonts w:hint="default"/>
                <w:szCs w:val="21"/>
              </w:rPr>
            </w:pPr>
            <w:r>
              <w:rPr>
                <w:rFonts w:hint="default"/>
                <w:szCs w:val="21"/>
              </w:rPr>
              <w:t>标准器示值</w:t>
            </w:r>
          </w:p>
        </w:tc>
        <w:tc>
          <w:tcPr>
            <w:tcW w:w="1014" w:type="dxa"/>
            <w:vAlign w:val="center"/>
          </w:tcPr>
          <w:p w14:paraId="4351327E">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45F9A2CF">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2B2470F9">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37297E51">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7DD50A01">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7B81B5C4">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0D8E2C2F">
            <w:pPr>
              <w:keepNext w:val="0"/>
              <w:keepLines w:val="0"/>
              <w:suppressLineNumbers w:val="0"/>
              <w:spacing w:before="0" w:beforeAutospacing="0" w:after="0" w:afterAutospacing="0"/>
              <w:ind w:left="0" w:right="0"/>
              <w:jc w:val="center"/>
              <w:rPr>
                <w:rFonts w:hint="default"/>
                <w:sz w:val="18"/>
                <w:szCs w:val="18"/>
              </w:rPr>
            </w:pPr>
          </w:p>
        </w:tc>
      </w:tr>
      <w:tr w14:paraId="6DB5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7" w:hRule="exact"/>
        </w:trPr>
        <w:tc>
          <w:tcPr>
            <w:tcW w:w="722" w:type="dxa"/>
            <w:vMerge w:val="continue"/>
            <w:vAlign w:val="center"/>
          </w:tcPr>
          <w:p w14:paraId="5660511A">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635F7541">
            <w:pPr>
              <w:keepNext w:val="0"/>
              <w:keepLines w:val="0"/>
              <w:suppressLineNumbers w:val="0"/>
              <w:spacing w:before="0" w:beforeAutospacing="0" w:after="0" w:afterAutospacing="0"/>
              <w:ind w:left="0" w:right="0"/>
              <w:jc w:val="center"/>
              <w:rPr>
                <w:rFonts w:hint="default"/>
                <w:szCs w:val="21"/>
              </w:rPr>
            </w:pPr>
            <w:r>
              <w:rPr>
                <w:rFonts w:hint="default"/>
                <w:szCs w:val="21"/>
              </w:rPr>
              <w:t>温度示值误差</w:t>
            </w:r>
          </w:p>
        </w:tc>
        <w:tc>
          <w:tcPr>
            <w:tcW w:w="7584" w:type="dxa"/>
            <w:gridSpan w:val="7"/>
            <w:vAlign w:val="center"/>
          </w:tcPr>
          <w:p w14:paraId="3D53A3C3">
            <w:pPr>
              <w:keepNext w:val="0"/>
              <w:keepLines w:val="0"/>
              <w:suppressLineNumbers w:val="0"/>
              <w:spacing w:before="0" w:beforeAutospacing="0" w:after="0" w:afterAutospacing="0"/>
              <w:ind w:left="0" w:right="0"/>
              <w:jc w:val="center"/>
              <w:rPr>
                <w:rFonts w:hint="default"/>
                <w:sz w:val="18"/>
                <w:szCs w:val="18"/>
              </w:rPr>
            </w:pPr>
          </w:p>
        </w:tc>
      </w:tr>
      <w:tr w14:paraId="2E92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exact"/>
        </w:trPr>
        <w:tc>
          <w:tcPr>
            <w:tcW w:w="722" w:type="dxa"/>
            <w:vMerge w:val="restart"/>
            <w:vAlign w:val="center"/>
          </w:tcPr>
          <w:p w14:paraId="51D98C45">
            <w:pPr>
              <w:keepNext w:val="0"/>
              <w:keepLines w:val="0"/>
              <w:suppressLineNumbers w:val="0"/>
              <w:spacing w:before="0" w:beforeAutospacing="0" w:after="0" w:afterAutospacing="0"/>
              <w:ind w:left="0" w:right="0"/>
              <w:jc w:val="center"/>
              <w:rPr>
                <w:rFonts w:hint="default"/>
                <w:szCs w:val="21"/>
              </w:rPr>
            </w:pPr>
            <w:r>
              <w:rPr>
                <w:rFonts w:hint="default"/>
                <w:szCs w:val="21"/>
              </w:rPr>
              <w:t>100℃</w:t>
            </w:r>
          </w:p>
        </w:tc>
        <w:tc>
          <w:tcPr>
            <w:tcW w:w="914" w:type="dxa"/>
            <w:vAlign w:val="center"/>
          </w:tcPr>
          <w:p w14:paraId="76D620EE">
            <w:pPr>
              <w:keepNext w:val="0"/>
              <w:keepLines w:val="0"/>
              <w:suppressLineNumbers w:val="0"/>
              <w:spacing w:before="0" w:beforeAutospacing="0" w:after="0" w:afterAutospacing="0"/>
              <w:ind w:left="0" w:right="0"/>
              <w:jc w:val="center"/>
              <w:rPr>
                <w:rFonts w:hint="default"/>
                <w:szCs w:val="21"/>
              </w:rPr>
            </w:pPr>
            <w:r>
              <w:rPr>
                <w:rFonts w:hint="default"/>
                <w:szCs w:val="21"/>
              </w:rPr>
              <w:t>被校仪器示值</w:t>
            </w:r>
          </w:p>
        </w:tc>
        <w:tc>
          <w:tcPr>
            <w:tcW w:w="1014" w:type="dxa"/>
            <w:vAlign w:val="center"/>
          </w:tcPr>
          <w:p w14:paraId="36A6B2CC">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66882257">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403B7A80">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3812815D">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60945FFE">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351F338E">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2CA94DDF">
            <w:pPr>
              <w:keepNext w:val="0"/>
              <w:keepLines w:val="0"/>
              <w:suppressLineNumbers w:val="0"/>
              <w:spacing w:before="0" w:beforeAutospacing="0" w:after="0" w:afterAutospacing="0"/>
              <w:ind w:left="0" w:right="0"/>
              <w:jc w:val="center"/>
              <w:rPr>
                <w:rFonts w:hint="default"/>
                <w:sz w:val="18"/>
                <w:szCs w:val="18"/>
              </w:rPr>
            </w:pPr>
          </w:p>
        </w:tc>
      </w:tr>
      <w:tr w14:paraId="5BD5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exact"/>
        </w:trPr>
        <w:tc>
          <w:tcPr>
            <w:tcW w:w="722" w:type="dxa"/>
            <w:vMerge w:val="continue"/>
            <w:vAlign w:val="center"/>
          </w:tcPr>
          <w:p w14:paraId="3913A478">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1DB43C1F">
            <w:pPr>
              <w:keepNext w:val="0"/>
              <w:keepLines w:val="0"/>
              <w:suppressLineNumbers w:val="0"/>
              <w:spacing w:before="0" w:beforeAutospacing="0" w:after="0" w:afterAutospacing="0"/>
              <w:ind w:left="0" w:right="0"/>
              <w:jc w:val="center"/>
              <w:rPr>
                <w:rFonts w:hint="default"/>
                <w:szCs w:val="21"/>
              </w:rPr>
            </w:pPr>
            <w:r>
              <w:rPr>
                <w:rFonts w:hint="default"/>
                <w:szCs w:val="21"/>
              </w:rPr>
              <w:t>标准器示值</w:t>
            </w:r>
          </w:p>
        </w:tc>
        <w:tc>
          <w:tcPr>
            <w:tcW w:w="1014" w:type="dxa"/>
            <w:vAlign w:val="center"/>
          </w:tcPr>
          <w:p w14:paraId="7F078362">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1F49ED60">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73118B0A">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7867BB5B">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3F822AC9">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45D87439">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5CAB69E8">
            <w:pPr>
              <w:keepNext w:val="0"/>
              <w:keepLines w:val="0"/>
              <w:suppressLineNumbers w:val="0"/>
              <w:spacing w:before="0" w:beforeAutospacing="0" w:after="0" w:afterAutospacing="0"/>
              <w:ind w:left="0" w:right="0"/>
              <w:jc w:val="center"/>
              <w:rPr>
                <w:rFonts w:hint="default"/>
                <w:sz w:val="18"/>
                <w:szCs w:val="18"/>
              </w:rPr>
            </w:pPr>
          </w:p>
        </w:tc>
      </w:tr>
      <w:tr w14:paraId="5001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exact"/>
        </w:trPr>
        <w:tc>
          <w:tcPr>
            <w:tcW w:w="722" w:type="dxa"/>
            <w:vMerge w:val="continue"/>
            <w:vAlign w:val="center"/>
          </w:tcPr>
          <w:p w14:paraId="506AC04A">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230DECD5">
            <w:pPr>
              <w:keepNext w:val="0"/>
              <w:keepLines w:val="0"/>
              <w:suppressLineNumbers w:val="0"/>
              <w:spacing w:before="0" w:beforeAutospacing="0" w:after="0" w:afterAutospacing="0"/>
              <w:ind w:left="0" w:right="0"/>
              <w:jc w:val="center"/>
              <w:rPr>
                <w:rFonts w:hint="default"/>
                <w:szCs w:val="21"/>
              </w:rPr>
            </w:pPr>
            <w:r>
              <w:rPr>
                <w:rFonts w:hint="default"/>
                <w:szCs w:val="21"/>
              </w:rPr>
              <w:t>温度示值误差</w:t>
            </w:r>
          </w:p>
        </w:tc>
        <w:tc>
          <w:tcPr>
            <w:tcW w:w="7584" w:type="dxa"/>
            <w:gridSpan w:val="7"/>
            <w:vAlign w:val="center"/>
          </w:tcPr>
          <w:p w14:paraId="52C2A093">
            <w:pPr>
              <w:keepNext w:val="0"/>
              <w:keepLines w:val="0"/>
              <w:suppressLineNumbers w:val="0"/>
              <w:spacing w:before="0" w:beforeAutospacing="0" w:after="0" w:afterAutospacing="0"/>
              <w:ind w:left="0" w:right="0"/>
              <w:jc w:val="center"/>
              <w:rPr>
                <w:rFonts w:hint="default"/>
                <w:sz w:val="18"/>
                <w:szCs w:val="18"/>
              </w:rPr>
            </w:pPr>
          </w:p>
        </w:tc>
      </w:tr>
      <w:tr w14:paraId="6F66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exact"/>
        </w:trPr>
        <w:tc>
          <w:tcPr>
            <w:tcW w:w="722" w:type="dxa"/>
            <w:vMerge w:val="restart"/>
            <w:vAlign w:val="center"/>
          </w:tcPr>
          <w:p w14:paraId="68440C57">
            <w:pPr>
              <w:keepNext w:val="0"/>
              <w:keepLines w:val="0"/>
              <w:suppressLineNumbers w:val="0"/>
              <w:spacing w:before="0" w:beforeAutospacing="0" w:after="0" w:afterAutospacing="0"/>
              <w:ind w:left="0" w:right="0"/>
              <w:jc w:val="center"/>
              <w:rPr>
                <w:rFonts w:hint="default"/>
                <w:szCs w:val="21"/>
              </w:rPr>
            </w:pPr>
            <w:r>
              <w:rPr>
                <w:rFonts w:hint="default"/>
                <w:szCs w:val="21"/>
              </w:rPr>
              <w:t>150℃</w:t>
            </w:r>
          </w:p>
        </w:tc>
        <w:tc>
          <w:tcPr>
            <w:tcW w:w="914" w:type="dxa"/>
            <w:vAlign w:val="center"/>
          </w:tcPr>
          <w:p w14:paraId="50A082F8">
            <w:pPr>
              <w:keepNext w:val="0"/>
              <w:keepLines w:val="0"/>
              <w:suppressLineNumbers w:val="0"/>
              <w:spacing w:before="0" w:beforeAutospacing="0" w:after="0" w:afterAutospacing="0"/>
              <w:ind w:left="0" w:right="0"/>
              <w:jc w:val="center"/>
              <w:rPr>
                <w:rFonts w:hint="default"/>
                <w:szCs w:val="21"/>
              </w:rPr>
            </w:pPr>
            <w:r>
              <w:rPr>
                <w:rFonts w:hint="default"/>
                <w:szCs w:val="21"/>
              </w:rPr>
              <w:t>被校仪器示值</w:t>
            </w:r>
          </w:p>
        </w:tc>
        <w:tc>
          <w:tcPr>
            <w:tcW w:w="1014" w:type="dxa"/>
            <w:vAlign w:val="center"/>
          </w:tcPr>
          <w:p w14:paraId="2AC22B27">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74892B2D">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39E90C98">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6A6ACB39">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3AA9F318">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5C4A14A5">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6CA1D8D9">
            <w:pPr>
              <w:keepNext w:val="0"/>
              <w:keepLines w:val="0"/>
              <w:suppressLineNumbers w:val="0"/>
              <w:spacing w:before="0" w:beforeAutospacing="0" w:after="0" w:afterAutospacing="0"/>
              <w:ind w:left="0" w:right="0"/>
              <w:jc w:val="center"/>
              <w:rPr>
                <w:rFonts w:hint="default"/>
                <w:sz w:val="18"/>
                <w:szCs w:val="18"/>
              </w:rPr>
            </w:pPr>
          </w:p>
        </w:tc>
      </w:tr>
      <w:tr w14:paraId="4793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exact"/>
        </w:trPr>
        <w:tc>
          <w:tcPr>
            <w:tcW w:w="722" w:type="dxa"/>
            <w:vMerge w:val="continue"/>
            <w:vAlign w:val="center"/>
          </w:tcPr>
          <w:p w14:paraId="49BFDAE4">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5D318331">
            <w:pPr>
              <w:keepNext w:val="0"/>
              <w:keepLines w:val="0"/>
              <w:suppressLineNumbers w:val="0"/>
              <w:spacing w:before="0" w:beforeAutospacing="0" w:after="0" w:afterAutospacing="0"/>
              <w:ind w:left="0" w:right="0"/>
              <w:jc w:val="center"/>
              <w:rPr>
                <w:rFonts w:hint="default"/>
                <w:szCs w:val="21"/>
              </w:rPr>
            </w:pPr>
            <w:r>
              <w:rPr>
                <w:rFonts w:hint="default"/>
                <w:szCs w:val="21"/>
              </w:rPr>
              <w:t>标准器示值</w:t>
            </w:r>
          </w:p>
        </w:tc>
        <w:tc>
          <w:tcPr>
            <w:tcW w:w="1014" w:type="dxa"/>
            <w:vAlign w:val="center"/>
          </w:tcPr>
          <w:p w14:paraId="60864FBA">
            <w:pPr>
              <w:keepNext w:val="0"/>
              <w:keepLines w:val="0"/>
              <w:suppressLineNumbers w:val="0"/>
              <w:spacing w:before="0" w:beforeAutospacing="0" w:after="0" w:afterAutospacing="0"/>
              <w:ind w:left="0" w:right="0"/>
              <w:jc w:val="center"/>
              <w:rPr>
                <w:rFonts w:hint="default"/>
                <w:sz w:val="18"/>
                <w:szCs w:val="18"/>
              </w:rPr>
            </w:pPr>
          </w:p>
        </w:tc>
        <w:tc>
          <w:tcPr>
            <w:tcW w:w="1011" w:type="dxa"/>
            <w:vAlign w:val="center"/>
          </w:tcPr>
          <w:p w14:paraId="421EC5DB">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31A6FDE0">
            <w:pPr>
              <w:keepNext w:val="0"/>
              <w:keepLines w:val="0"/>
              <w:suppressLineNumbers w:val="0"/>
              <w:spacing w:before="0" w:beforeAutospacing="0" w:after="0" w:afterAutospacing="0"/>
              <w:ind w:left="0" w:right="0"/>
              <w:jc w:val="center"/>
              <w:rPr>
                <w:rFonts w:hint="default"/>
                <w:sz w:val="18"/>
                <w:szCs w:val="18"/>
              </w:rPr>
            </w:pPr>
          </w:p>
        </w:tc>
        <w:tc>
          <w:tcPr>
            <w:tcW w:w="978" w:type="dxa"/>
            <w:vAlign w:val="center"/>
          </w:tcPr>
          <w:p w14:paraId="308179F5">
            <w:pPr>
              <w:keepNext w:val="0"/>
              <w:keepLines w:val="0"/>
              <w:suppressLineNumbers w:val="0"/>
              <w:spacing w:before="0" w:beforeAutospacing="0" w:after="0" w:afterAutospacing="0"/>
              <w:ind w:left="0" w:right="0"/>
              <w:jc w:val="center"/>
              <w:rPr>
                <w:rFonts w:hint="default"/>
                <w:sz w:val="18"/>
                <w:szCs w:val="18"/>
              </w:rPr>
            </w:pPr>
          </w:p>
        </w:tc>
        <w:tc>
          <w:tcPr>
            <w:tcW w:w="994" w:type="dxa"/>
            <w:vAlign w:val="center"/>
          </w:tcPr>
          <w:p w14:paraId="12CBD95F">
            <w:pPr>
              <w:keepNext w:val="0"/>
              <w:keepLines w:val="0"/>
              <w:suppressLineNumbers w:val="0"/>
              <w:spacing w:before="0" w:beforeAutospacing="0" w:after="0" w:afterAutospacing="0"/>
              <w:ind w:left="0" w:right="0"/>
              <w:jc w:val="center"/>
              <w:rPr>
                <w:rFonts w:hint="default"/>
                <w:sz w:val="18"/>
                <w:szCs w:val="18"/>
              </w:rPr>
            </w:pPr>
          </w:p>
        </w:tc>
        <w:tc>
          <w:tcPr>
            <w:tcW w:w="1028" w:type="dxa"/>
            <w:vAlign w:val="center"/>
          </w:tcPr>
          <w:p w14:paraId="5BE60834">
            <w:pPr>
              <w:keepNext w:val="0"/>
              <w:keepLines w:val="0"/>
              <w:suppressLineNumbers w:val="0"/>
              <w:spacing w:before="0" w:beforeAutospacing="0" w:after="0" w:afterAutospacing="0"/>
              <w:ind w:left="0" w:right="0"/>
              <w:jc w:val="center"/>
              <w:rPr>
                <w:rFonts w:hint="default"/>
                <w:sz w:val="18"/>
                <w:szCs w:val="18"/>
              </w:rPr>
            </w:pPr>
          </w:p>
        </w:tc>
        <w:tc>
          <w:tcPr>
            <w:tcW w:w="1565" w:type="dxa"/>
            <w:vAlign w:val="center"/>
          </w:tcPr>
          <w:p w14:paraId="347CF8E8">
            <w:pPr>
              <w:keepNext w:val="0"/>
              <w:keepLines w:val="0"/>
              <w:suppressLineNumbers w:val="0"/>
              <w:spacing w:before="0" w:beforeAutospacing="0" w:after="0" w:afterAutospacing="0"/>
              <w:ind w:left="0" w:right="0"/>
              <w:jc w:val="center"/>
              <w:rPr>
                <w:rFonts w:hint="default"/>
                <w:sz w:val="18"/>
                <w:szCs w:val="18"/>
              </w:rPr>
            </w:pPr>
          </w:p>
        </w:tc>
      </w:tr>
      <w:tr w14:paraId="5371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exact"/>
        </w:trPr>
        <w:tc>
          <w:tcPr>
            <w:tcW w:w="722" w:type="dxa"/>
            <w:vMerge w:val="continue"/>
            <w:vAlign w:val="center"/>
          </w:tcPr>
          <w:p w14:paraId="3AF0E5B3">
            <w:pPr>
              <w:keepNext w:val="0"/>
              <w:keepLines w:val="0"/>
              <w:suppressLineNumbers w:val="0"/>
              <w:spacing w:before="0" w:beforeAutospacing="0" w:after="0" w:afterAutospacing="0"/>
              <w:ind w:left="0" w:right="0"/>
              <w:jc w:val="center"/>
              <w:rPr>
                <w:rFonts w:hint="default"/>
                <w:szCs w:val="21"/>
              </w:rPr>
            </w:pPr>
          </w:p>
        </w:tc>
        <w:tc>
          <w:tcPr>
            <w:tcW w:w="914" w:type="dxa"/>
            <w:vAlign w:val="center"/>
          </w:tcPr>
          <w:p w14:paraId="20102D32">
            <w:pPr>
              <w:keepNext w:val="0"/>
              <w:keepLines w:val="0"/>
              <w:suppressLineNumbers w:val="0"/>
              <w:spacing w:before="0" w:beforeAutospacing="0" w:after="0" w:afterAutospacing="0"/>
              <w:ind w:left="0" w:right="0"/>
              <w:jc w:val="center"/>
              <w:rPr>
                <w:rFonts w:hint="default"/>
                <w:szCs w:val="21"/>
              </w:rPr>
            </w:pPr>
            <w:r>
              <w:rPr>
                <w:rFonts w:hint="default"/>
                <w:szCs w:val="21"/>
              </w:rPr>
              <w:t>温度示值误差</w:t>
            </w:r>
          </w:p>
        </w:tc>
        <w:tc>
          <w:tcPr>
            <w:tcW w:w="7584" w:type="dxa"/>
            <w:gridSpan w:val="7"/>
            <w:vAlign w:val="center"/>
          </w:tcPr>
          <w:p w14:paraId="03F92639">
            <w:pPr>
              <w:keepNext w:val="0"/>
              <w:keepLines w:val="0"/>
              <w:suppressLineNumbers w:val="0"/>
              <w:spacing w:before="0" w:beforeAutospacing="0" w:after="0" w:afterAutospacing="0"/>
              <w:ind w:left="0" w:right="0"/>
              <w:jc w:val="center"/>
              <w:rPr>
                <w:rFonts w:hint="default"/>
                <w:sz w:val="24"/>
              </w:rPr>
            </w:pPr>
          </w:p>
        </w:tc>
      </w:tr>
    </w:tbl>
    <w:p w14:paraId="735E55C5">
      <w:pPr>
        <w:snapToGrid w:val="0"/>
        <w:spacing w:before="156" w:beforeLines="50"/>
        <w:jc w:val="center"/>
        <w:rPr>
          <w:sz w:val="24"/>
        </w:rPr>
      </w:pPr>
      <w:r>
        <w:t>第   页  共  页</w:t>
      </w:r>
    </w:p>
    <w:p w14:paraId="07B05B9D">
      <w:pPr>
        <w:snapToGrid w:val="0"/>
        <w:spacing w:before="156" w:beforeLines="50"/>
        <w:jc w:val="center"/>
        <w:rPr>
          <w:sz w:val="24"/>
        </w:rPr>
      </w:pPr>
      <w:r>
        <w:rPr>
          <w:rFonts w:eastAsia="黑体"/>
          <w:sz w:val="24"/>
        </w:rPr>
        <w:br w:type="page"/>
      </w:r>
    </w:p>
    <w:p w14:paraId="6E0F75DA">
      <w:pPr>
        <w:snapToGrid w:val="0"/>
        <w:spacing w:before="156" w:beforeLines="50"/>
        <w:jc w:val="center"/>
        <w:rPr>
          <w:rFonts w:eastAsia="黑体"/>
          <w:sz w:val="24"/>
        </w:rPr>
      </w:pPr>
    </w:p>
    <w:p w14:paraId="684D0F8B">
      <w:pPr>
        <w:numPr>
          <w:ilvl w:val="0"/>
          <w:numId w:val="1"/>
        </w:numPr>
        <w:jc w:val="left"/>
        <w:rPr>
          <w:rFonts w:eastAsia="黑体"/>
          <w:sz w:val="24"/>
        </w:rPr>
      </w:pPr>
      <w:r>
        <w:rPr>
          <w:rFonts w:eastAsia="黑体"/>
          <w:sz w:val="24"/>
        </w:rPr>
        <w:t>反应热相对误差</w:t>
      </w:r>
    </w:p>
    <w:tbl>
      <w:tblPr>
        <w:tblStyle w:val="16"/>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104"/>
        <w:gridCol w:w="1981"/>
        <w:gridCol w:w="1770"/>
        <w:gridCol w:w="1500"/>
        <w:gridCol w:w="2250"/>
      </w:tblGrid>
      <w:tr w14:paraId="33B8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9" w:hRule="atLeast"/>
        </w:trPr>
        <w:tc>
          <w:tcPr>
            <w:tcW w:w="1809" w:type="dxa"/>
            <w:gridSpan w:val="2"/>
            <w:vAlign w:val="center"/>
          </w:tcPr>
          <w:p w14:paraId="3826A7AD">
            <w:pPr>
              <w:keepNext w:val="0"/>
              <w:keepLines w:val="0"/>
              <w:suppressLineNumbers w:val="0"/>
              <w:adjustRightInd w:val="0"/>
              <w:snapToGrid w:val="0"/>
              <w:spacing w:before="0" w:beforeAutospacing="0" w:after="0" w:afterAutospacing="0"/>
              <w:ind w:left="0" w:right="0"/>
              <w:rPr>
                <w:rFonts w:hint="default" w:eastAsiaTheme="minorEastAsia"/>
                <w:sz w:val="24"/>
              </w:rPr>
            </w:pPr>
            <w:r>
              <w:rPr>
                <w:rFonts w:hint="default" w:eastAsiaTheme="minorEastAsia"/>
                <w:sz w:val="24"/>
              </w:rPr>
              <w:t>实验条件</w:t>
            </w:r>
          </w:p>
        </w:tc>
        <w:tc>
          <w:tcPr>
            <w:tcW w:w="1981" w:type="dxa"/>
            <w:vAlign w:val="center"/>
          </w:tcPr>
          <w:p w14:paraId="15541342">
            <w:pPr>
              <w:keepNext w:val="0"/>
              <w:keepLines w:val="0"/>
              <w:suppressLineNumbers w:val="0"/>
              <w:adjustRightInd w:val="0"/>
              <w:snapToGrid w:val="0"/>
              <w:spacing w:before="0" w:beforeAutospacing="0" w:after="0" w:afterAutospacing="0"/>
              <w:ind w:left="0" w:right="0"/>
              <w:jc w:val="center"/>
              <w:rPr>
                <w:rFonts w:hint="default" w:eastAsiaTheme="minorEastAsia"/>
                <w:i/>
                <w:iCs/>
                <w:sz w:val="24"/>
              </w:rPr>
            </w:pPr>
            <w:r>
              <w:rPr>
                <w:rFonts w:hint="default" w:eastAsiaTheme="minorEastAsia"/>
                <w:sz w:val="24"/>
              </w:rPr>
              <w:t>实际输出功率/W</w:t>
            </w:r>
          </w:p>
        </w:tc>
        <w:tc>
          <w:tcPr>
            <w:tcW w:w="1770" w:type="dxa"/>
            <w:vAlign w:val="center"/>
          </w:tcPr>
          <w:p w14:paraId="585D1C73">
            <w:pPr>
              <w:keepNext w:val="0"/>
              <w:keepLines w:val="0"/>
              <w:suppressLineNumbers w:val="0"/>
              <w:adjustRightInd w:val="0"/>
              <w:snapToGrid w:val="0"/>
              <w:spacing w:before="0" w:beforeAutospacing="0" w:after="0" w:afterAutospacing="0"/>
              <w:ind w:left="0" w:right="0"/>
              <w:jc w:val="center"/>
              <w:rPr>
                <w:rFonts w:hint="default" w:eastAsiaTheme="minorEastAsia"/>
                <w:i w:val="0"/>
                <w:iCs/>
                <w:sz w:val="24"/>
              </w:rPr>
            </w:pPr>
            <w:r>
              <w:rPr>
                <w:rFonts w:hint="default" w:eastAsiaTheme="minorEastAsia"/>
                <w:i w:val="0"/>
                <w:iCs/>
                <w:sz w:val="24"/>
              </w:rPr>
              <w:t>输出热量/J</w:t>
            </w:r>
          </w:p>
        </w:tc>
        <w:tc>
          <w:tcPr>
            <w:tcW w:w="1500" w:type="dxa"/>
            <w:vAlign w:val="center"/>
          </w:tcPr>
          <w:p w14:paraId="19FCCEF7">
            <w:pPr>
              <w:keepNext w:val="0"/>
              <w:keepLines w:val="0"/>
              <w:suppressLineNumbers w:val="0"/>
              <w:adjustRightInd w:val="0"/>
              <w:snapToGrid w:val="0"/>
              <w:spacing w:before="0" w:beforeAutospacing="0" w:after="0" w:afterAutospacing="0"/>
              <w:ind w:left="0" w:right="0"/>
              <w:jc w:val="center"/>
              <w:rPr>
                <w:rFonts w:hint="default" w:eastAsiaTheme="minorEastAsia"/>
                <w:sz w:val="24"/>
              </w:rPr>
            </w:pPr>
            <w:r>
              <w:rPr>
                <w:rFonts w:hint="default" w:eastAsiaTheme="minorEastAsia"/>
                <w:i w:val="0"/>
                <w:iCs/>
                <w:sz w:val="24"/>
              </w:rPr>
              <w:t>量热仪/J</w:t>
            </w:r>
          </w:p>
        </w:tc>
        <w:tc>
          <w:tcPr>
            <w:tcW w:w="2250" w:type="dxa"/>
            <w:vAlign w:val="center"/>
          </w:tcPr>
          <w:p w14:paraId="78B134CF">
            <w:pPr>
              <w:keepNext w:val="0"/>
              <w:keepLines w:val="0"/>
              <w:suppressLineNumbers w:val="0"/>
              <w:adjustRightInd w:val="0"/>
              <w:snapToGrid w:val="0"/>
              <w:spacing w:before="0" w:beforeAutospacing="0" w:after="0" w:afterAutospacing="0"/>
              <w:ind w:left="0" w:right="0"/>
              <w:jc w:val="center"/>
              <w:rPr>
                <w:rFonts w:hint="default" w:eastAsiaTheme="minorEastAsia"/>
                <w:i/>
                <w:iCs/>
                <w:sz w:val="24"/>
              </w:rPr>
            </w:pPr>
            <w:r>
              <w:rPr>
                <w:rFonts w:hint="default" w:eastAsiaTheme="minorEastAsia"/>
                <w:sz w:val="24"/>
              </w:rPr>
              <w:t>反应热相对误差/%</w:t>
            </w:r>
          </w:p>
        </w:tc>
      </w:tr>
      <w:tr w14:paraId="3A5E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05" w:type="dxa"/>
            <w:vMerge w:val="restart"/>
            <w:vAlign w:val="center"/>
          </w:tcPr>
          <w:p w14:paraId="49485DD5">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r>
              <w:rPr>
                <w:rFonts w:hint="default" w:eastAsiaTheme="minorEastAsia"/>
                <w:sz w:val="24"/>
              </w:rPr>
              <w:t>50</w:t>
            </w:r>
            <w:r>
              <w:rPr>
                <w:rFonts w:hint="default" w:eastAsiaTheme="minorEastAsia"/>
                <w:bCs/>
                <w:sz w:val="24"/>
              </w:rPr>
              <w:t>℃</w:t>
            </w:r>
          </w:p>
        </w:tc>
        <w:tc>
          <w:tcPr>
            <w:tcW w:w="1104" w:type="dxa"/>
            <w:vAlign w:val="center"/>
          </w:tcPr>
          <w:p w14:paraId="1F9C0F6E">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981" w:type="dxa"/>
            <w:vAlign w:val="center"/>
          </w:tcPr>
          <w:p w14:paraId="4DC9BFBF">
            <w:pPr>
              <w:keepNext w:val="0"/>
              <w:keepLines w:val="0"/>
              <w:suppressLineNumbers w:val="0"/>
              <w:tabs>
                <w:tab w:val="left" w:pos="531"/>
              </w:tabs>
              <w:adjustRightInd w:val="0"/>
              <w:snapToGrid w:val="0"/>
              <w:spacing w:before="156" w:beforeLines="50" w:beforeAutospacing="0" w:after="156" w:afterLines="50" w:afterAutospacing="0"/>
              <w:ind w:left="0" w:right="0" w:firstLine="240" w:firstLineChars="100"/>
              <w:jc w:val="left"/>
              <w:rPr>
                <w:rFonts w:hint="default" w:eastAsiaTheme="minorEastAsia"/>
                <w:sz w:val="24"/>
              </w:rPr>
            </w:pPr>
          </w:p>
        </w:tc>
        <w:tc>
          <w:tcPr>
            <w:tcW w:w="1770" w:type="dxa"/>
            <w:vAlign w:val="center"/>
          </w:tcPr>
          <w:p w14:paraId="1C6961FF">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500" w:type="dxa"/>
            <w:vAlign w:val="center"/>
          </w:tcPr>
          <w:p w14:paraId="7066548F">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2250" w:type="dxa"/>
            <w:vAlign w:val="center"/>
          </w:tcPr>
          <w:p w14:paraId="74B890C3">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r>
      <w:tr w14:paraId="42CD2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05" w:type="dxa"/>
            <w:vMerge w:val="continue"/>
            <w:vAlign w:val="center"/>
          </w:tcPr>
          <w:p w14:paraId="03F45A25">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104" w:type="dxa"/>
            <w:vAlign w:val="center"/>
          </w:tcPr>
          <w:p w14:paraId="0CDDF392">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981" w:type="dxa"/>
            <w:vAlign w:val="center"/>
          </w:tcPr>
          <w:p w14:paraId="042A0CE6">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770" w:type="dxa"/>
            <w:vAlign w:val="center"/>
          </w:tcPr>
          <w:p w14:paraId="631392F4">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500" w:type="dxa"/>
            <w:vAlign w:val="center"/>
          </w:tcPr>
          <w:p w14:paraId="70E467FD">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2250" w:type="dxa"/>
            <w:vAlign w:val="center"/>
          </w:tcPr>
          <w:p w14:paraId="4635111F">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r>
      <w:tr w14:paraId="4CD3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05" w:type="dxa"/>
            <w:vMerge w:val="continue"/>
            <w:vAlign w:val="center"/>
          </w:tcPr>
          <w:p w14:paraId="1619CA99">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104" w:type="dxa"/>
            <w:vAlign w:val="center"/>
          </w:tcPr>
          <w:p w14:paraId="03E4458F">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981" w:type="dxa"/>
            <w:vAlign w:val="center"/>
          </w:tcPr>
          <w:p w14:paraId="7AA1E7D2">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770" w:type="dxa"/>
            <w:vAlign w:val="center"/>
          </w:tcPr>
          <w:p w14:paraId="19C2B7A8">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1500" w:type="dxa"/>
            <w:vAlign w:val="center"/>
          </w:tcPr>
          <w:p w14:paraId="40481A22">
            <w:pPr>
              <w:keepNext w:val="0"/>
              <w:keepLines w:val="0"/>
              <w:suppressLineNumbers w:val="0"/>
              <w:adjustRightInd w:val="0"/>
              <w:snapToGrid w:val="0"/>
              <w:spacing w:before="156" w:beforeLines="50" w:beforeAutospacing="0" w:after="156" w:afterLines="50" w:afterAutospacing="0"/>
              <w:ind w:left="0" w:right="0"/>
              <w:jc w:val="center"/>
              <w:rPr>
                <w:rFonts w:hint="default" w:eastAsiaTheme="minorEastAsia"/>
                <w:sz w:val="24"/>
              </w:rPr>
            </w:pPr>
          </w:p>
        </w:tc>
        <w:tc>
          <w:tcPr>
            <w:tcW w:w="2250" w:type="dxa"/>
            <w:vAlign w:val="center"/>
          </w:tcPr>
          <w:p w14:paraId="1C584036">
            <w:pPr>
              <w:keepNext w:val="0"/>
              <w:keepLines w:val="0"/>
              <w:suppressLineNumbers w:val="0"/>
              <w:tabs>
                <w:tab w:val="left" w:pos="462"/>
              </w:tabs>
              <w:adjustRightInd w:val="0"/>
              <w:snapToGrid w:val="0"/>
              <w:spacing w:before="156" w:beforeLines="50" w:beforeAutospacing="0" w:after="156" w:afterLines="50" w:afterAutospacing="0"/>
              <w:ind w:left="0" w:right="0"/>
              <w:jc w:val="left"/>
              <w:rPr>
                <w:rFonts w:hint="default" w:eastAsiaTheme="minorEastAsia"/>
                <w:sz w:val="24"/>
              </w:rPr>
            </w:pPr>
          </w:p>
        </w:tc>
      </w:tr>
    </w:tbl>
    <w:p w14:paraId="028353AD">
      <w:pPr>
        <w:numPr>
          <w:ilvl w:val="255"/>
          <w:numId w:val="0"/>
        </w:numPr>
        <w:snapToGrid w:val="0"/>
        <w:spacing w:before="156" w:beforeLines="50" w:line="360" w:lineRule="auto"/>
        <w:rPr>
          <w:sz w:val="24"/>
        </w:rPr>
      </w:pPr>
    </w:p>
    <w:p w14:paraId="0EF753D0">
      <w:pPr>
        <w:spacing w:line="300" w:lineRule="auto"/>
        <w:ind w:firstLine="477" w:firstLineChars="198"/>
        <w:rPr>
          <w:b/>
          <w:color w:val="000000"/>
          <w:sz w:val="24"/>
        </w:rPr>
      </w:pPr>
      <w:r>
        <w:rPr>
          <w:b/>
          <w:color w:val="000000"/>
          <w:sz w:val="24"/>
        </w:rPr>
        <w:t>校准员：      核验员：                     校准日期：     年  月  日</w:t>
      </w:r>
    </w:p>
    <w:p w14:paraId="247757EE">
      <w:pPr>
        <w:spacing w:line="300" w:lineRule="auto"/>
        <w:rPr>
          <w:b/>
          <w:color w:val="000000"/>
          <w:sz w:val="24"/>
        </w:rPr>
      </w:pPr>
    </w:p>
    <w:p w14:paraId="2B5BBC93">
      <w:pPr>
        <w:snapToGrid w:val="0"/>
        <w:spacing w:before="156" w:beforeLines="50"/>
        <w:jc w:val="center"/>
      </w:pPr>
      <w:r>
        <w:t>第   页  共  页</w:t>
      </w:r>
    </w:p>
    <w:p w14:paraId="617E3D43">
      <w:pPr>
        <w:jc w:val="left"/>
      </w:pPr>
      <w:r>
        <w:br w:type="page"/>
      </w:r>
    </w:p>
    <w:p w14:paraId="615328E7">
      <w:pPr>
        <w:pStyle w:val="2"/>
        <w:snapToGrid w:val="0"/>
        <w:spacing w:line="300" w:lineRule="auto"/>
        <w:outlineLvl w:val="0"/>
        <w:rPr>
          <w:rFonts w:ascii="Times New Roman" w:hAnsi="Times New Roman" w:eastAsia="黑体" w:cs="Times New Roman"/>
          <w:b w:val="0"/>
          <w:spacing w:val="20"/>
          <w:kern w:val="13"/>
          <w:sz w:val="28"/>
          <w:szCs w:val="28"/>
        </w:rPr>
      </w:pPr>
      <w:bookmarkStart w:id="251" w:name="_Toc891"/>
      <w:bookmarkStart w:id="252" w:name="_Toc842569629"/>
      <w:bookmarkStart w:id="253" w:name="_Toc29884"/>
      <w:bookmarkStart w:id="254" w:name="_Toc1343381269"/>
      <w:bookmarkStart w:id="255" w:name="_Toc24294"/>
      <w:bookmarkStart w:id="256" w:name="_Toc245039229"/>
      <w:bookmarkStart w:id="257" w:name="_Toc12776"/>
      <w:bookmarkStart w:id="258" w:name="_Toc207113345"/>
      <w:r>
        <w:rPr>
          <w:rFonts w:ascii="Times New Roman" w:hAnsi="Times New Roman" w:eastAsia="黑体" w:cs="Times New Roman"/>
          <w:b w:val="0"/>
          <w:spacing w:val="20"/>
          <w:kern w:val="13"/>
          <w:sz w:val="28"/>
          <w:szCs w:val="28"/>
        </w:rPr>
        <w:t>附录C</w:t>
      </w:r>
      <w:bookmarkEnd w:id="251"/>
      <w:bookmarkEnd w:id="252"/>
      <w:bookmarkEnd w:id="253"/>
      <w:bookmarkEnd w:id="254"/>
      <w:bookmarkEnd w:id="255"/>
      <w:bookmarkEnd w:id="256"/>
      <w:bookmarkEnd w:id="257"/>
      <w:r>
        <w:rPr>
          <w:rFonts w:ascii="Times New Roman" w:hAnsi="Times New Roman" w:eastAsia="黑体" w:cs="Times New Roman"/>
          <w:b w:val="0"/>
          <w:spacing w:val="20"/>
          <w:kern w:val="13"/>
          <w:sz w:val="28"/>
          <w:szCs w:val="28"/>
        </w:rPr>
        <w:t xml:space="preserve"> </w:t>
      </w:r>
    </w:p>
    <w:p w14:paraId="566C8D89">
      <w:pPr>
        <w:jc w:val="center"/>
        <w:outlineLvl w:val="0"/>
        <w:rPr>
          <w:rFonts w:eastAsia="黑体"/>
          <w:sz w:val="28"/>
          <w:szCs w:val="28"/>
        </w:rPr>
      </w:pPr>
      <w:bookmarkStart w:id="259" w:name="_Toc1134358540"/>
      <w:bookmarkStart w:id="260" w:name="_Toc32271"/>
      <w:bookmarkStart w:id="261" w:name="_Toc1717967894"/>
      <w:bookmarkStart w:id="262" w:name="_Toc24664"/>
      <w:bookmarkStart w:id="263" w:name="_Toc1473839098"/>
      <w:bookmarkStart w:id="264" w:name="_Toc29144"/>
      <w:bookmarkStart w:id="265" w:name="_Toc32469"/>
      <w:r>
        <w:rPr>
          <w:rFonts w:eastAsia="黑体"/>
          <w:sz w:val="28"/>
          <w:szCs w:val="28"/>
        </w:rPr>
        <w:t>自动反应量热仪校准证书内页格式</w:t>
      </w:r>
      <w:bookmarkEnd w:id="258"/>
      <w:bookmarkEnd w:id="259"/>
      <w:bookmarkEnd w:id="260"/>
      <w:bookmarkEnd w:id="261"/>
      <w:bookmarkEnd w:id="262"/>
      <w:bookmarkEnd w:id="263"/>
      <w:bookmarkEnd w:id="264"/>
      <w:bookmarkEnd w:id="265"/>
    </w:p>
    <w:p w14:paraId="2FB9D262">
      <w:pPr>
        <w:spacing w:line="360" w:lineRule="auto"/>
        <w:jc w:val="center"/>
        <w:rPr>
          <w:sz w:val="24"/>
        </w:rPr>
      </w:pPr>
      <w:r>
        <w:rPr>
          <w:sz w:val="24"/>
        </w:rPr>
        <w:t>证书编号 XXXXXX-XXXX</w:t>
      </w:r>
    </w:p>
    <w:tbl>
      <w:tblPr>
        <w:tblStyle w:val="16"/>
        <w:tblW w:w="9570"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1596"/>
        <w:gridCol w:w="218"/>
        <w:gridCol w:w="1665"/>
        <w:gridCol w:w="73"/>
        <w:gridCol w:w="1087"/>
        <w:gridCol w:w="978"/>
        <w:gridCol w:w="1719"/>
        <w:gridCol w:w="2234"/>
      </w:tblGrid>
      <w:tr w14:paraId="657DD05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923" w:hRule="atLeast"/>
          <w:jc w:val="center"/>
        </w:trPr>
        <w:tc>
          <w:tcPr>
            <w:tcW w:w="9570" w:type="dxa"/>
            <w:gridSpan w:val="8"/>
            <w:tcBorders>
              <w:top w:val="single" w:color="000000" w:sz="4" w:space="0"/>
              <w:left w:val="single" w:color="000000" w:sz="4" w:space="0"/>
              <w:bottom w:val="single" w:color="000000" w:sz="4" w:space="0"/>
              <w:right w:val="single" w:color="000000" w:sz="4" w:space="0"/>
            </w:tcBorders>
          </w:tcPr>
          <w:p w14:paraId="4C7ECD07">
            <w:pPr>
              <w:keepNext w:val="0"/>
              <w:keepLines w:val="0"/>
              <w:suppressLineNumbers w:val="0"/>
              <w:spacing w:before="0" w:beforeAutospacing="0" w:after="0" w:afterAutospacing="0"/>
              <w:ind w:left="0" w:right="0"/>
              <w:rPr>
                <w:rFonts w:hint="default"/>
                <w:color w:val="808080" w:themeColor="background1" w:themeShade="80"/>
              </w:rPr>
            </w:pPr>
            <w:r>
              <w:rPr>
                <w:rFonts w:hint="default"/>
                <w:color w:val="808080" w:themeColor="background1" w:themeShade="80"/>
              </w:rPr>
              <w:t>&lt;校准机构授权说明&gt;</w:t>
            </w:r>
          </w:p>
          <w:p w14:paraId="35D9AAE2">
            <w:pPr>
              <w:keepNext w:val="0"/>
              <w:keepLines w:val="0"/>
              <w:suppressLineNumbers w:val="0"/>
              <w:spacing w:before="0" w:beforeAutospacing="0" w:after="0" w:afterAutospacing="0"/>
              <w:ind w:left="0" w:right="0"/>
              <w:rPr>
                <w:rFonts w:hint="default"/>
              </w:rPr>
            </w:pPr>
          </w:p>
          <w:p w14:paraId="157BBEEE">
            <w:pPr>
              <w:keepNext w:val="0"/>
              <w:keepLines w:val="0"/>
              <w:suppressLineNumbers w:val="0"/>
              <w:spacing w:before="0" w:beforeAutospacing="0" w:after="0" w:afterAutospacing="0"/>
              <w:ind w:left="0" w:right="0"/>
              <w:rPr>
                <w:rFonts w:hint="default"/>
              </w:rPr>
            </w:pPr>
          </w:p>
          <w:p w14:paraId="59656538">
            <w:pPr>
              <w:keepNext w:val="0"/>
              <w:keepLines w:val="0"/>
              <w:suppressLineNumbers w:val="0"/>
              <w:spacing w:before="0" w:beforeAutospacing="0" w:after="0" w:afterAutospacing="0"/>
              <w:ind w:left="0" w:right="0"/>
              <w:rPr>
                <w:rFonts w:hint="default"/>
              </w:rPr>
            </w:pPr>
          </w:p>
          <w:p w14:paraId="0DA92EC4">
            <w:pPr>
              <w:keepNext w:val="0"/>
              <w:keepLines w:val="0"/>
              <w:suppressLineNumbers w:val="0"/>
              <w:spacing w:before="0" w:beforeAutospacing="0" w:after="0" w:afterAutospacing="0"/>
              <w:ind w:left="0" w:right="0"/>
              <w:rPr>
                <w:rFonts w:hint="default"/>
              </w:rPr>
            </w:pPr>
          </w:p>
          <w:p w14:paraId="2296EA27">
            <w:pPr>
              <w:keepNext w:val="0"/>
              <w:keepLines w:val="0"/>
              <w:suppressLineNumbers w:val="0"/>
              <w:spacing w:before="0" w:beforeAutospacing="0" w:after="0" w:afterAutospacing="0"/>
              <w:ind w:left="0" w:right="0"/>
              <w:rPr>
                <w:rFonts w:hint="default"/>
              </w:rPr>
            </w:pPr>
            <w:r>
              <w:rPr>
                <w:rFonts w:hint="default"/>
              </w:rPr>
              <w:t>校准结果不确定度的评估和表述均符合JJF1059.1的要求。</w:t>
            </w:r>
          </w:p>
        </w:tc>
      </w:tr>
      <w:tr w14:paraId="1E77186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41" w:hRule="atLeast"/>
          <w:jc w:val="center"/>
        </w:trPr>
        <w:tc>
          <w:tcPr>
            <w:tcW w:w="9570" w:type="dxa"/>
            <w:gridSpan w:val="8"/>
            <w:tcBorders>
              <w:top w:val="single" w:color="000000" w:sz="4" w:space="0"/>
              <w:left w:val="single" w:color="000000" w:sz="4" w:space="0"/>
              <w:bottom w:val="single" w:color="000000" w:sz="4" w:space="0"/>
              <w:right w:val="single" w:color="000000" w:sz="4" w:space="0"/>
            </w:tcBorders>
            <w:vAlign w:val="center"/>
          </w:tcPr>
          <w:p w14:paraId="1C774C1E">
            <w:pPr>
              <w:keepNext w:val="0"/>
              <w:keepLines w:val="0"/>
              <w:suppressLineNumbers w:val="0"/>
              <w:spacing w:before="0" w:beforeAutospacing="0" w:after="0" w:afterAutospacing="0"/>
              <w:ind w:left="0" w:right="0"/>
              <w:rPr>
                <w:rFonts w:hint="default"/>
              </w:rPr>
            </w:pPr>
            <w:r>
              <w:rPr>
                <w:rFonts w:hint="default"/>
              </w:rPr>
              <w:t>校准环境条件及地点：</w:t>
            </w:r>
          </w:p>
        </w:tc>
      </w:tr>
      <w:tr w14:paraId="0F0A6A3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14:paraId="15976562">
            <w:pPr>
              <w:keepNext w:val="0"/>
              <w:keepLines w:val="0"/>
              <w:suppressLineNumbers w:val="0"/>
              <w:spacing w:before="0" w:beforeAutospacing="0" w:after="0" w:afterAutospacing="0"/>
              <w:ind w:left="0" w:right="0"/>
              <w:rPr>
                <w:rFonts w:hint="default"/>
              </w:rPr>
            </w:pPr>
            <w:r>
              <w:rPr>
                <w:rFonts w:hint="default"/>
              </w:rPr>
              <w:t>温度</w:t>
            </w:r>
          </w:p>
        </w:tc>
        <w:tc>
          <w:tcPr>
            <w:tcW w:w="1883" w:type="dxa"/>
            <w:gridSpan w:val="2"/>
            <w:tcBorders>
              <w:top w:val="single" w:color="000000" w:sz="4" w:space="0"/>
              <w:left w:val="single" w:color="000000" w:sz="4" w:space="0"/>
              <w:bottom w:val="single" w:color="000000" w:sz="4" w:space="0"/>
              <w:right w:val="single" w:color="000000" w:sz="4" w:space="0"/>
            </w:tcBorders>
            <w:vAlign w:val="center"/>
          </w:tcPr>
          <w:p w14:paraId="5B998FAF">
            <w:pPr>
              <w:keepNext w:val="0"/>
              <w:keepLines w:val="0"/>
              <w:suppressLineNumbers w:val="0"/>
              <w:spacing w:before="0" w:beforeAutospacing="0" w:after="0" w:afterAutospacing="0"/>
              <w:ind w:left="0" w:right="0" w:firstLine="1050" w:firstLineChars="500"/>
              <w:rPr>
                <w:rFonts w:hint="default"/>
              </w:rPr>
            </w:pPr>
            <w:r>
              <w:rPr>
                <w:rFonts w:hint="default"/>
              </w:rPr>
              <w:t>℃</w:t>
            </w:r>
          </w:p>
        </w:tc>
        <w:tc>
          <w:tcPr>
            <w:tcW w:w="1160" w:type="dxa"/>
            <w:gridSpan w:val="2"/>
            <w:tcBorders>
              <w:top w:val="single" w:color="000000" w:sz="4" w:space="0"/>
              <w:left w:val="single" w:color="000000" w:sz="4" w:space="0"/>
              <w:bottom w:val="single" w:color="000000" w:sz="4" w:space="0"/>
              <w:right w:val="single" w:color="000000" w:sz="4" w:space="0"/>
            </w:tcBorders>
            <w:vAlign w:val="center"/>
          </w:tcPr>
          <w:p w14:paraId="654B2317">
            <w:pPr>
              <w:keepNext w:val="0"/>
              <w:keepLines w:val="0"/>
              <w:suppressLineNumbers w:val="0"/>
              <w:spacing w:before="0" w:beforeAutospacing="0" w:after="0" w:afterAutospacing="0"/>
              <w:ind w:left="0" w:right="0"/>
              <w:rPr>
                <w:rFonts w:hint="default"/>
              </w:rPr>
            </w:pPr>
            <w:r>
              <w:rPr>
                <w:rFonts w:hint="default"/>
              </w:rPr>
              <w:t>地点</w:t>
            </w:r>
          </w:p>
        </w:tc>
        <w:tc>
          <w:tcPr>
            <w:tcW w:w="4931" w:type="dxa"/>
            <w:gridSpan w:val="3"/>
            <w:tcBorders>
              <w:top w:val="single" w:color="000000" w:sz="4" w:space="0"/>
              <w:left w:val="single" w:color="000000" w:sz="4" w:space="0"/>
              <w:bottom w:val="single" w:color="000000" w:sz="4" w:space="0"/>
              <w:right w:val="single" w:color="000000" w:sz="4" w:space="0"/>
            </w:tcBorders>
            <w:vAlign w:val="center"/>
          </w:tcPr>
          <w:p w14:paraId="4B127045">
            <w:pPr>
              <w:keepNext w:val="0"/>
              <w:keepLines w:val="0"/>
              <w:suppressLineNumbers w:val="0"/>
              <w:spacing w:before="0" w:beforeAutospacing="0" w:after="0" w:afterAutospacing="0"/>
              <w:ind w:left="0" w:right="0"/>
              <w:rPr>
                <w:rFonts w:hint="default"/>
              </w:rPr>
            </w:pPr>
          </w:p>
        </w:tc>
      </w:tr>
      <w:tr w14:paraId="5C2DA2D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7" w:hRule="atLeast"/>
          <w:jc w:val="center"/>
        </w:trPr>
        <w:tc>
          <w:tcPr>
            <w:tcW w:w="1596" w:type="dxa"/>
            <w:tcBorders>
              <w:top w:val="single" w:color="000000" w:sz="4" w:space="0"/>
              <w:left w:val="single" w:color="000000" w:sz="4" w:space="0"/>
              <w:bottom w:val="single" w:color="000000" w:sz="4" w:space="0"/>
              <w:right w:val="single" w:color="000000" w:sz="4" w:space="0"/>
            </w:tcBorders>
            <w:vAlign w:val="center"/>
          </w:tcPr>
          <w:p w14:paraId="03DA0524">
            <w:pPr>
              <w:keepNext w:val="0"/>
              <w:keepLines w:val="0"/>
              <w:suppressLineNumbers w:val="0"/>
              <w:spacing w:before="0" w:beforeAutospacing="0" w:after="0" w:afterAutospacing="0"/>
              <w:ind w:left="0" w:right="0"/>
              <w:rPr>
                <w:rFonts w:hint="default"/>
              </w:rPr>
            </w:pPr>
            <w:r>
              <w:rPr>
                <w:rFonts w:hint="default"/>
              </w:rPr>
              <w:t>相对湿度</w:t>
            </w:r>
          </w:p>
        </w:tc>
        <w:tc>
          <w:tcPr>
            <w:tcW w:w="1883" w:type="dxa"/>
            <w:gridSpan w:val="2"/>
            <w:tcBorders>
              <w:top w:val="single" w:color="000000" w:sz="4" w:space="0"/>
              <w:left w:val="single" w:color="000000" w:sz="4" w:space="0"/>
              <w:bottom w:val="single" w:color="000000" w:sz="4" w:space="0"/>
              <w:right w:val="single" w:color="000000" w:sz="4" w:space="0"/>
            </w:tcBorders>
            <w:vAlign w:val="center"/>
          </w:tcPr>
          <w:p w14:paraId="3265E1A1">
            <w:pPr>
              <w:keepNext w:val="0"/>
              <w:keepLines w:val="0"/>
              <w:suppressLineNumbers w:val="0"/>
              <w:spacing w:before="0" w:beforeAutospacing="0" w:after="0" w:afterAutospacing="0"/>
              <w:ind w:left="0" w:right="0" w:firstLine="1050" w:firstLineChars="500"/>
              <w:rPr>
                <w:rFonts w:hint="default"/>
              </w:rPr>
            </w:pPr>
            <w:r>
              <w:rPr>
                <w:rFonts w:hint="default"/>
              </w:rPr>
              <w:t xml:space="preserve">% </w:t>
            </w:r>
          </w:p>
        </w:tc>
        <w:tc>
          <w:tcPr>
            <w:tcW w:w="1160" w:type="dxa"/>
            <w:gridSpan w:val="2"/>
            <w:tcBorders>
              <w:top w:val="single" w:color="000000" w:sz="4" w:space="0"/>
              <w:left w:val="single" w:color="000000" w:sz="4" w:space="0"/>
              <w:bottom w:val="single" w:color="000000" w:sz="4" w:space="0"/>
              <w:right w:val="single" w:color="000000" w:sz="4" w:space="0"/>
            </w:tcBorders>
            <w:vAlign w:val="center"/>
          </w:tcPr>
          <w:p w14:paraId="77926F90">
            <w:pPr>
              <w:keepNext w:val="0"/>
              <w:keepLines w:val="0"/>
              <w:suppressLineNumbers w:val="0"/>
              <w:spacing w:before="0" w:beforeAutospacing="0" w:after="0" w:afterAutospacing="0"/>
              <w:ind w:left="0" w:right="0"/>
              <w:rPr>
                <w:rFonts w:hint="default"/>
              </w:rPr>
            </w:pPr>
            <w:r>
              <w:rPr>
                <w:rFonts w:hint="default"/>
              </w:rPr>
              <w:t>其它</w:t>
            </w:r>
          </w:p>
        </w:tc>
        <w:tc>
          <w:tcPr>
            <w:tcW w:w="4931" w:type="dxa"/>
            <w:gridSpan w:val="3"/>
            <w:tcBorders>
              <w:top w:val="single" w:color="000000" w:sz="4" w:space="0"/>
              <w:left w:val="single" w:color="000000" w:sz="4" w:space="0"/>
              <w:bottom w:val="single" w:color="000000" w:sz="4" w:space="0"/>
              <w:right w:val="single" w:color="000000" w:sz="4" w:space="0"/>
            </w:tcBorders>
            <w:vAlign w:val="center"/>
          </w:tcPr>
          <w:p w14:paraId="5F905718">
            <w:pPr>
              <w:keepNext w:val="0"/>
              <w:keepLines w:val="0"/>
              <w:suppressLineNumbers w:val="0"/>
              <w:spacing w:before="0" w:beforeAutospacing="0" w:after="0" w:afterAutospacing="0"/>
              <w:ind w:left="0" w:right="0"/>
              <w:rPr>
                <w:rFonts w:hint="default"/>
              </w:rPr>
            </w:pPr>
          </w:p>
        </w:tc>
      </w:tr>
      <w:tr w14:paraId="6BCADE2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371" w:hRule="atLeast"/>
          <w:jc w:val="center"/>
        </w:trPr>
        <w:tc>
          <w:tcPr>
            <w:tcW w:w="9570" w:type="dxa"/>
            <w:gridSpan w:val="8"/>
            <w:tcBorders>
              <w:top w:val="single" w:color="000000" w:sz="4" w:space="0"/>
              <w:left w:val="single" w:color="000000" w:sz="4" w:space="0"/>
              <w:bottom w:val="single" w:color="000000" w:sz="4" w:space="0"/>
              <w:right w:val="single" w:color="000000" w:sz="4" w:space="0"/>
            </w:tcBorders>
          </w:tcPr>
          <w:p w14:paraId="0F14DD4A">
            <w:pPr>
              <w:keepNext w:val="0"/>
              <w:keepLines w:val="0"/>
              <w:suppressLineNumbers w:val="0"/>
              <w:spacing w:before="0" w:beforeAutospacing="0" w:after="0" w:afterAutospacing="0"/>
              <w:ind w:left="0" w:right="0"/>
              <w:rPr>
                <w:rFonts w:hint="default"/>
              </w:rPr>
            </w:pPr>
            <w:r>
              <w:rPr>
                <w:rFonts w:hint="default"/>
              </w:rPr>
              <w:t>校准所依据的技术文件（代号、名称）：</w:t>
            </w:r>
          </w:p>
          <w:p w14:paraId="1A60F6C5">
            <w:pPr>
              <w:keepNext w:val="0"/>
              <w:keepLines w:val="0"/>
              <w:suppressLineNumbers w:val="0"/>
              <w:spacing w:before="0" w:beforeAutospacing="0" w:after="0" w:afterAutospacing="0"/>
              <w:ind w:left="0" w:right="0"/>
              <w:rPr>
                <w:rFonts w:hint="default"/>
              </w:rPr>
            </w:pPr>
          </w:p>
        </w:tc>
      </w:tr>
      <w:tr w14:paraId="09CBC96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371" w:hRule="atLeast"/>
          <w:jc w:val="center"/>
        </w:trPr>
        <w:tc>
          <w:tcPr>
            <w:tcW w:w="9570" w:type="dxa"/>
            <w:gridSpan w:val="8"/>
            <w:tcBorders>
              <w:top w:val="single" w:color="000000" w:sz="4" w:space="0"/>
              <w:left w:val="single" w:color="000000" w:sz="4" w:space="0"/>
              <w:bottom w:val="single" w:color="000000" w:sz="4" w:space="0"/>
              <w:right w:val="single" w:color="000000" w:sz="4" w:space="0"/>
            </w:tcBorders>
          </w:tcPr>
          <w:p w14:paraId="39955839">
            <w:pPr>
              <w:keepNext w:val="0"/>
              <w:keepLines w:val="0"/>
              <w:suppressLineNumbers w:val="0"/>
              <w:spacing w:before="0" w:beforeAutospacing="0" w:after="0" w:afterAutospacing="0"/>
              <w:ind w:left="0" w:right="0"/>
              <w:rPr>
                <w:rFonts w:hint="default"/>
              </w:rPr>
            </w:pPr>
            <w:r>
              <w:rPr>
                <w:rFonts w:hint="default"/>
              </w:rPr>
              <w:t>校准所使用的主要测量标准：</w:t>
            </w:r>
          </w:p>
        </w:tc>
      </w:tr>
      <w:tr w14:paraId="5EB0537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798" w:hRule="exact"/>
          <w:jc w:val="center"/>
        </w:trPr>
        <w:tc>
          <w:tcPr>
            <w:tcW w:w="1814" w:type="dxa"/>
            <w:gridSpan w:val="2"/>
            <w:tcBorders>
              <w:top w:val="single" w:color="000000" w:sz="4" w:space="0"/>
              <w:left w:val="single" w:color="000000" w:sz="4" w:space="0"/>
              <w:bottom w:val="single" w:color="808080" w:sz="4" w:space="0"/>
            </w:tcBorders>
            <w:vAlign w:val="center"/>
          </w:tcPr>
          <w:p w14:paraId="0398CFCD">
            <w:pPr>
              <w:keepNext w:val="0"/>
              <w:keepLines w:val="0"/>
              <w:suppressLineNumbers w:val="0"/>
              <w:spacing w:before="0" w:beforeAutospacing="0" w:after="0" w:afterAutospacing="0"/>
              <w:ind w:left="0" w:right="0"/>
              <w:jc w:val="center"/>
              <w:rPr>
                <w:rFonts w:hint="default"/>
              </w:rPr>
            </w:pPr>
            <w:r>
              <w:rPr>
                <w:rFonts w:hint="default"/>
              </w:rPr>
              <w:t>名称</w:t>
            </w:r>
          </w:p>
        </w:tc>
        <w:tc>
          <w:tcPr>
            <w:tcW w:w="1738" w:type="dxa"/>
            <w:gridSpan w:val="2"/>
            <w:tcBorders>
              <w:top w:val="single" w:color="000000" w:sz="4" w:space="0"/>
              <w:bottom w:val="single" w:color="808080" w:sz="4" w:space="0"/>
            </w:tcBorders>
            <w:vAlign w:val="center"/>
          </w:tcPr>
          <w:p w14:paraId="2E5BEBE9">
            <w:pPr>
              <w:keepNext w:val="0"/>
              <w:keepLines w:val="0"/>
              <w:suppressLineNumbers w:val="0"/>
              <w:spacing w:before="0" w:beforeAutospacing="0" w:after="0" w:afterAutospacing="0"/>
              <w:ind w:left="0" w:right="0"/>
              <w:jc w:val="center"/>
              <w:rPr>
                <w:rFonts w:hint="default"/>
              </w:rPr>
            </w:pPr>
            <w:r>
              <w:rPr>
                <w:rFonts w:hint="default"/>
              </w:rPr>
              <w:t>测量范围</w:t>
            </w:r>
          </w:p>
        </w:tc>
        <w:tc>
          <w:tcPr>
            <w:tcW w:w="2065" w:type="dxa"/>
            <w:gridSpan w:val="2"/>
            <w:tcBorders>
              <w:top w:val="single" w:color="000000" w:sz="4" w:space="0"/>
              <w:bottom w:val="single" w:color="808080" w:sz="4" w:space="0"/>
            </w:tcBorders>
            <w:vAlign w:val="center"/>
          </w:tcPr>
          <w:p w14:paraId="48E37521">
            <w:pPr>
              <w:keepNext w:val="0"/>
              <w:keepLines w:val="0"/>
              <w:suppressLineNumbers w:val="0"/>
              <w:spacing w:before="0" w:beforeAutospacing="0" w:after="0" w:afterAutospacing="0"/>
              <w:ind w:left="0" w:right="0"/>
              <w:jc w:val="center"/>
              <w:rPr>
                <w:rFonts w:hint="default"/>
              </w:rPr>
            </w:pPr>
            <w:r>
              <w:rPr>
                <w:rFonts w:hint="default"/>
              </w:rPr>
              <w:t>不确定度/</w:t>
            </w:r>
          </w:p>
          <w:p w14:paraId="02BE7244">
            <w:pPr>
              <w:keepNext w:val="0"/>
              <w:keepLines w:val="0"/>
              <w:suppressLineNumbers w:val="0"/>
              <w:spacing w:before="0" w:beforeAutospacing="0" w:after="0" w:afterAutospacing="0"/>
              <w:ind w:left="0" w:right="0"/>
              <w:jc w:val="center"/>
              <w:rPr>
                <w:rFonts w:hint="default"/>
              </w:rPr>
            </w:pPr>
            <w:r>
              <w:rPr>
                <w:rFonts w:hint="default"/>
              </w:rPr>
              <w:t>准确度等级</w:t>
            </w:r>
          </w:p>
        </w:tc>
        <w:tc>
          <w:tcPr>
            <w:tcW w:w="1719" w:type="dxa"/>
            <w:tcBorders>
              <w:top w:val="single" w:color="000000" w:sz="4" w:space="0"/>
              <w:bottom w:val="single" w:color="808080" w:sz="4" w:space="0"/>
            </w:tcBorders>
            <w:vAlign w:val="center"/>
          </w:tcPr>
          <w:p w14:paraId="27411ECD">
            <w:pPr>
              <w:keepNext w:val="0"/>
              <w:keepLines w:val="0"/>
              <w:suppressLineNumbers w:val="0"/>
              <w:spacing w:before="0" w:beforeAutospacing="0" w:after="0" w:afterAutospacing="0"/>
              <w:ind w:left="0" w:right="0"/>
              <w:jc w:val="center"/>
              <w:rPr>
                <w:rFonts w:hint="default"/>
              </w:rPr>
            </w:pPr>
            <w:r>
              <w:rPr>
                <w:rFonts w:hint="default"/>
              </w:rPr>
              <w:t>证书编号</w:t>
            </w:r>
          </w:p>
        </w:tc>
        <w:tc>
          <w:tcPr>
            <w:tcW w:w="2234" w:type="dxa"/>
            <w:tcBorders>
              <w:top w:val="single" w:color="000000" w:sz="4" w:space="0"/>
              <w:bottom w:val="single" w:color="808080" w:sz="4" w:space="0"/>
              <w:right w:val="single" w:color="000000" w:sz="4" w:space="0"/>
            </w:tcBorders>
            <w:vAlign w:val="center"/>
          </w:tcPr>
          <w:p w14:paraId="0C2ACFCD">
            <w:pPr>
              <w:keepNext w:val="0"/>
              <w:keepLines w:val="0"/>
              <w:suppressLineNumbers w:val="0"/>
              <w:spacing w:before="0" w:beforeAutospacing="0" w:after="0" w:afterAutospacing="0"/>
              <w:ind w:left="0" w:right="0"/>
              <w:jc w:val="center"/>
              <w:rPr>
                <w:rFonts w:hint="default"/>
              </w:rPr>
            </w:pPr>
            <w:r>
              <w:rPr>
                <w:rFonts w:hint="default"/>
              </w:rPr>
              <w:t>证书有效期至</w:t>
            </w:r>
          </w:p>
          <w:p w14:paraId="4B20879E">
            <w:pPr>
              <w:keepNext w:val="0"/>
              <w:keepLines w:val="0"/>
              <w:suppressLineNumbers w:val="0"/>
              <w:spacing w:before="0" w:beforeAutospacing="0" w:after="0" w:afterAutospacing="0"/>
              <w:ind w:left="0" w:right="0"/>
              <w:jc w:val="center"/>
              <w:rPr>
                <w:rFonts w:hint="default"/>
              </w:rPr>
            </w:pPr>
            <w:r>
              <w:rPr>
                <w:rFonts w:hint="default"/>
              </w:rPr>
              <w:t>(YYYY-MM-DD)</w:t>
            </w:r>
          </w:p>
        </w:tc>
      </w:tr>
      <w:tr w14:paraId="5772452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16" w:hRule="exact"/>
          <w:jc w:val="center"/>
        </w:trPr>
        <w:tc>
          <w:tcPr>
            <w:tcW w:w="1814" w:type="dxa"/>
            <w:gridSpan w:val="2"/>
            <w:tcBorders>
              <w:left w:val="single" w:color="000000" w:sz="4" w:space="0"/>
            </w:tcBorders>
            <w:vAlign w:val="center"/>
          </w:tcPr>
          <w:p w14:paraId="63355F1C">
            <w:pPr>
              <w:keepNext w:val="0"/>
              <w:keepLines w:val="0"/>
              <w:suppressLineNumbers w:val="0"/>
              <w:spacing w:before="0" w:beforeAutospacing="0" w:after="0" w:afterAutospacing="0"/>
              <w:ind w:left="0" w:right="0"/>
              <w:rPr>
                <w:rFonts w:hint="default"/>
              </w:rPr>
            </w:pPr>
          </w:p>
        </w:tc>
        <w:tc>
          <w:tcPr>
            <w:tcW w:w="1738" w:type="dxa"/>
            <w:gridSpan w:val="2"/>
            <w:vAlign w:val="center"/>
          </w:tcPr>
          <w:p w14:paraId="081BE1E2">
            <w:pPr>
              <w:keepNext w:val="0"/>
              <w:keepLines w:val="0"/>
              <w:suppressLineNumbers w:val="0"/>
              <w:spacing w:before="0" w:beforeAutospacing="0" w:after="0" w:afterAutospacing="0"/>
              <w:ind w:left="0" w:right="0"/>
              <w:rPr>
                <w:rFonts w:hint="default"/>
              </w:rPr>
            </w:pPr>
          </w:p>
        </w:tc>
        <w:tc>
          <w:tcPr>
            <w:tcW w:w="2065" w:type="dxa"/>
            <w:gridSpan w:val="2"/>
            <w:vAlign w:val="center"/>
          </w:tcPr>
          <w:p w14:paraId="42719F87">
            <w:pPr>
              <w:keepNext w:val="0"/>
              <w:keepLines w:val="0"/>
              <w:suppressLineNumbers w:val="0"/>
              <w:spacing w:before="0" w:beforeAutospacing="0" w:after="0" w:afterAutospacing="0"/>
              <w:ind w:left="0" w:right="0"/>
              <w:rPr>
                <w:rFonts w:hint="default"/>
              </w:rPr>
            </w:pPr>
          </w:p>
        </w:tc>
        <w:tc>
          <w:tcPr>
            <w:tcW w:w="1719" w:type="dxa"/>
            <w:vAlign w:val="center"/>
          </w:tcPr>
          <w:p w14:paraId="010EAE0A">
            <w:pPr>
              <w:keepNext w:val="0"/>
              <w:keepLines w:val="0"/>
              <w:suppressLineNumbers w:val="0"/>
              <w:spacing w:before="0" w:beforeAutospacing="0" w:after="0" w:afterAutospacing="0"/>
              <w:ind w:left="0" w:right="0"/>
              <w:rPr>
                <w:rFonts w:hint="default"/>
              </w:rPr>
            </w:pPr>
          </w:p>
        </w:tc>
        <w:tc>
          <w:tcPr>
            <w:tcW w:w="2234" w:type="dxa"/>
            <w:tcBorders>
              <w:right w:val="single" w:color="000000" w:sz="4" w:space="0"/>
            </w:tcBorders>
            <w:vAlign w:val="center"/>
          </w:tcPr>
          <w:p w14:paraId="6D199D15">
            <w:pPr>
              <w:keepNext w:val="0"/>
              <w:keepLines w:val="0"/>
              <w:suppressLineNumbers w:val="0"/>
              <w:spacing w:before="0" w:beforeAutospacing="0" w:after="0" w:afterAutospacing="0"/>
              <w:ind w:left="0" w:right="0"/>
              <w:rPr>
                <w:rFonts w:hint="default"/>
              </w:rPr>
            </w:pPr>
          </w:p>
        </w:tc>
      </w:tr>
    </w:tbl>
    <w:p w14:paraId="360A6D50">
      <w:pPr>
        <w:snapToGrid w:val="0"/>
        <w:spacing w:before="156" w:beforeLines="50" w:line="360" w:lineRule="auto"/>
        <w:jc w:val="center"/>
        <w:rPr>
          <w:sz w:val="24"/>
        </w:rPr>
      </w:pPr>
      <w:r>
        <w:rPr>
          <w:sz w:val="24"/>
        </w:rPr>
        <w:t>第 页，共 页</w:t>
      </w:r>
    </w:p>
    <w:p w14:paraId="665C7BA1">
      <w:pPr>
        <w:jc w:val="center"/>
        <w:rPr>
          <w:szCs w:val="48"/>
        </w:rPr>
        <w:sectPr>
          <w:headerReference r:id="rId4" w:type="default"/>
          <w:footerReference r:id="rId5" w:type="default"/>
          <w:pgSz w:w="11906" w:h="16838"/>
          <w:pgMar w:top="1985" w:right="1134" w:bottom="1418" w:left="1418" w:header="1418" w:footer="1304" w:gutter="0"/>
          <w:pgNumType w:start="1"/>
          <w:cols w:space="720" w:num="1"/>
          <w:docGrid w:type="lines" w:linePitch="312" w:charSpace="0"/>
        </w:sectPr>
      </w:pPr>
    </w:p>
    <w:p w14:paraId="475C8599">
      <w:pPr>
        <w:jc w:val="center"/>
        <w:rPr>
          <w:szCs w:val="48"/>
        </w:rPr>
      </w:pPr>
      <w:r>
        <w:rPr>
          <w:szCs w:val="48"/>
        </w:rPr>
        <w:t>证书编号 XXXXXX-XXXX</w:t>
      </w:r>
    </w:p>
    <w:p w14:paraId="22F98083">
      <w:pPr>
        <w:spacing w:line="360" w:lineRule="auto"/>
        <w:jc w:val="center"/>
        <w:rPr>
          <w:b/>
          <w:sz w:val="28"/>
          <w:szCs w:val="48"/>
        </w:rPr>
      </w:pPr>
      <w:r>
        <w:rPr>
          <w:rFonts w:eastAsia="黑体"/>
          <w:bCs/>
          <w:sz w:val="28"/>
          <w:szCs w:val="48"/>
        </w:rPr>
        <w:t>校 准 结 果</w:t>
      </w:r>
    </w:p>
    <w:tbl>
      <w:tblPr>
        <w:tblStyle w:val="16"/>
        <w:tblW w:w="9570"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9570"/>
      </w:tblGrid>
      <w:tr w14:paraId="38F1D39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9674" w:hRule="atLeast"/>
          <w:jc w:val="center"/>
        </w:trPr>
        <w:tc>
          <w:tcPr>
            <w:tcW w:w="9570" w:type="dxa"/>
            <w:tcBorders>
              <w:top w:val="single" w:color="808080" w:sz="4" w:space="0"/>
              <w:left w:val="single" w:color="808080" w:sz="4" w:space="0"/>
              <w:right w:val="single" w:color="808080" w:sz="4" w:space="0"/>
            </w:tcBorders>
          </w:tcPr>
          <w:p w14:paraId="54F6B82C">
            <w:pPr>
              <w:keepNext w:val="0"/>
              <w:keepLines w:val="0"/>
              <w:numPr>
                <w:ilvl w:val="0"/>
                <w:numId w:val="2"/>
              </w:numPr>
              <w:suppressLineNumbers w:val="0"/>
              <w:spacing w:before="240" w:beforeAutospacing="0" w:after="0" w:afterAutospacing="0" w:line="360" w:lineRule="auto"/>
              <w:ind w:right="0"/>
              <w:jc w:val="left"/>
              <w:rPr>
                <w:rFonts w:hint="default"/>
                <w:sz w:val="24"/>
              </w:rPr>
            </w:pPr>
            <w:r>
              <w:rPr>
                <w:rFonts w:hint="default"/>
                <w:sz w:val="24"/>
              </w:rPr>
              <w:t>质量示值误差</w:t>
            </w:r>
          </w:p>
          <w:tbl>
            <w:tblPr>
              <w:tblStyle w:val="16"/>
              <w:tblW w:w="5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790"/>
              <w:gridCol w:w="2216"/>
            </w:tblGrid>
            <w:tr w14:paraId="7245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5" w:type="dxa"/>
                  <w:vAlign w:val="center"/>
                </w:tcPr>
                <w:p w14:paraId="75FF0948">
                  <w:pPr>
                    <w:keepNext w:val="0"/>
                    <w:keepLines w:val="0"/>
                    <w:suppressLineNumbers w:val="0"/>
                    <w:snapToGrid w:val="0"/>
                    <w:spacing w:before="0" w:beforeAutospacing="0" w:after="0" w:afterAutospacing="0"/>
                    <w:ind w:left="0" w:right="0"/>
                    <w:jc w:val="center"/>
                    <w:rPr>
                      <w:rFonts w:hint="default"/>
                    </w:rPr>
                  </w:pPr>
                  <w:r>
                    <w:rPr>
                      <w:rFonts w:hint="default"/>
                      <w:szCs w:val="21"/>
                    </w:rPr>
                    <w:t>载荷(g)</w:t>
                  </w:r>
                </w:p>
              </w:tc>
              <w:tc>
                <w:tcPr>
                  <w:tcW w:w="1790" w:type="dxa"/>
                  <w:vAlign w:val="center"/>
                </w:tcPr>
                <w:p w14:paraId="1A1C6168">
                  <w:pPr>
                    <w:keepNext w:val="0"/>
                    <w:keepLines w:val="0"/>
                    <w:suppressLineNumbers w:val="0"/>
                    <w:snapToGrid w:val="0"/>
                    <w:spacing w:before="0" w:beforeAutospacing="0" w:after="0" w:afterAutospacing="0"/>
                    <w:ind w:left="0" w:right="0"/>
                    <w:jc w:val="center"/>
                    <w:rPr>
                      <w:rFonts w:hint="default"/>
                    </w:rPr>
                  </w:pPr>
                  <w:r>
                    <w:rPr>
                      <w:rFonts w:hint="default"/>
                    </w:rPr>
                    <w:t>示值误差</w:t>
                  </w:r>
                </w:p>
              </w:tc>
              <w:tc>
                <w:tcPr>
                  <w:tcW w:w="2216" w:type="dxa"/>
                  <w:vAlign w:val="center"/>
                </w:tcPr>
                <w:p w14:paraId="38E127E0">
                  <w:pPr>
                    <w:keepNext w:val="0"/>
                    <w:keepLines w:val="0"/>
                    <w:suppressLineNumbers w:val="0"/>
                    <w:snapToGrid w:val="0"/>
                    <w:spacing w:before="0" w:beforeAutospacing="0" w:after="0" w:afterAutospacing="0"/>
                    <w:ind w:left="0" w:right="0"/>
                    <w:jc w:val="center"/>
                    <w:rPr>
                      <w:rFonts w:hint="default"/>
                    </w:rPr>
                  </w:pPr>
                  <w:r>
                    <w:rPr>
                      <w:rFonts w:hint="default"/>
                    </w:rPr>
                    <w:t>不确定度</w:t>
                  </w:r>
                  <w:r>
                    <w:rPr>
                      <w:rFonts w:hint="default"/>
                      <w:i/>
                      <w:iCs/>
                    </w:rPr>
                    <w:t>U</w:t>
                  </w:r>
                  <w:r>
                    <w:rPr>
                      <w:rFonts w:hint="default"/>
                      <w:vertAlign w:val="subscript"/>
                    </w:rPr>
                    <w:t>rel</w:t>
                  </w:r>
                </w:p>
              </w:tc>
            </w:tr>
            <w:tr w14:paraId="2C13D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5" w:type="dxa"/>
                  <w:vAlign w:val="center"/>
                </w:tcPr>
                <w:p w14:paraId="3C2C532E">
                  <w:pPr>
                    <w:keepNext w:val="0"/>
                    <w:keepLines w:val="0"/>
                    <w:suppressLineNumbers w:val="0"/>
                    <w:snapToGrid w:val="0"/>
                    <w:spacing w:before="0" w:beforeAutospacing="0" w:after="0" w:afterAutospacing="0"/>
                    <w:ind w:left="0" w:right="0"/>
                    <w:jc w:val="center"/>
                    <w:rPr>
                      <w:rFonts w:hint="default"/>
                    </w:rPr>
                  </w:pPr>
                </w:p>
              </w:tc>
              <w:tc>
                <w:tcPr>
                  <w:tcW w:w="1790" w:type="dxa"/>
                  <w:vAlign w:val="center"/>
                </w:tcPr>
                <w:p w14:paraId="7F5CD6EE">
                  <w:pPr>
                    <w:keepNext w:val="0"/>
                    <w:keepLines w:val="0"/>
                    <w:suppressLineNumbers w:val="0"/>
                    <w:snapToGrid w:val="0"/>
                    <w:spacing w:before="0" w:beforeAutospacing="0" w:after="0" w:afterAutospacing="0"/>
                    <w:ind w:left="0" w:right="0"/>
                    <w:jc w:val="center"/>
                    <w:rPr>
                      <w:rFonts w:hint="default"/>
                    </w:rPr>
                  </w:pPr>
                </w:p>
              </w:tc>
              <w:tc>
                <w:tcPr>
                  <w:tcW w:w="2216" w:type="dxa"/>
                  <w:vAlign w:val="center"/>
                </w:tcPr>
                <w:p w14:paraId="176A37AA">
                  <w:pPr>
                    <w:keepNext w:val="0"/>
                    <w:keepLines w:val="0"/>
                    <w:suppressLineNumbers w:val="0"/>
                    <w:snapToGrid w:val="0"/>
                    <w:spacing w:before="0" w:beforeAutospacing="0" w:after="0" w:afterAutospacing="0"/>
                    <w:ind w:left="0" w:right="0"/>
                    <w:jc w:val="center"/>
                    <w:rPr>
                      <w:rFonts w:hint="default"/>
                    </w:rPr>
                  </w:pPr>
                </w:p>
              </w:tc>
            </w:tr>
            <w:tr w14:paraId="2AC2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5" w:type="dxa"/>
                  <w:vAlign w:val="center"/>
                </w:tcPr>
                <w:p w14:paraId="19B4C7D0">
                  <w:pPr>
                    <w:keepNext w:val="0"/>
                    <w:keepLines w:val="0"/>
                    <w:suppressLineNumbers w:val="0"/>
                    <w:snapToGrid w:val="0"/>
                    <w:spacing w:before="0" w:beforeAutospacing="0" w:after="0" w:afterAutospacing="0"/>
                    <w:ind w:left="0" w:right="0"/>
                    <w:jc w:val="center"/>
                    <w:rPr>
                      <w:rFonts w:hint="default"/>
                    </w:rPr>
                  </w:pPr>
                </w:p>
              </w:tc>
              <w:tc>
                <w:tcPr>
                  <w:tcW w:w="1790" w:type="dxa"/>
                  <w:vAlign w:val="center"/>
                </w:tcPr>
                <w:p w14:paraId="7169E014">
                  <w:pPr>
                    <w:keepNext w:val="0"/>
                    <w:keepLines w:val="0"/>
                    <w:suppressLineNumbers w:val="0"/>
                    <w:snapToGrid w:val="0"/>
                    <w:spacing w:before="0" w:beforeAutospacing="0" w:after="0" w:afterAutospacing="0"/>
                    <w:ind w:left="0" w:right="0"/>
                    <w:jc w:val="center"/>
                    <w:rPr>
                      <w:rFonts w:hint="default"/>
                    </w:rPr>
                  </w:pPr>
                </w:p>
              </w:tc>
              <w:tc>
                <w:tcPr>
                  <w:tcW w:w="2216" w:type="dxa"/>
                  <w:vAlign w:val="center"/>
                </w:tcPr>
                <w:p w14:paraId="59AF8F3E">
                  <w:pPr>
                    <w:keepNext w:val="0"/>
                    <w:keepLines w:val="0"/>
                    <w:suppressLineNumbers w:val="0"/>
                    <w:snapToGrid w:val="0"/>
                    <w:spacing w:before="0" w:beforeAutospacing="0" w:after="0" w:afterAutospacing="0"/>
                    <w:ind w:left="0" w:right="0"/>
                    <w:jc w:val="center"/>
                    <w:rPr>
                      <w:rFonts w:hint="default"/>
                    </w:rPr>
                  </w:pPr>
                </w:p>
              </w:tc>
            </w:tr>
            <w:tr w14:paraId="5131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5" w:type="dxa"/>
                  <w:vAlign w:val="center"/>
                </w:tcPr>
                <w:p w14:paraId="51F1B5BE">
                  <w:pPr>
                    <w:keepNext w:val="0"/>
                    <w:keepLines w:val="0"/>
                    <w:suppressLineNumbers w:val="0"/>
                    <w:snapToGrid w:val="0"/>
                    <w:spacing w:before="0" w:beforeAutospacing="0" w:after="0" w:afterAutospacing="0"/>
                    <w:ind w:left="0" w:right="0"/>
                    <w:jc w:val="center"/>
                    <w:rPr>
                      <w:rFonts w:hint="default"/>
                    </w:rPr>
                  </w:pPr>
                </w:p>
              </w:tc>
              <w:tc>
                <w:tcPr>
                  <w:tcW w:w="1790" w:type="dxa"/>
                  <w:vAlign w:val="center"/>
                </w:tcPr>
                <w:p w14:paraId="6BE59D02">
                  <w:pPr>
                    <w:keepNext w:val="0"/>
                    <w:keepLines w:val="0"/>
                    <w:suppressLineNumbers w:val="0"/>
                    <w:snapToGrid w:val="0"/>
                    <w:spacing w:before="0" w:beforeAutospacing="0" w:after="0" w:afterAutospacing="0"/>
                    <w:ind w:left="0" w:right="0"/>
                    <w:jc w:val="center"/>
                    <w:rPr>
                      <w:rFonts w:hint="default"/>
                    </w:rPr>
                  </w:pPr>
                </w:p>
              </w:tc>
              <w:tc>
                <w:tcPr>
                  <w:tcW w:w="2216" w:type="dxa"/>
                  <w:vAlign w:val="center"/>
                </w:tcPr>
                <w:p w14:paraId="5A882821">
                  <w:pPr>
                    <w:keepNext w:val="0"/>
                    <w:keepLines w:val="0"/>
                    <w:suppressLineNumbers w:val="0"/>
                    <w:snapToGrid w:val="0"/>
                    <w:spacing w:before="0" w:beforeAutospacing="0" w:after="0" w:afterAutospacing="0"/>
                    <w:ind w:left="0" w:right="0"/>
                    <w:jc w:val="center"/>
                    <w:rPr>
                      <w:rFonts w:hint="default"/>
                    </w:rPr>
                  </w:pPr>
                </w:p>
              </w:tc>
            </w:tr>
          </w:tbl>
          <w:p w14:paraId="634A13D1">
            <w:pPr>
              <w:keepNext w:val="0"/>
              <w:keepLines w:val="0"/>
              <w:suppressLineNumbers w:val="0"/>
              <w:spacing w:before="0" w:beforeAutospacing="0" w:after="0" w:afterAutospacing="0" w:line="320" w:lineRule="exact"/>
              <w:ind w:left="0" w:right="0"/>
              <w:jc w:val="left"/>
              <w:rPr>
                <w:rFonts w:hint="default"/>
                <w:sz w:val="24"/>
              </w:rPr>
            </w:pPr>
            <w:r>
              <w:rPr>
                <w:rFonts w:hint="default"/>
                <w:sz w:val="24"/>
              </w:rPr>
              <w:t>备注：</w:t>
            </w:r>
          </w:p>
          <w:p w14:paraId="189A6F50">
            <w:pPr>
              <w:keepNext w:val="0"/>
              <w:keepLines w:val="0"/>
              <w:numPr>
                <w:ilvl w:val="0"/>
                <w:numId w:val="2"/>
              </w:numPr>
              <w:suppressLineNumbers w:val="0"/>
              <w:spacing w:before="240" w:beforeAutospacing="0" w:after="0" w:afterAutospacing="0" w:line="360" w:lineRule="auto"/>
              <w:ind w:right="0"/>
              <w:jc w:val="left"/>
              <w:rPr>
                <w:rFonts w:hint="default"/>
                <w:sz w:val="24"/>
              </w:rPr>
            </w:pPr>
            <w:r>
              <w:rPr>
                <w:rFonts w:hint="default"/>
                <w:sz w:val="24"/>
              </w:rPr>
              <w:t>温度示值误差</w:t>
            </w:r>
          </w:p>
          <w:tbl>
            <w:tblPr>
              <w:tblStyle w:val="16"/>
              <w:tblW w:w="6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7"/>
              <w:gridCol w:w="1987"/>
              <w:gridCol w:w="1987"/>
            </w:tblGrid>
            <w:tr w14:paraId="556B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7" w:type="dxa"/>
                  <w:vAlign w:val="center"/>
                </w:tcPr>
                <w:p w14:paraId="00906B79">
                  <w:pPr>
                    <w:keepNext w:val="0"/>
                    <w:keepLines w:val="0"/>
                    <w:suppressLineNumbers w:val="0"/>
                    <w:spacing w:before="0" w:beforeAutospacing="0" w:after="0" w:afterAutospacing="0"/>
                    <w:ind w:left="0" w:right="0"/>
                    <w:jc w:val="center"/>
                    <w:rPr>
                      <w:rFonts w:hint="default"/>
                    </w:rPr>
                  </w:pPr>
                  <w:r>
                    <w:rPr>
                      <w:rFonts w:hint="default"/>
                    </w:rPr>
                    <w:t>温度</w:t>
                  </w:r>
                </w:p>
              </w:tc>
              <w:tc>
                <w:tcPr>
                  <w:tcW w:w="1987" w:type="dxa"/>
                  <w:vAlign w:val="center"/>
                </w:tcPr>
                <w:p w14:paraId="1B6F4FA7">
                  <w:pPr>
                    <w:keepNext w:val="0"/>
                    <w:keepLines w:val="0"/>
                    <w:suppressLineNumbers w:val="0"/>
                    <w:spacing w:before="0" w:beforeAutospacing="0" w:after="0" w:afterAutospacing="0"/>
                    <w:ind w:left="0" w:right="0"/>
                    <w:jc w:val="center"/>
                    <w:rPr>
                      <w:rFonts w:hint="default"/>
                    </w:rPr>
                  </w:pPr>
                  <w:r>
                    <w:rPr>
                      <w:rFonts w:hint="default"/>
                    </w:rPr>
                    <w:t>示值误差</w:t>
                  </w:r>
                </w:p>
              </w:tc>
              <w:tc>
                <w:tcPr>
                  <w:tcW w:w="1987" w:type="dxa"/>
                  <w:vAlign w:val="center"/>
                </w:tcPr>
                <w:p w14:paraId="08E3CBC7">
                  <w:pPr>
                    <w:keepNext w:val="0"/>
                    <w:keepLines w:val="0"/>
                    <w:suppressLineNumbers w:val="0"/>
                    <w:spacing w:before="0" w:beforeAutospacing="0" w:after="0" w:afterAutospacing="0"/>
                    <w:ind w:left="0" w:right="0"/>
                    <w:jc w:val="center"/>
                    <w:rPr>
                      <w:rFonts w:hint="default"/>
                    </w:rPr>
                  </w:pPr>
                  <w:r>
                    <w:rPr>
                      <w:rFonts w:hint="default"/>
                    </w:rPr>
                    <w:t>不确定度</w:t>
                  </w:r>
                  <w:r>
                    <w:rPr>
                      <w:rFonts w:hint="default"/>
                      <w:i/>
                      <w:iCs/>
                    </w:rPr>
                    <w:t>U</w:t>
                  </w:r>
                  <w:r>
                    <w:rPr>
                      <w:rFonts w:hint="default"/>
                      <w:vertAlign w:val="subscript"/>
                    </w:rPr>
                    <w:t>rel</w:t>
                  </w:r>
                </w:p>
              </w:tc>
            </w:tr>
            <w:tr w14:paraId="219A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7" w:type="dxa"/>
                  <w:vAlign w:val="center"/>
                </w:tcPr>
                <w:p w14:paraId="0B699A72">
                  <w:pPr>
                    <w:keepNext w:val="0"/>
                    <w:keepLines w:val="0"/>
                    <w:suppressLineNumbers w:val="0"/>
                    <w:spacing w:before="0" w:beforeAutospacing="0" w:after="0" w:afterAutospacing="0"/>
                    <w:ind w:left="0" w:right="0"/>
                    <w:jc w:val="center"/>
                    <w:rPr>
                      <w:rFonts w:hint="default"/>
                    </w:rPr>
                  </w:pPr>
                  <w:r>
                    <w:rPr>
                      <w:rFonts w:hint="default"/>
                      <w:szCs w:val="21"/>
                    </w:rPr>
                    <w:t>50℃</w:t>
                  </w:r>
                </w:p>
              </w:tc>
              <w:tc>
                <w:tcPr>
                  <w:tcW w:w="1987" w:type="dxa"/>
                  <w:vAlign w:val="center"/>
                </w:tcPr>
                <w:p w14:paraId="34A84257">
                  <w:pPr>
                    <w:keepNext w:val="0"/>
                    <w:keepLines w:val="0"/>
                    <w:suppressLineNumbers w:val="0"/>
                    <w:spacing w:before="0" w:beforeAutospacing="0" w:after="0" w:afterAutospacing="0"/>
                    <w:ind w:left="0" w:right="0"/>
                    <w:jc w:val="center"/>
                    <w:rPr>
                      <w:rFonts w:hint="default"/>
                    </w:rPr>
                  </w:pPr>
                </w:p>
              </w:tc>
              <w:tc>
                <w:tcPr>
                  <w:tcW w:w="1987" w:type="dxa"/>
                  <w:vAlign w:val="center"/>
                </w:tcPr>
                <w:p w14:paraId="376D644B">
                  <w:pPr>
                    <w:keepNext w:val="0"/>
                    <w:keepLines w:val="0"/>
                    <w:suppressLineNumbers w:val="0"/>
                    <w:spacing w:before="0" w:beforeAutospacing="0" w:after="0" w:afterAutospacing="0"/>
                    <w:ind w:left="0" w:right="0"/>
                    <w:jc w:val="center"/>
                    <w:rPr>
                      <w:rFonts w:hint="default"/>
                    </w:rPr>
                  </w:pPr>
                </w:p>
              </w:tc>
            </w:tr>
            <w:tr w14:paraId="2654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7" w:type="dxa"/>
                  <w:vAlign w:val="center"/>
                </w:tcPr>
                <w:p w14:paraId="3AC5D4B0">
                  <w:pPr>
                    <w:keepNext w:val="0"/>
                    <w:keepLines w:val="0"/>
                    <w:suppressLineNumbers w:val="0"/>
                    <w:spacing w:before="0" w:beforeAutospacing="0" w:after="0" w:afterAutospacing="0"/>
                    <w:ind w:left="0" w:right="0"/>
                    <w:jc w:val="center"/>
                    <w:rPr>
                      <w:rFonts w:hint="default"/>
                    </w:rPr>
                  </w:pPr>
                  <w:r>
                    <w:rPr>
                      <w:rFonts w:hint="default"/>
                      <w:szCs w:val="21"/>
                    </w:rPr>
                    <w:t>100℃</w:t>
                  </w:r>
                </w:p>
              </w:tc>
              <w:tc>
                <w:tcPr>
                  <w:tcW w:w="1987" w:type="dxa"/>
                  <w:vAlign w:val="center"/>
                </w:tcPr>
                <w:p w14:paraId="365ACE5B">
                  <w:pPr>
                    <w:keepNext w:val="0"/>
                    <w:keepLines w:val="0"/>
                    <w:suppressLineNumbers w:val="0"/>
                    <w:spacing w:before="0" w:beforeAutospacing="0" w:after="0" w:afterAutospacing="0"/>
                    <w:ind w:left="0" w:right="0"/>
                    <w:jc w:val="center"/>
                    <w:rPr>
                      <w:rFonts w:hint="default"/>
                    </w:rPr>
                  </w:pPr>
                </w:p>
              </w:tc>
              <w:tc>
                <w:tcPr>
                  <w:tcW w:w="1987" w:type="dxa"/>
                  <w:vAlign w:val="center"/>
                </w:tcPr>
                <w:p w14:paraId="47782686">
                  <w:pPr>
                    <w:keepNext w:val="0"/>
                    <w:keepLines w:val="0"/>
                    <w:suppressLineNumbers w:val="0"/>
                    <w:spacing w:before="0" w:beforeAutospacing="0" w:after="0" w:afterAutospacing="0"/>
                    <w:ind w:left="0" w:right="0"/>
                    <w:jc w:val="center"/>
                    <w:rPr>
                      <w:rFonts w:hint="default"/>
                    </w:rPr>
                  </w:pPr>
                </w:p>
              </w:tc>
            </w:tr>
            <w:tr w14:paraId="4676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7" w:type="dxa"/>
                  <w:vAlign w:val="center"/>
                </w:tcPr>
                <w:p w14:paraId="5C279A41">
                  <w:pPr>
                    <w:keepNext w:val="0"/>
                    <w:keepLines w:val="0"/>
                    <w:suppressLineNumbers w:val="0"/>
                    <w:spacing w:before="0" w:beforeAutospacing="0" w:after="0" w:afterAutospacing="0"/>
                    <w:ind w:left="0" w:right="0"/>
                    <w:jc w:val="center"/>
                    <w:rPr>
                      <w:rFonts w:hint="default"/>
                    </w:rPr>
                  </w:pPr>
                  <w:r>
                    <w:rPr>
                      <w:rFonts w:hint="default"/>
                      <w:szCs w:val="21"/>
                    </w:rPr>
                    <w:t>150℃</w:t>
                  </w:r>
                </w:p>
              </w:tc>
              <w:tc>
                <w:tcPr>
                  <w:tcW w:w="1987" w:type="dxa"/>
                  <w:vAlign w:val="center"/>
                </w:tcPr>
                <w:p w14:paraId="136F6CB1">
                  <w:pPr>
                    <w:keepNext w:val="0"/>
                    <w:keepLines w:val="0"/>
                    <w:suppressLineNumbers w:val="0"/>
                    <w:spacing w:before="0" w:beforeAutospacing="0" w:after="0" w:afterAutospacing="0"/>
                    <w:ind w:left="0" w:right="0"/>
                    <w:jc w:val="center"/>
                    <w:rPr>
                      <w:rFonts w:hint="default"/>
                    </w:rPr>
                  </w:pPr>
                </w:p>
              </w:tc>
              <w:tc>
                <w:tcPr>
                  <w:tcW w:w="1987" w:type="dxa"/>
                  <w:vAlign w:val="center"/>
                </w:tcPr>
                <w:p w14:paraId="38403875">
                  <w:pPr>
                    <w:keepNext w:val="0"/>
                    <w:keepLines w:val="0"/>
                    <w:suppressLineNumbers w:val="0"/>
                    <w:spacing w:before="0" w:beforeAutospacing="0" w:after="0" w:afterAutospacing="0"/>
                    <w:ind w:left="0" w:right="0"/>
                    <w:jc w:val="center"/>
                    <w:rPr>
                      <w:rFonts w:hint="default"/>
                    </w:rPr>
                  </w:pPr>
                </w:p>
              </w:tc>
            </w:tr>
          </w:tbl>
          <w:p w14:paraId="2E24C068">
            <w:pPr>
              <w:keepNext w:val="0"/>
              <w:keepLines w:val="0"/>
              <w:numPr>
                <w:ilvl w:val="0"/>
                <w:numId w:val="2"/>
              </w:numPr>
              <w:suppressLineNumbers w:val="0"/>
              <w:spacing w:before="240" w:beforeAutospacing="0" w:after="0" w:afterAutospacing="0" w:line="360" w:lineRule="auto"/>
              <w:ind w:right="0"/>
              <w:jc w:val="left"/>
              <w:rPr>
                <w:rFonts w:hint="default"/>
                <w:sz w:val="24"/>
              </w:rPr>
            </w:pPr>
            <w:r>
              <w:rPr>
                <w:rFonts w:hint="default"/>
                <w:sz w:val="24"/>
              </w:rPr>
              <w:t>反应热相对误差</w:t>
            </w:r>
          </w:p>
          <w:p w14:paraId="036DF728">
            <w:pPr>
              <w:keepNext w:val="0"/>
              <w:keepLines w:val="0"/>
              <w:numPr>
                <w:ilvl w:val="255"/>
                <w:numId w:val="0"/>
              </w:numPr>
              <w:suppressLineNumbers w:val="0"/>
              <w:spacing w:before="240" w:beforeAutospacing="0" w:after="0" w:afterAutospacing="0" w:line="360" w:lineRule="auto"/>
              <w:ind w:left="0" w:right="0" w:firstLine="480" w:firstLineChars="200"/>
              <w:jc w:val="left"/>
              <w:rPr>
                <w:rFonts w:hint="default"/>
                <w:sz w:val="24"/>
              </w:rPr>
            </w:pPr>
            <w:r>
              <w:rPr>
                <w:rFonts w:hint="default"/>
                <w:sz w:val="24"/>
              </w:rPr>
              <w:t xml:space="preserve">反应温度：            介质： </w:t>
            </w:r>
          </w:p>
          <w:tbl>
            <w:tblPr>
              <w:tblStyle w:val="16"/>
              <w:tblW w:w="6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2190"/>
              <w:gridCol w:w="1832"/>
            </w:tblGrid>
            <w:tr w14:paraId="035B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0" w:type="dxa"/>
                  <w:vAlign w:val="center"/>
                </w:tcPr>
                <w:p w14:paraId="2FF42454">
                  <w:pPr>
                    <w:keepNext w:val="0"/>
                    <w:keepLines w:val="0"/>
                    <w:suppressLineNumbers w:val="0"/>
                    <w:spacing w:before="0" w:beforeAutospacing="0" w:after="0" w:afterAutospacing="0"/>
                    <w:ind w:left="0" w:right="0"/>
                    <w:jc w:val="center"/>
                    <w:rPr>
                      <w:rFonts w:hint="default"/>
                    </w:rPr>
                  </w:pPr>
                  <w:r>
                    <w:rPr>
                      <w:rFonts w:hint="default" w:eastAsiaTheme="minorEastAsia"/>
                      <w:sz w:val="24"/>
                    </w:rPr>
                    <w:t>实际输出功率/W</w:t>
                  </w:r>
                </w:p>
              </w:tc>
              <w:tc>
                <w:tcPr>
                  <w:tcW w:w="2190" w:type="dxa"/>
                  <w:vAlign w:val="center"/>
                </w:tcPr>
                <w:p w14:paraId="46F5DCEF">
                  <w:pPr>
                    <w:keepNext w:val="0"/>
                    <w:keepLines w:val="0"/>
                    <w:suppressLineNumbers w:val="0"/>
                    <w:spacing w:before="0" w:beforeAutospacing="0" w:after="0" w:afterAutospacing="0"/>
                    <w:ind w:left="0" w:right="0"/>
                    <w:jc w:val="center"/>
                    <w:rPr>
                      <w:rFonts w:hint="default"/>
                    </w:rPr>
                  </w:pPr>
                  <w:r>
                    <w:rPr>
                      <w:rFonts w:hint="default" w:eastAsiaTheme="minorEastAsia"/>
                      <w:sz w:val="24"/>
                    </w:rPr>
                    <w:t>反应热相对误差/%</w:t>
                  </w:r>
                </w:p>
              </w:tc>
              <w:tc>
                <w:tcPr>
                  <w:tcW w:w="1832" w:type="dxa"/>
                  <w:vAlign w:val="center"/>
                </w:tcPr>
                <w:p w14:paraId="3C19631C">
                  <w:pPr>
                    <w:keepNext w:val="0"/>
                    <w:keepLines w:val="0"/>
                    <w:suppressLineNumbers w:val="0"/>
                    <w:spacing w:before="0" w:beforeAutospacing="0" w:after="0" w:afterAutospacing="0"/>
                    <w:ind w:left="0" w:right="0"/>
                    <w:jc w:val="center"/>
                    <w:rPr>
                      <w:rFonts w:hint="default"/>
                    </w:rPr>
                  </w:pPr>
                  <w:r>
                    <w:rPr>
                      <w:rFonts w:hint="default"/>
                    </w:rPr>
                    <w:t>不确定度</w:t>
                  </w:r>
                  <w:r>
                    <w:rPr>
                      <w:rFonts w:hint="default"/>
                      <w:i/>
                      <w:iCs/>
                    </w:rPr>
                    <w:t>U</w:t>
                  </w:r>
                  <w:r>
                    <w:rPr>
                      <w:rFonts w:hint="default"/>
                      <w:vertAlign w:val="subscript"/>
                    </w:rPr>
                    <w:t>rel</w:t>
                  </w:r>
                </w:p>
              </w:tc>
            </w:tr>
            <w:tr w14:paraId="1929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0" w:type="dxa"/>
                  <w:vAlign w:val="center"/>
                </w:tcPr>
                <w:p w14:paraId="54EB5EA2">
                  <w:pPr>
                    <w:keepNext w:val="0"/>
                    <w:keepLines w:val="0"/>
                    <w:suppressLineNumbers w:val="0"/>
                    <w:spacing w:before="0" w:beforeAutospacing="0" w:after="0" w:afterAutospacing="0"/>
                    <w:ind w:left="0" w:right="0"/>
                    <w:jc w:val="center"/>
                    <w:rPr>
                      <w:rFonts w:hint="default"/>
                    </w:rPr>
                  </w:pPr>
                </w:p>
              </w:tc>
              <w:tc>
                <w:tcPr>
                  <w:tcW w:w="2190" w:type="dxa"/>
                  <w:vAlign w:val="center"/>
                </w:tcPr>
                <w:p w14:paraId="0ADA39E6">
                  <w:pPr>
                    <w:keepNext w:val="0"/>
                    <w:keepLines w:val="0"/>
                    <w:suppressLineNumbers w:val="0"/>
                    <w:spacing w:before="0" w:beforeAutospacing="0" w:after="0" w:afterAutospacing="0"/>
                    <w:ind w:left="0" w:right="0"/>
                    <w:jc w:val="center"/>
                    <w:rPr>
                      <w:rFonts w:hint="default"/>
                    </w:rPr>
                  </w:pPr>
                </w:p>
              </w:tc>
              <w:tc>
                <w:tcPr>
                  <w:tcW w:w="1832" w:type="dxa"/>
                  <w:vAlign w:val="center"/>
                </w:tcPr>
                <w:p w14:paraId="59EF9A69">
                  <w:pPr>
                    <w:keepNext w:val="0"/>
                    <w:keepLines w:val="0"/>
                    <w:suppressLineNumbers w:val="0"/>
                    <w:spacing w:before="0" w:beforeAutospacing="0" w:after="0" w:afterAutospacing="0"/>
                    <w:ind w:left="0" w:right="0"/>
                    <w:jc w:val="center"/>
                    <w:rPr>
                      <w:rFonts w:hint="default"/>
                    </w:rPr>
                  </w:pPr>
                </w:p>
              </w:tc>
            </w:tr>
            <w:tr w14:paraId="474B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0" w:type="dxa"/>
                  <w:vAlign w:val="center"/>
                </w:tcPr>
                <w:p w14:paraId="67B3B4D2">
                  <w:pPr>
                    <w:keepNext w:val="0"/>
                    <w:keepLines w:val="0"/>
                    <w:suppressLineNumbers w:val="0"/>
                    <w:spacing w:before="0" w:beforeAutospacing="0" w:after="0" w:afterAutospacing="0"/>
                    <w:ind w:left="0" w:right="0"/>
                    <w:jc w:val="center"/>
                    <w:rPr>
                      <w:rFonts w:hint="default"/>
                    </w:rPr>
                  </w:pPr>
                </w:p>
              </w:tc>
              <w:tc>
                <w:tcPr>
                  <w:tcW w:w="2190" w:type="dxa"/>
                  <w:vAlign w:val="center"/>
                </w:tcPr>
                <w:p w14:paraId="6DF6F2B7">
                  <w:pPr>
                    <w:keepNext w:val="0"/>
                    <w:keepLines w:val="0"/>
                    <w:suppressLineNumbers w:val="0"/>
                    <w:spacing w:before="0" w:beforeAutospacing="0" w:after="0" w:afterAutospacing="0"/>
                    <w:ind w:left="0" w:right="0"/>
                    <w:jc w:val="center"/>
                    <w:rPr>
                      <w:rFonts w:hint="default"/>
                    </w:rPr>
                  </w:pPr>
                </w:p>
              </w:tc>
              <w:tc>
                <w:tcPr>
                  <w:tcW w:w="1832" w:type="dxa"/>
                  <w:vAlign w:val="center"/>
                </w:tcPr>
                <w:p w14:paraId="435C186E">
                  <w:pPr>
                    <w:keepNext w:val="0"/>
                    <w:keepLines w:val="0"/>
                    <w:suppressLineNumbers w:val="0"/>
                    <w:spacing w:before="0" w:beforeAutospacing="0" w:after="0" w:afterAutospacing="0"/>
                    <w:ind w:left="0" w:right="0"/>
                    <w:jc w:val="center"/>
                    <w:rPr>
                      <w:rFonts w:hint="default"/>
                    </w:rPr>
                  </w:pPr>
                </w:p>
              </w:tc>
            </w:tr>
            <w:tr w14:paraId="5493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30" w:type="dxa"/>
                  <w:vAlign w:val="center"/>
                </w:tcPr>
                <w:p w14:paraId="447F119F">
                  <w:pPr>
                    <w:keepNext w:val="0"/>
                    <w:keepLines w:val="0"/>
                    <w:suppressLineNumbers w:val="0"/>
                    <w:spacing w:before="0" w:beforeAutospacing="0" w:after="0" w:afterAutospacing="0"/>
                    <w:ind w:left="0" w:right="0"/>
                    <w:jc w:val="center"/>
                    <w:rPr>
                      <w:rFonts w:hint="default"/>
                    </w:rPr>
                  </w:pPr>
                </w:p>
              </w:tc>
              <w:tc>
                <w:tcPr>
                  <w:tcW w:w="2190" w:type="dxa"/>
                  <w:vAlign w:val="center"/>
                </w:tcPr>
                <w:p w14:paraId="659160B4">
                  <w:pPr>
                    <w:keepNext w:val="0"/>
                    <w:keepLines w:val="0"/>
                    <w:suppressLineNumbers w:val="0"/>
                    <w:spacing w:before="0" w:beforeAutospacing="0" w:after="0" w:afterAutospacing="0"/>
                    <w:ind w:left="0" w:right="0"/>
                    <w:jc w:val="center"/>
                    <w:rPr>
                      <w:rFonts w:hint="default"/>
                    </w:rPr>
                  </w:pPr>
                </w:p>
              </w:tc>
              <w:tc>
                <w:tcPr>
                  <w:tcW w:w="1832" w:type="dxa"/>
                  <w:vAlign w:val="center"/>
                </w:tcPr>
                <w:p w14:paraId="741422C9">
                  <w:pPr>
                    <w:keepNext w:val="0"/>
                    <w:keepLines w:val="0"/>
                    <w:suppressLineNumbers w:val="0"/>
                    <w:spacing w:before="0" w:beforeAutospacing="0" w:after="0" w:afterAutospacing="0"/>
                    <w:ind w:left="0" w:right="0"/>
                    <w:jc w:val="center"/>
                    <w:rPr>
                      <w:rFonts w:hint="default"/>
                    </w:rPr>
                  </w:pPr>
                </w:p>
              </w:tc>
            </w:tr>
          </w:tbl>
          <w:p w14:paraId="7EAB97E7">
            <w:pPr>
              <w:keepNext w:val="0"/>
              <w:keepLines w:val="0"/>
              <w:suppressLineNumbers w:val="0"/>
              <w:spacing w:before="0" w:beforeAutospacing="0" w:after="0" w:afterAutospacing="0" w:line="360" w:lineRule="auto"/>
              <w:ind w:left="0" w:right="0"/>
              <w:rPr>
                <w:rFonts w:hint="default"/>
                <w:szCs w:val="21"/>
              </w:rPr>
            </w:pPr>
          </w:p>
        </w:tc>
      </w:tr>
    </w:tbl>
    <w:p w14:paraId="229A9F92">
      <w:pPr>
        <w:spacing w:before="156" w:beforeLines="50" w:line="240" w:lineRule="exact"/>
        <w:ind w:firstLine="420" w:firstLineChars="150"/>
        <w:rPr>
          <w:rFonts w:eastAsia="黑体"/>
          <w:iCs/>
          <w:sz w:val="28"/>
          <w:szCs w:val="28"/>
        </w:rPr>
      </w:pPr>
      <w:r>
        <w:rPr>
          <w:rFonts w:eastAsia="黑体"/>
          <w:iCs/>
          <w:sz w:val="28"/>
          <w:szCs w:val="28"/>
        </w:rPr>
        <w:t>校 准 员：                             核 验 员：</w:t>
      </w:r>
    </w:p>
    <w:p w14:paraId="4472F64C">
      <w:pPr>
        <w:snapToGrid w:val="0"/>
        <w:spacing w:before="156" w:beforeLines="50" w:line="360" w:lineRule="auto"/>
        <w:jc w:val="center"/>
        <w:rPr>
          <w:sz w:val="24"/>
        </w:rPr>
      </w:pPr>
      <w:r>
        <w:rPr>
          <w:sz w:val="24"/>
        </w:rPr>
        <w:t>第    页，共    页</w:t>
      </w:r>
    </w:p>
    <w:p w14:paraId="65AAE256"/>
    <w:sectPr>
      <w:footerReference r:id="rId8" w:type="first"/>
      <w:footerReference r:id="rId6" w:type="default"/>
      <w:footerReference r:id="rId7" w:type="even"/>
      <w:pgSz w:w="11906" w:h="16838"/>
      <w:pgMar w:top="1304" w:right="1418" w:bottom="1134" w:left="1588"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F7A781B-CE1A-4FE8-BE5C-B3C80AEFF05B}"/>
  </w:font>
  <w:font w:name="黑体">
    <w:panose1 w:val="02010609060101010101"/>
    <w:charset w:val="86"/>
    <w:family w:val="auto"/>
    <w:pitch w:val="default"/>
    <w:sig w:usb0="800002BF" w:usb1="38CF7CFA" w:usb2="00000016" w:usb3="00000000" w:csb0="00040001" w:csb1="00000000"/>
    <w:embedRegular r:id="rId2" w:fontKey="{0F5EB884-F97B-4B84-A052-07DC9F1698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9AE4936-D309-434A-A876-466A512CD2F8}"/>
  </w:font>
  <w:font w:name="仿宋">
    <w:panose1 w:val="02010609060101010101"/>
    <w:charset w:val="86"/>
    <w:family w:val="modern"/>
    <w:pitch w:val="default"/>
    <w:sig w:usb0="800002BF" w:usb1="38CF7CFA" w:usb2="00000016" w:usb3="00000000" w:csb0="00040001" w:csb1="00000000"/>
    <w:embedRegular r:id="rId4" w:fontKey="{F3DAE74F-B4E8-4528-9D0C-9417AFAA3B09}"/>
  </w:font>
  <w:font w:name="仿宋_GB2312">
    <w:altName w:val="仿宋"/>
    <w:panose1 w:val="02010609030101010101"/>
    <w:charset w:val="86"/>
    <w:family w:val="modern"/>
    <w:pitch w:val="default"/>
    <w:sig w:usb0="00000000" w:usb1="00000000" w:usb2="00000000" w:usb3="00000000" w:csb0="00040000" w:csb1="00000000"/>
    <w:embedRegular r:id="rId5" w:fontKey="{75D5336E-39E6-4D45-A3FE-F7E90A3A899C}"/>
  </w:font>
  <w:font w:name="方正姚体">
    <w:altName w:val="宋体"/>
    <w:panose1 w:val="02010601030101010101"/>
    <w:charset w:val="86"/>
    <w:family w:val="auto"/>
    <w:pitch w:val="default"/>
    <w:sig w:usb0="00000000" w:usb1="00000000" w:usb2="00000000" w:usb3="00000000" w:csb0="00040000" w:csb1="00000000"/>
    <w:embedRegular r:id="rId6" w:fontKey="{73998AC7-3138-4098-AF84-0DB4E1089D05}"/>
  </w:font>
  <w:font w:name="Cambria Math">
    <w:panose1 w:val="02040503050406030204"/>
    <w:charset w:val="00"/>
    <w:family w:val="roman"/>
    <w:pitch w:val="default"/>
    <w:sig w:usb0="E00006FF" w:usb1="420024FF" w:usb2="02000000" w:usb3="00000000" w:csb0="2000019F" w:csb1="00000000"/>
    <w:embedRegular r:id="rId7" w:fontKey="{844DBF3C-8445-4DEA-BBCF-48907007A4C4}"/>
  </w:font>
  <w:font w:name="DejaVu Math TeX Gyre">
    <w:panose1 w:val="02000503000000000000"/>
    <w:charset w:val="00"/>
    <w:family w:val="auto"/>
    <w:pitch w:val="default"/>
    <w:sig w:usb0="A10000EF" w:usb1="4201F9EE" w:usb2="02000000" w:usb3="00000000" w:csb0="60000193" w:csb1="0DD40000"/>
    <w:embedRegular r:id="rId8" w:fontKey="{2351BC4E-63AF-409E-9D1D-B8F44AD495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047090"/>
    </w:sdtPr>
    <w:sdtContent>
      <w:p w14:paraId="1A4B6B7C">
        <w:pPr>
          <w:pStyle w:val="10"/>
          <w:jc w:val="right"/>
        </w:pPr>
        <w:r>
          <w:fldChar w:fldCharType="begin"/>
        </w:r>
        <w:r>
          <w:instrText xml:space="preserve"> PAGE   \* MERGEFORMAT </w:instrText>
        </w:r>
        <w:r>
          <w:fldChar w:fldCharType="separate"/>
        </w:r>
        <w:r>
          <w:rPr>
            <w:lang w:val="zh-CN"/>
          </w:rPr>
          <w:t>II</w:t>
        </w:r>
        <w:r>
          <w:rPr>
            <w:lang w:val="zh-CN"/>
          </w:rPr>
          <w:fldChar w:fldCharType="end"/>
        </w:r>
      </w:p>
    </w:sdtContent>
  </w:sdt>
  <w:p w14:paraId="72C786DE">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7E32B">
    <w:pPr>
      <w:pStyle w:val="10"/>
      <w:jc w:val="right"/>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33985" cy="153035"/>
              <wp:effectExtent l="0" t="0" r="0" b="0"/>
              <wp:wrapNone/>
              <wp:docPr id="14" name="文本框 3"/>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w="38100">
                        <a:noFill/>
                      </a:ln>
                      <a:effectLst/>
                    </wps:spPr>
                    <wps:txbx>
                      <w:txbxContent>
                        <w:p w14:paraId="67D3575B">
                          <w:pPr>
                            <w:pStyle w:val="10"/>
                            <w:jc w:val="right"/>
                          </w:pPr>
                          <w:r>
                            <w:rPr>
                              <w:sz w:val="21"/>
                              <w:szCs w:val="21"/>
                            </w:rPr>
                            <w:fldChar w:fldCharType="begin"/>
                          </w:r>
                          <w:r>
                            <w:rPr>
                              <w:rStyle w:val="19"/>
                              <w:sz w:val="21"/>
                              <w:szCs w:val="21"/>
                            </w:rPr>
                            <w:instrText xml:space="preserve"> PAGE </w:instrText>
                          </w:r>
                          <w:r>
                            <w:rPr>
                              <w:sz w:val="21"/>
                              <w:szCs w:val="21"/>
                            </w:rPr>
                            <w:fldChar w:fldCharType="separate"/>
                          </w:r>
                          <w:r>
                            <w:rPr>
                              <w:rStyle w:val="19"/>
                              <w:sz w:val="21"/>
                              <w:szCs w:val="21"/>
                            </w:rPr>
                            <w:t>8</w:t>
                          </w:r>
                          <w:r>
                            <w:rPr>
                              <w:sz w:val="21"/>
                              <w:szCs w:val="21"/>
                            </w:rP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2.05pt;width:10.55pt;mso-position-horizontal:outside;mso-position-horizontal-relative:margin;mso-wrap-style:none;z-index:251661312;mso-width-relative:page;mso-height-relative:page;" filled="f" stroked="f" coordsize="21600,21600" o:gfxdata="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vsiStIAAAADAQAADwAAAAAAAAAB&#10;ACAAAAAiAAAAZHJzL2Rvd25yZXYueG1sUEsBAhQAFAAAAAgAh07iQDhCizjdAQAAsAMAAA4AAAAA&#10;AAAAAQAgAAAAIQEAAGRycy9lMm9Eb2MueG1sUEsFBgAAAAAGAAYAWQEAAHAFAAAAAA==&#10;">
              <v:fill on="f" focussize="0,0"/>
              <v:stroke on="f" weight="3pt"/>
              <v:imagedata o:title=""/>
              <o:lock v:ext="edit" aspectratio="f"/>
              <v:textbox inset="0mm,0mm,0mm,0mm" style="mso-fit-shape-to-text:t;">
                <w:txbxContent>
                  <w:p w14:paraId="67D3575B">
                    <w:pPr>
                      <w:pStyle w:val="10"/>
                      <w:jc w:val="right"/>
                    </w:pPr>
                    <w:r>
                      <w:rPr>
                        <w:sz w:val="21"/>
                        <w:szCs w:val="21"/>
                      </w:rPr>
                      <w:fldChar w:fldCharType="begin"/>
                    </w:r>
                    <w:r>
                      <w:rPr>
                        <w:rStyle w:val="19"/>
                        <w:sz w:val="21"/>
                        <w:szCs w:val="21"/>
                      </w:rPr>
                      <w:instrText xml:space="preserve"> PAGE </w:instrText>
                    </w:r>
                    <w:r>
                      <w:rPr>
                        <w:sz w:val="21"/>
                        <w:szCs w:val="21"/>
                      </w:rPr>
                      <w:fldChar w:fldCharType="separate"/>
                    </w:r>
                    <w:r>
                      <w:rPr>
                        <w:rStyle w:val="19"/>
                        <w:sz w:val="21"/>
                        <w:szCs w:val="21"/>
                      </w:rPr>
                      <w:t>8</w:t>
                    </w:r>
                    <w:r>
                      <w:rPr>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3CE2F">
    <w:pPr>
      <w:pStyle w:val="10"/>
      <w:ind w:right="360"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90A5A7">
                          <w:pPr>
                            <w:pStyle w:val="10"/>
                            <w:rPr>
                              <w:rStyle w:val="19"/>
                            </w:rPr>
                          </w:pPr>
                          <w:r>
                            <w:fldChar w:fldCharType="begin"/>
                          </w:r>
                          <w:r>
                            <w:rPr>
                              <w:rStyle w:val="19"/>
                            </w:rPr>
                            <w:instrText xml:space="preserve">PAGE  </w:instrText>
                          </w:r>
                          <w:r>
                            <w:fldChar w:fldCharType="separate"/>
                          </w:r>
                          <w:r>
                            <w:rPr>
                              <w:rStyle w:val="19"/>
                            </w:rPr>
                            <w:t>8</w:t>
                          </w:r>
                          <w:r>
                            <w:fldChar w:fldCharType="end"/>
                          </w:r>
                        </w:p>
                        <w:p w14:paraId="6CBFE9D0"/>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2/RdcgBAACZ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9A0ljlsc+OX7t8uPX5efX8ky&#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Nv0XXIAQAAmQMAAA4AAAAAAAAAAQAgAAAAHgEAAGRycy9lMm9Eb2Mu&#10;eG1sUEsFBgAAAAAGAAYAWQEAAFgFAAAAAA==&#10;">
              <v:fill on="f" focussize="0,0"/>
              <v:stroke on="f"/>
              <v:imagedata o:title=""/>
              <o:lock v:ext="edit" aspectratio="f"/>
              <v:textbox inset="0mm,0mm,0mm,0mm" style="mso-fit-shape-to-text:t;">
                <w:txbxContent>
                  <w:p w14:paraId="4E90A5A7">
                    <w:pPr>
                      <w:pStyle w:val="10"/>
                      <w:rPr>
                        <w:rStyle w:val="19"/>
                      </w:rPr>
                    </w:pPr>
                    <w:r>
                      <w:fldChar w:fldCharType="begin"/>
                    </w:r>
                    <w:r>
                      <w:rPr>
                        <w:rStyle w:val="19"/>
                      </w:rPr>
                      <w:instrText xml:space="preserve">PAGE  </w:instrText>
                    </w:r>
                    <w:r>
                      <w:fldChar w:fldCharType="separate"/>
                    </w:r>
                    <w:r>
                      <w:rPr>
                        <w:rStyle w:val="19"/>
                      </w:rPr>
                      <w:t>8</w:t>
                    </w:r>
                    <w:r>
                      <w:fldChar w:fldCharType="end"/>
                    </w:r>
                  </w:p>
                  <w:p w14:paraId="6CBFE9D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6DFA6">
    <w:pPr>
      <w:pStyle w:val="10"/>
      <w:framePr w:wrap="around" w:vAnchor="text" w:hAnchor="margin" w:xAlign="center" w:y="1"/>
      <w:rPr>
        <w:rStyle w:val="19"/>
      </w:rPr>
    </w:pPr>
    <w:r>
      <w:fldChar w:fldCharType="begin"/>
    </w:r>
    <w:r>
      <w:rPr>
        <w:rStyle w:val="19"/>
      </w:rPr>
      <w:instrText xml:space="preserve">PAGE  </w:instrText>
    </w:r>
    <w:r>
      <w:fldChar w:fldCharType="end"/>
    </w:r>
  </w:p>
  <w:p w14:paraId="0F74328A">
    <w:pPr>
      <w:pStyle w:val="10"/>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814E8">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8B1C0D">
                          <w:pPr>
                            <w:pStyle w:val="1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quC8gBAACaAwAADgAAAGRycy9lMm9Eb2MueG1srVPNjtMwEL4j8Q6W&#10;79RpD6iKmq4WVYuQECAtPIDr2I0l/8njNukLwBtw4sKd5+pzMHaS7rJc9rCXZDwz+eb7vnE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m4CWOG5x45efPy6//lx+fyer&#10;7E8foMa2+4CNaXjnB+yd84DJLHtQ0eY3CiJYR6jz1V05JCLyR+vVel1hSWBtPiA+e/g8REjvpbck&#10;Bw2NuL7iKj99hDS2zi15mvN32piyQuP+SSBmzrDMfeSYozTsh0nQ3rdn1NPj5hvq8KJTYj44NBb5&#10;pTmIc7Cfg2OI+tAhtWXhBeH2mJBE4ZYnjLDTYFxZUTddr3wnHp9L18Mv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JhargvIAQAAmgMAAA4AAAAAAAAAAQAgAAAAHgEAAGRycy9lMm9Eb2Mu&#10;eG1sUEsFBgAAAAAGAAYAWQEAAFgFAAAAAA==&#10;">
              <v:fill on="f" focussize="0,0"/>
              <v:stroke on="f"/>
              <v:imagedata o:title=""/>
              <o:lock v:ext="edit" aspectratio="f"/>
              <v:textbox inset="0mm,0mm,0mm,0mm" style="mso-fit-shape-to-text:t;">
                <w:txbxContent>
                  <w:p w14:paraId="648B1C0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D389E">
    <w:pPr>
      <w:pStyle w:val="11"/>
      <w:pBdr>
        <w:bottom w:val="single" w:color="auto" w:sz="4" w:space="1"/>
      </w:pBdr>
    </w:pPr>
    <w:r>
      <w:rPr>
        <w:rFonts w:hint="eastAsia" w:ascii="黑体" w:eastAsia="黑体"/>
        <w:sz w:val="21"/>
        <w:szCs w:val="21"/>
      </w:rPr>
      <w:t>JJF XXXX - 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CF5AD8"/>
    <w:multiLevelType w:val="singleLevel"/>
    <w:tmpl w:val="FECF5AD8"/>
    <w:lvl w:ilvl="0" w:tentative="0">
      <w:start w:val="1"/>
      <w:numFmt w:val="decimal"/>
      <w:lvlText w:val="%1."/>
      <w:lvlJc w:val="left"/>
      <w:pPr>
        <w:tabs>
          <w:tab w:val="left" w:pos="312"/>
        </w:tabs>
      </w:pPr>
    </w:lvl>
  </w:abstractNum>
  <w:abstractNum w:abstractNumId="1">
    <w:nsid w:val="0E3C461B"/>
    <w:multiLevelType w:val="multilevel"/>
    <w:tmpl w:val="0E3C461B"/>
    <w:lvl w:ilvl="0" w:tentative="0">
      <w:start w:val="1"/>
      <w:numFmt w:val="decimal"/>
      <w:lvlText w:val="%1"/>
      <w:lvlJc w:val="left"/>
      <w:pPr>
        <w:ind w:left="360" w:hanging="360"/>
      </w:pPr>
      <w:rPr>
        <w:rFonts w:hint="default" w:ascii="黑体" w:hAnsi="黑体" w:eastAsia="黑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89"/>
    <w:rsid w:val="000060F7"/>
    <w:rsid w:val="0000693A"/>
    <w:rsid w:val="00013841"/>
    <w:rsid w:val="00030BEF"/>
    <w:rsid w:val="000418DE"/>
    <w:rsid w:val="00041905"/>
    <w:rsid w:val="00061A5F"/>
    <w:rsid w:val="00064569"/>
    <w:rsid w:val="0008107B"/>
    <w:rsid w:val="000928D8"/>
    <w:rsid w:val="000B232C"/>
    <w:rsid w:val="000B44C0"/>
    <w:rsid w:val="000B79B1"/>
    <w:rsid w:val="000C661A"/>
    <w:rsid w:val="000D24A1"/>
    <w:rsid w:val="00111301"/>
    <w:rsid w:val="00140EC0"/>
    <w:rsid w:val="00146E14"/>
    <w:rsid w:val="001520E8"/>
    <w:rsid w:val="00163AFF"/>
    <w:rsid w:val="001677ED"/>
    <w:rsid w:val="001945BC"/>
    <w:rsid w:val="001B0017"/>
    <w:rsid w:val="001B534B"/>
    <w:rsid w:val="001D2CDE"/>
    <w:rsid w:val="001D32C2"/>
    <w:rsid w:val="001E036D"/>
    <w:rsid w:val="002211D7"/>
    <w:rsid w:val="0022123A"/>
    <w:rsid w:val="0022621E"/>
    <w:rsid w:val="002318CD"/>
    <w:rsid w:val="002376D5"/>
    <w:rsid w:val="0024002C"/>
    <w:rsid w:val="002431C1"/>
    <w:rsid w:val="002504F1"/>
    <w:rsid w:val="002510E3"/>
    <w:rsid w:val="00254133"/>
    <w:rsid w:val="00262929"/>
    <w:rsid w:val="002724CA"/>
    <w:rsid w:val="00283336"/>
    <w:rsid w:val="00285F05"/>
    <w:rsid w:val="00290018"/>
    <w:rsid w:val="002A7A55"/>
    <w:rsid w:val="002B1547"/>
    <w:rsid w:val="002C153C"/>
    <w:rsid w:val="002C19AC"/>
    <w:rsid w:val="002D1579"/>
    <w:rsid w:val="002D324F"/>
    <w:rsid w:val="002E6894"/>
    <w:rsid w:val="002F2CDE"/>
    <w:rsid w:val="002F4AC2"/>
    <w:rsid w:val="002F7237"/>
    <w:rsid w:val="00301D0D"/>
    <w:rsid w:val="003028E8"/>
    <w:rsid w:val="00322924"/>
    <w:rsid w:val="003259BD"/>
    <w:rsid w:val="00340769"/>
    <w:rsid w:val="003417DF"/>
    <w:rsid w:val="00342807"/>
    <w:rsid w:val="003428E1"/>
    <w:rsid w:val="00345D74"/>
    <w:rsid w:val="003617EB"/>
    <w:rsid w:val="00364F58"/>
    <w:rsid w:val="00367D4B"/>
    <w:rsid w:val="00373069"/>
    <w:rsid w:val="003774AC"/>
    <w:rsid w:val="00394CD4"/>
    <w:rsid w:val="00395CC3"/>
    <w:rsid w:val="003A17A1"/>
    <w:rsid w:val="003A42AA"/>
    <w:rsid w:val="003A7F81"/>
    <w:rsid w:val="003B5FB3"/>
    <w:rsid w:val="003B67FE"/>
    <w:rsid w:val="003C6C3C"/>
    <w:rsid w:val="003C7EEC"/>
    <w:rsid w:val="003D4689"/>
    <w:rsid w:val="003D5D28"/>
    <w:rsid w:val="003E0194"/>
    <w:rsid w:val="003F0E60"/>
    <w:rsid w:val="00402045"/>
    <w:rsid w:val="00406239"/>
    <w:rsid w:val="00415D89"/>
    <w:rsid w:val="004253E9"/>
    <w:rsid w:val="00425515"/>
    <w:rsid w:val="00443A40"/>
    <w:rsid w:val="004453C4"/>
    <w:rsid w:val="00456D01"/>
    <w:rsid w:val="00461582"/>
    <w:rsid w:val="00472515"/>
    <w:rsid w:val="0047746A"/>
    <w:rsid w:val="00480122"/>
    <w:rsid w:val="00482B37"/>
    <w:rsid w:val="00485F2D"/>
    <w:rsid w:val="004872BF"/>
    <w:rsid w:val="00490616"/>
    <w:rsid w:val="004919F7"/>
    <w:rsid w:val="00492D02"/>
    <w:rsid w:val="00497068"/>
    <w:rsid w:val="004A3676"/>
    <w:rsid w:val="004B590A"/>
    <w:rsid w:val="004C4946"/>
    <w:rsid w:val="004D079B"/>
    <w:rsid w:val="004D0FBA"/>
    <w:rsid w:val="004D341F"/>
    <w:rsid w:val="004D3AE9"/>
    <w:rsid w:val="004E1C54"/>
    <w:rsid w:val="004E2273"/>
    <w:rsid w:val="004E71E6"/>
    <w:rsid w:val="00500CF4"/>
    <w:rsid w:val="0050448A"/>
    <w:rsid w:val="00514A12"/>
    <w:rsid w:val="00531F72"/>
    <w:rsid w:val="00543A26"/>
    <w:rsid w:val="0055743B"/>
    <w:rsid w:val="005577DF"/>
    <w:rsid w:val="0056178C"/>
    <w:rsid w:val="005622C2"/>
    <w:rsid w:val="00571EC7"/>
    <w:rsid w:val="00583D25"/>
    <w:rsid w:val="00583F62"/>
    <w:rsid w:val="00585A69"/>
    <w:rsid w:val="005914AE"/>
    <w:rsid w:val="005A1F7C"/>
    <w:rsid w:val="005A5710"/>
    <w:rsid w:val="005C22BC"/>
    <w:rsid w:val="005C38B3"/>
    <w:rsid w:val="005C54AD"/>
    <w:rsid w:val="005E42D8"/>
    <w:rsid w:val="005E7491"/>
    <w:rsid w:val="00603AA4"/>
    <w:rsid w:val="006265AD"/>
    <w:rsid w:val="0062724B"/>
    <w:rsid w:val="00641D6B"/>
    <w:rsid w:val="00643BBB"/>
    <w:rsid w:val="00650D6B"/>
    <w:rsid w:val="00657D37"/>
    <w:rsid w:val="0067312E"/>
    <w:rsid w:val="006819CF"/>
    <w:rsid w:val="00684638"/>
    <w:rsid w:val="006914C3"/>
    <w:rsid w:val="006B0686"/>
    <w:rsid w:val="006B5469"/>
    <w:rsid w:val="006B6005"/>
    <w:rsid w:val="006D1A99"/>
    <w:rsid w:val="006E015C"/>
    <w:rsid w:val="006E7477"/>
    <w:rsid w:val="006F679F"/>
    <w:rsid w:val="007048BC"/>
    <w:rsid w:val="00710D70"/>
    <w:rsid w:val="00713D8F"/>
    <w:rsid w:val="00717392"/>
    <w:rsid w:val="00717E21"/>
    <w:rsid w:val="00736FD2"/>
    <w:rsid w:val="007434CF"/>
    <w:rsid w:val="00770D0D"/>
    <w:rsid w:val="007730CA"/>
    <w:rsid w:val="007744A3"/>
    <w:rsid w:val="007771EE"/>
    <w:rsid w:val="00781F57"/>
    <w:rsid w:val="00787EDC"/>
    <w:rsid w:val="00793079"/>
    <w:rsid w:val="007A170B"/>
    <w:rsid w:val="007B2FA2"/>
    <w:rsid w:val="007C4339"/>
    <w:rsid w:val="007E00D3"/>
    <w:rsid w:val="007E15FC"/>
    <w:rsid w:val="007E1BE6"/>
    <w:rsid w:val="007E3581"/>
    <w:rsid w:val="007E6194"/>
    <w:rsid w:val="007F2060"/>
    <w:rsid w:val="007F5A44"/>
    <w:rsid w:val="00802A7C"/>
    <w:rsid w:val="0081165C"/>
    <w:rsid w:val="008240FB"/>
    <w:rsid w:val="008243C6"/>
    <w:rsid w:val="00847C1B"/>
    <w:rsid w:val="00853486"/>
    <w:rsid w:val="008552BD"/>
    <w:rsid w:val="008555F2"/>
    <w:rsid w:val="00856564"/>
    <w:rsid w:val="00866ACE"/>
    <w:rsid w:val="008744E1"/>
    <w:rsid w:val="00882BEF"/>
    <w:rsid w:val="00883E75"/>
    <w:rsid w:val="00891A89"/>
    <w:rsid w:val="00893250"/>
    <w:rsid w:val="00897E68"/>
    <w:rsid w:val="008A4B0F"/>
    <w:rsid w:val="008B7F32"/>
    <w:rsid w:val="008C2157"/>
    <w:rsid w:val="008D5D55"/>
    <w:rsid w:val="008D6EB9"/>
    <w:rsid w:val="008F1CC2"/>
    <w:rsid w:val="008F5573"/>
    <w:rsid w:val="008F5B04"/>
    <w:rsid w:val="008F6A41"/>
    <w:rsid w:val="008F7FD8"/>
    <w:rsid w:val="00910AA9"/>
    <w:rsid w:val="00915441"/>
    <w:rsid w:val="00952D66"/>
    <w:rsid w:val="00953EA5"/>
    <w:rsid w:val="00960D2B"/>
    <w:rsid w:val="0096658E"/>
    <w:rsid w:val="00966C61"/>
    <w:rsid w:val="00974108"/>
    <w:rsid w:val="00975675"/>
    <w:rsid w:val="00976EC5"/>
    <w:rsid w:val="00986311"/>
    <w:rsid w:val="00986B84"/>
    <w:rsid w:val="00991BBE"/>
    <w:rsid w:val="00991BF9"/>
    <w:rsid w:val="00991EEA"/>
    <w:rsid w:val="00992D18"/>
    <w:rsid w:val="00995F48"/>
    <w:rsid w:val="009A0D79"/>
    <w:rsid w:val="009C3C72"/>
    <w:rsid w:val="009F689A"/>
    <w:rsid w:val="00A0557C"/>
    <w:rsid w:val="00A15319"/>
    <w:rsid w:val="00A328A3"/>
    <w:rsid w:val="00A45294"/>
    <w:rsid w:val="00A56FBB"/>
    <w:rsid w:val="00A7117D"/>
    <w:rsid w:val="00A76152"/>
    <w:rsid w:val="00A80811"/>
    <w:rsid w:val="00A80FF1"/>
    <w:rsid w:val="00AA320D"/>
    <w:rsid w:val="00AB10BE"/>
    <w:rsid w:val="00AC1C4F"/>
    <w:rsid w:val="00AC59DF"/>
    <w:rsid w:val="00AD1C31"/>
    <w:rsid w:val="00AD379F"/>
    <w:rsid w:val="00AE5589"/>
    <w:rsid w:val="00AF0FB4"/>
    <w:rsid w:val="00B002C2"/>
    <w:rsid w:val="00B10043"/>
    <w:rsid w:val="00B1454A"/>
    <w:rsid w:val="00B16430"/>
    <w:rsid w:val="00B22A5C"/>
    <w:rsid w:val="00B2798A"/>
    <w:rsid w:val="00B40931"/>
    <w:rsid w:val="00B476E7"/>
    <w:rsid w:val="00B5080B"/>
    <w:rsid w:val="00B5208B"/>
    <w:rsid w:val="00B62327"/>
    <w:rsid w:val="00B65B94"/>
    <w:rsid w:val="00B81FFF"/>
    <w:rsid w:val="00B94257"/>
    <w:rsid w:val="00BA00C2"/>
    <w:rsid w:val="00BA5B61"/>
    <w:rsid w:val="00BB385C"/>
    <w:rsid w:val="00BB44F9"/>
    <w:rsid w:val="00BB552A"/>
    <w:rsid w:val="00BD7DEA"/>
    <w:rsid w:val="00BE0D65"/>
    <w:rsid w:val="00BF03CB"/>
    <w:rsid w:val="00BF1E21"/>
    <w:rsid w:val="00BF335D"/>
    <w:rsid w:val="00BF74C6"/>
    <w:rsid w:val="00C15B49"/>
    <w:rsid w:val="00C17E02"/>
    <w:rsid w:val="00C21FAE"/>
    <w:rsid w:val="00C36672"/>
    <w:rsid w:val="00C45B01"/>
    <w:rsid w:val="00C54B47"/>
    <w:rsid w:val="00C6171A"/>
    <w:rsid w:val="00C61B87"/>
    <w:rsid w:val="00C6306E"/>
    <w:rsid w:val="00C64FD5"/>
    <w:rsid w:val="00C65A8E"/>
    <w:rsid w:val="00C7052D"/>
    <w:rsid w:val="00C71CB5"/>
    <w:rsid w:val="00C72734"/>
    <w:rsid w:val="00C837D4"/>
    <w:rsid w:val="00C85FC7"/>
    <w:rsid w:val="00C864B6"/>
    <w:rsid w:val="00C9188E"/>
    <w:rsid w:val="00C93091"/>
    <w:rsid w:val="00C933B5"/>
    <w:rsid w:val="00C947AA"/>
    <w:rsid w:val="00C94837"/>
    <w:rsid w:val="00C972E6"/>
    <w:rsid w:val="00CC27B8"/>
    <w:rsid w:val="00CD285C"/>
    <w:rsid w:val="00CD475F"/>
    <w:rsid w:val="00CE5783"/>
    <w:rsid w:val="00CF3F28"/>
    <w:rsid w:val="00CF4DF2"/>
    <w:rsid w:val="00D07719"/>
    <w:rsid w:val="00D164DD"/>
    <w:rsid w:val="00D21F6A"/>
    <w:rsid w:val="00D44D50"/>
    <w:rsid w:val="00D77331"/>
    <w:rsid w:val="00D77A31"/>
    <w:rsid w:val="00D77C43"/>
    <w:rsid w:val="00D80E80"/>
    <w:rsid w:val="00D91046"/>
    <w:rsid w:val="00DA3301"/>
    <w:rsid w:val="00DA3BBA"/>
    <w:rsid w:val="00DA63FB"/>
    <w:rsid w:val="00DC74FF"/>
    <w:rsid w:val="00DE4B59"/>
    <w:rsid w:val="00DE69F9"/>
    <w:rsid w:val="00DF2ADD"/>
    <w:rsid w:val="00DF54A0"/>
    <w:rsid w:val="00E001B2"/>
    <w:rsid w:val="00E02240"/>
    <w:rsid w:val="00E12B94"/>
    <w:rsid w:val="00E14A74"/>
    <w:rsid w:val="00E22BC0"/>
    <w:rsid w:val="00E31C8E"/>
    <w:rsid w:val="00E35ABE"/>
    <w:rsid w:val="00E366B2"/>
    <w:rsid w:val="00E54916"/>
    <w:rsid w:val="00E6367E"/>
    <w:rsid w:val="00E71DD3"/>
    <w:rsid w:val="00E7521B"/>
    <w:rsid w:val="00E8162D"/>
    <w:rsid w:val="00E861E5"/>
    <w:rsid w:val="00E87A02"/>
    <w:rsid w:val="00E87A9F"/>
    <w:rsid w:val="00E91348"/>
    <w:rsid w:val="00E93894"/>
    <w:rsid w:val="00E95231"/>
    <w:rsid w:val="00E95EB0"/>
    <w:rsid w:val="00EA3941"/>
    <w:rsid w:val="00EA7415"/>
    <w:rsid w:val="00EB7347"/>
    <w:rsid w:val="00EB788D"/>
    <w:rsid w:val="00EC3129"/>
    <w:rsid w:val="00EC3E77"/>
    <w:rsid w:val="00ED19D4"/>
    <w:rsid w:val="00ED49C9"/>
    <w:rsid w:val="00ED4C86"/>
    <w:rsid w:val="00EE1CE4"/>
    <w:rsid w:val="00EE542A"/>
    <w:rsid w:val="00F03BB9"/>
    <w:rsid w:val="00F22D65"/>
    <w:rsid w:val="00F25F7E"/>
    <w:rsid w:val="00F31258"/>
    <w:rsid w:val="00F33A51"/>
    <w:rsid w:val="00F40A2A"/>
    <w:rsid w:val="00F41A1D"/>
    <w:rsid w:val="00F43041"/>
    <w:rsid w:val="00F52058"/>
    <w:rsid w:val="00F62B02"/>
    <w:rsid w:val="00F85783"/>
    <w:rsid w:val="00F90297"/>
    <w:rsid w:val="00F921DC"/>
    <w:rsid w:val="00FA0C90"/>
    <w:rsid w:val="00FA2FFB"/>
    <w:rsid w:val="00FA6142"/>
    <w:rsid w:val="00FC0159"/>
    <w:rsid w:val="00FD1B9F"/>
    <w:rsid w:val="00FE3C48"/>
    <w:rsid w:val="00FF0DE7"/>
    <w:rsid w:val="00FF52F0"/>
    <w:rsid w:val="04CF3793"/>
    <w:rsid w:val="075309FA"/>
    <w:rsid w:val="07930B0D"/>
    <w:rsid w:val="0AEC7ECB"/>
    <w:rsid w:val="0DE15039"/>
    <w:rsid w:val="0EBF5311"/>
    <w:rsid w:val="0FF551DD"/>
    <w:rsid w:val="13E919F0"/>
    <w:rsid w:val="14AF6CE8"/>
    <w:rsid w:val="18C06DEA"/>
    <w:rsid w:val="1B131C97"/>
    <w:rsid w:val="1B6A1F00"/>
    <w:rsid w:val="1EE458A8"/>
    <w:rsid w:val="1F7643B3"/>
    <w:rsid w:val="1F76960B"/>
    <w:rsid w:val="1FAD6567"/>
    <w:rsid w:val="21610F1D"/>
    <w:rsid w:val="229B2430"/>
    <w:rsid w:val="23521FCE"/>
    <w:rsid w:val="23581056"/>
    <w:rsid w:val="24762AC5"/>
    <w:rsid w:val="25DB560B"/>
    <w:rsid w:val="26D829E4"/>
    <w:rsid w:val="27F981B6"/>
    <w:rsid w:val="28B94C8E"/>
    <w:rsid w:val="2BFE691C"/>
    <w:rsid w:val="2D4F248B"/>
    <w:rsid w:val="2DE70C26"/>
    <w:rsid w:val="2DEA5561"/>
    <w:rsid w:val="2FC51E8B"/>
    <w:rsid w:val="30F8085E"/>
    <w:rsid w:val="31D96846"/>
    <w:rsid w:val="32E07A07"/>
    <w:rsid w:val="35F66D5D"/>
    <w:rsid w:val="37DBD64B"/>
    <w:rsid w:val="39B76C89"/>
    <w:rsid w:val="3A1923A5"/>
    <w:rsid w:val="3A9ED4B8"/>
    <w:rsid w:val="3ACBA287"/>
    <w:rsid w:val="3B5C55AE"/>
    <w:rsid w:val="3B7E6FDC"/>
    <w:rsid w:val="3B920BB9"/>
    <w:rsid w:val="3D484D59"/>
    <w:rsid w:val="3D637E43"/>
    <w:rsid w:val="3DFB6991"/>
    <w:rsid w:val="3E073741"/>
    <w:rsid w:val="3ECB102A"/>
    <w:rsid w:val="3FCF1C83"/>
    <w:rsid w:val="3FFC04E5"/>
    <w:rsid w:val="424527AB"/>
    <w:rsid w:val="42885B7F"/>
    <w:rsid w:val="43BE1A43"/>
    <w:rsid w:val="43F7EB4F"/>
    <w:rsid w:val="46614D7D"/>
    <w:rsid w:val="47DB7083"/>
    <w:rsid w:val="4BF3E1F1"/>
    <w:rsid w:val="4CBD1531"/>
    <w:rsid w:val="4D5D018F"/>
    <w:rsid w:val="4D8437A9"/>
    <w:rsid w:val="4E68419C"/>
    <w:rsid w:val="4F6FC198"/>
    <w:rsid w:val="4FEF8628"/>
    <w:rsid w:val="55262283"/>
    <w:rsid w:val="56DF4B30"/>
    <w:rsid w:val="56FF4D95"/>
    <w:rsid w:val="57BA7727"/>
    <w:rsid w:val="57EE0875"/>
    <w:rsid w:val="57FAC2BC"/>
    <w:rsid w:val="57FDE3AE"/>
    <w:rsid w:val="57FFFCE1"/>
    <w:rsid w:val="58B68F4A"/>
    <w:rsid w:val="59B02343"/>
    <w:rsid w:val="59FF4C68"/>
    <w:rsid w:val="5A983F9D"/>
    <w:rsid w:val="5BFFA380"/>
    <w:rsid w:val="5CAD509C"/>
    <w:rsid w:val="5D0110F7"/>
    <w:rsid w:val="5E9A2EBA"/>
    <w:rsid w:val="5EE3638E"/>
    <w:rsid w:val="5F2DB651"/>
    <w:rsid w:val="5F414735"/>
    <w:rsid w:val="5F9B0054"/>
    <w:rsid w:val="607F4E4E"/>
    <w:rsid w:val="63064CA6"/>
    <w:rsid w:val="63705524"/>
    <w:rsid w:val="64EB6899"/>
    <w:rsid w:val="652701B0"/>
    <w:rsid w:val="65AF0D9A"/>
    <w:rsid w:val="66C96319"/>
    <w:rsid w:val="67769A91"/>
    <w:rsid w:val="69912B08"/>
    <w:rsid w:val="69923820"/>
    <w:rsid w:val="69FEC63B"/>
    <w:rsid w:val="6AFFA7DF"/>
    <w:rsid w:val="6B24546C"/>
    <w:rsid w:val="6D3A4AA1"/>
    <w:rsid w:val="6F367835"/>
    <w:rsid w:val="6F57AEDB"/>
    <w:rsid w:val="6F5F0D24"/>
    <w:rsid w:val="6FAD09A2"/>
    <w:rsid w:val="6FE751EC"/>
    <w:rsid w:val="7116615A"/>
    <w:rsid w:val="71D473F3"/>
    <w:rsid w:val="71ED3131"/>
    <w:rsid w:val="74CD0A4E"/>
    <w:rsid w:val="75BF9D3C"/>
    <w:rsid w:val="76743796"/>
    <w:rsid w:val="76A17CD5"/>
    <w:rsid w:val="77CE33F4"/>
    <w:rsid w:val="77D57B84"/>
    <w:rsid w:val="77DD90A0"/>
    <w:rsid w:val="784019BB"/>
    <w:rsid w:val="7AFB364A"/>
    <w:rsid w:val="7B445194"/>
    <w:rsid w:val="7BEF462D"/>
    <w:rsid w:val="7CB61887"/>
    <w:rsid w:val="7CFEC53F"/>
    <w:rsid w:val="7DDFE57C"/>
    <w:rsid w:val="7DED730D"/>
    <w:rsid w:val="7DF94090"/>
    <w:rsid w:val="7DFF9162"/>
    <w:rsid w:val="7E5C2307"/>
    <w:rsid w:val="7E6416AA"/>
    <w:rsid w:val="7E6FA12B"/>
    <w:rsid w:val="7EC060CD"/>
    <w:rsid w:val="7EC9F1BD"/>
    <w:rsid w:val="7EEDFBCD"/>
    <w:rsid w:val="7EF911B0"/>
    <w:rsid w:val="7F6C395F"/>
    <w:rsid w:val="7FBD5E6A"/>
    <w:rsid w:val="7FE75139"/>
    <w:rsid w:val="7FF19E88"/>
    <w:rsid w:val="8F9FCC1B"/>
    <w:rsid w:val="987FFA31"/>
    <w:rsid w:val="9A7EE07E"/>
    <w:rsid w:val="9DFF78AD"/>
    <w:rsid w:val="9F7D4D85"/>
    <w:rsid w:val="9FCDD736"/>
    <w:rsid w:val="AC3DC18F"/>
    <w:rsid w:val="AD7A41AE"/>
    <w:rsid w:val="AFFF03D9"/>
    <w:rsid w:val="B5F9E9E3"/>
    <w:rsid w:val="B777A409"/>
    <w:rsid w:val="B7F71154"/>
    <w:rsid w:val="BC76F3BB"/>
    <w:rsid w:val="BC9FD216"/>
    <w:rsid w:val="BCF58D6F"/>
    <w:rsid w:val="BDDE31C1"/>
    <w:rsid w:val="BDFC4B02"/>
    <w:rsid w:val="BDFD0773"/>
    <w:rsid w:val="BEEF3830"/>
    <w:rsid w:val="BEFA8831"/>
    <w:rsid w:val="BFF76534"/>
    <w:rsid w:val="C1F32887"/>
    <w:rsid w:val="C6FD8A6A"/>
    <w:rsid w:val="CFF31764"/>
    <w:rsid w:val="CFFF7E83"/>
    <w:rsid w:val="D27F1D60"/>
    <w:rsid w:val="D7BFF581"/>
    <w:rsid w:val="DDEF342A"/>
    <w:rsid w:val="DEDF7EBD"/>
    <w:rsid w:val="DF3F77EC"/>
    <w:rsid w:val="DFFFD906"/>
    <w:rsid w:val="EA3E5EF0"/>
    <w:rsid w:val="EA765588"/>
    <w:rsid w:val="EBE7E38F"/>
    <w:rsid w:val="EDFF2C59"/>
    <w:rsid w:val="EEBA6318"/>
    <w:rsid w:val="EEFFC467"/>
    <w:rsid w:val="EF3F87EF"/>
    <w:rsid w:val="EFCF2C3A"/>
    <w:rsid w:val="F0EF73DF"/>
    <w:rsid w:val="F2F9C875"/>
    <w:rsid w:val="F37D3FCE"/>
    <w:rsid w:val="F77A5F9E"/>
    <w:rsid w:val="F7BF97F4"/>
    <w:rsid w:val="F7F69AD1"/>
    <w:rsid w:val="F7F7B0A3"/>
    <w:rsid w:val="F7FA4DDE"/>
    <w:rsid w:val="FAB63618"/>
    <w:rsid w:val="FAF7253D"/>
    <w:rsid w:val="FAF7E075"/>
    <w:rsid w:val="FB3E2101"/>
    <w:rsid w:val="FBD532CE"/>
    <w:rsid w:val="FBFFE22B"/>
    <w:rsid w:val="FC370A37"/>
    <w:rsid w:val="FC9CAD81"/>
    <w:rsid w:val="FC9FA624"/>
    <w:rsid w:val="FCDF976E"/>
    <w:rsid w:val="FDBF9D0F"/>
    <w:rsid w:val="FDD7F422"/>
    <w:rsid w:val="FDFF8BE0"/>
    <w:rsid w:val="FE7B660E"/>
    <w:rsid w:val="FE7DD0D1"/>
    <w:rsid w:val="FEF99D2A"/>
    <w:rsid w:val="FF5F0186"/>
    <w:rsid w:val="FF6FE1E4"/>
    <w:rsid w:val="FF735E58"/>
    <w:rsid w:val="FFDB34AC"/>
    <w:rsid w:val="FFDF1891"/>
    <w:rsid w:val="FFDF767D"/>
    <w:rsid w:val="FFDFEE3D"/>
    <w:rsid w:val="FFF3EDC3"/>
    <w:rsid w:val="FFF63C57"/>
    <w:rsid w:val="FFF87516"/>
    <w:rsid w:val="FFFB760D"/>
    <w:rsid w:val="FFFBE601"/>
    <w:rsid w:val="FFFC1315"/>
    <w:rsid w:val="FFFE2BCC"/>
    <w:rsid w:val="FFFEA9B9"/>
    <w:rsid w:val="FFFF0B13"/>
    <w:rsid w:val="FFFF5B06"/>
    <w:rsid w:val="FFFFAC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asciiTheme="minorHAnsi" w:hAnsiTheme="minorHAnsi" w:eastAsiaTheme="minorEastAsia" w:cstheme="minorBidi"/>
      <w:b/>
      <w:bCs/>
      <w:kern w:val="44"/>
      <w:sz w:val="44"/>
      <w:szCs w:val="44"/>
    </w:rPr>
  </w:style>
  <w:style w:type="paragraph" w:styleId="3">
    <w:name w:val="heading 2"/>
    <w:basedOn w:val="1"/>
    <w:next w:val="1"/>
    <w:link w:val="27"/>
    <w:qFormat/>
    <w:uiPriority w:val="0"/>
    <w:pPr>
      <w:keepNext/>
      <w:keepLines/>
      <w:spacing w:before="260" w:after="260" w:line="413" w:lineRule="auto"/>
      <w:outlineLvl w:val="1"/>
    </w:pPr>
    <w:rPr>
      <w:rFonts w:ascii="Arial" w:hAnsi="Arial" w:eastAsia="黑体"/>
      <w:b/>
      <w:sz w:val="32"/>
      <w:szCs w:val="20"/>
    </w:rPr>
  </w:style>
  <w:style w:type="character" w:default="1" w:styleId="18">
    <w:name w:val="Default Paragraph Font"/>
    <w:semiHidden/>
    <w:unhideWhenUsed/>
    <w:qFormat/>
    <w:uiPriority w:val="1"/>
  </w:style>
  <w:style w:type="table" w:default="1" w:styleId="1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4">
    <w:name w:val="Normal Indent"/>
    <w:basedOn w:val="1"/>
    <w:qFormat/>
    <w:uiPriority w:val="0"/>
    <w:pPr>
      <w:topLinePunct/>
      <w:adjustRightInd w:val="0"/>
      <w:spacing w:line="360" w:lineRule="auto"/>
      <w:ind w:firstLine="200" w:firstLineChars="200"/>
      <w:jc w:val="left"/>
    </w:pPr>
    <w:rPr>
      <w:rFonts w:ascii="宋体" w:hAnsi="宋体"/>
      <w:color w:val="000000"/>
      <w:sz w:val="24"/>
      <w:szCs w:val="21"/>
    </w:rPr>
  </w:style>
  <w:style w:type="paragraph" w:styleId="5">
    <w:name w:val="annotation text"/>
    <w:basedOn w:val="1"/>
    <w:link w:val="43"/>
    <w:semiHidden/>
    <w:unhideWhenUsed/>
    <w:qFormat/>
    <w:uiPriority w:val="0"/>
    <w:pPr>
      <w:jc w:val="left"/>
    </w:pPr>
  </w:style>
  <w:style w:type="paragraph" w:styleId="6">
    <w:name w:val="Body Text"/>
    <w:basedOn w:val="1"/>
    <w:link w:val="38"/>
    <w:qFormat/>
    <w:uiPriority w:val="0"/>
    <w:pPr>
      <w:spacing w:after="120"/>
    </w:pPr>
    <w:rPr>
      <w:szCs w:val="20"/>
    </w:rPr>
  </w:style>
  <w:style w:type="paragraph" w:styleId="7">
    <w:name w:val="toc 3"/>
    <w:basedOn w:val="1"/>
    <w:next w:val="1"/>
    <w:unhideWhenUsed/>
    <w:qFormat/>
    <w:uiPriority w:val="39"/>
    <w:pPr>
      <w:ind w:left="840" w:leftChars="400"/>
    </w:pPr>
  </w:style>
  <w:style w:type="paragraph" w:styleId="8">
    <w:name w:val="Date"/>
    <w:basedOn w:val="1"/>
    <w:next w:val="1"/>
    <w:link w:val="25"/>
    <w:qFormat/>
    <w:uiPriority w:val="0"/>
    <w:pPr>
      <w:ind w:left="100" w:leftChars="2500"/>
    </w:pPr>
  </w:style>
  <w:style w:type="paragraph" w:styleId="9">
    <w:name w:val="Balloon Text"/>
    <w:basedOn w:val="1"/>
    <w:semiHidden/>
    <w:qFormat/>
    <w:uiPriority w:val="0"/>
    <w:rPr>
      <w:sz w:val="18"/>
      <w:szCs w:val="18"/>
    </w:rPr>
  </w:style>
  <w:style w:type="paragraph" w:styleId="10">
    <w:name w:val="footer"/>
    <w:basedOn w:val="1"/>
    <w:link w:val="28"/>
    <w:qFormat/>
    <w:uiPriority w:val="99"/>
    <w:pPr>
      <w:tabs>
        <w:tab w:val="center" w:pos="4153"/>
        <w:tab w:val="right" w:pos="8306"/>
      </w:tabs>
      <w:snapToGrid w:val="0"/>
      <w:jc w:val="left"/>
    </w:pPr>
    <w:rPr>
      <w:sz w:val="18"/>
      <w:szCs w:val="18"/>
    </w:rPr>
  </w:style>
  <w:style w:type="paragraph" w:styleId="11">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rPr>
      <w:rFonts w:asciiTheme="minorHAnsi" w:hAnsiTheme="minorHAnsi" w:eastAsiaTheme="minorEastAsia" w:cstheme="minorBidi"/>
      <w:szCs w:val="22"/>
    </w:rPr>
  </w:style>
  <w:style w:type="paragraph" w:styleId="13">
    <w:name w:val="toc 2"/>
    <w:basedOn w:val="1"/>
    <w:next w:val="1"/>
    <w:unhideWhenUsed/>
    <w:qFormat/>
    <w:uiPriority w:val="39"/>
    <w:pPr>
      <w:ind w:left="420" w:leftChars="200"/>
    </w:pPr>
  </w:style>
  <w:style w:type="paragraph" w:styleId="14">
    <w:name w:val="Title"/>
    <w:basedOn w:val="1"/>
    <w:next w:val="1"/>
    <w:link w:val="30"/>
    <w:qFormat/>
    <w:uiPriority w:val="0"/>
    <w:pPr>
      <w:widowControl/>
      <w:spacing w:line="360" w:lineRule="auto"/>
      <w:jc w:val="center"/>
      <w:textAlignment w:val="baseline"/>
    </w:pPr>
    <w:rPr>
      <w:rFonts w:eastAsia="黑体"/>
      <w:kern w:val="0"/>
      <w:sz w:val="44"/>
      <w:szCs w:val="44"/>
    </w:rPr>
  </w:style>
  <w:style w:type="paragraph" w:styleId="15">
    <w:name w:val="annotation subject"/>
    <w:basedOn w:val="5"/>
    <w:next w:val="5"/>
    <w:link w:val="44"/>
    <w:semiHidden/>
    <w:unhideWhenUsed/>
    <w:qFormat/>
    <w:uiPriority w:val="0"/>
    <w:rPr>
      <w:b/>
      <w:bCs/>
    </w:rPr>
  </w:style>
  <w:style w:type="table" w:styleId="17">
    <w:name w:val="Table Grid"/>
    <w:basedOn w:val="1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character" w:styleId="20">
    <w:name w:val="Hyperlink"/>
    <w:qFormat/>
    <w:uiPriority w:val="99"/>
    <w:rPr>
      <w:color w:val="0000FF"/>
      <w:u w:val="single"/>
    </w:rPr>
  </w:style>
  <w:style w:type="character" w:styleId="21">
    <w:name w:val="annotation reference"/>
    <w:basedOn w:val="18"/>
    <w:semiHidden/>
    <w:unhideWhenUsed/>
    <w:qFormat/>
    <w:uiPriority w:val="0"/>
    <w:rPr>
      <w:sz w:val="21"/>
      <w:szCs w:val="21"/>
    </w:rPr>
  </w:style>
  <w:style w:type="paragraph" w:customStyle="1" w:styleId="22">
    <w:name w:val="列出段落1"/>
    <w:basedOn w:val="1"/>
    <w:qFormat/>
    <w:uiPriority w:val="99"/>
    <w:pPr>
      <w:ind w:firstLine="420" w:firstLineChars="200"/>
    </w:pPr>
    <w:rPr>
      <w:rFonts w:ascii="Calibri" w:hAnsi="Calibri"/>
      <w:szCs w:val="22"/>
    </w:rPr>
  </w:style>
  <w:style w:type="character" w:customStyle="1" w:styleId="23">
    <w:name w:val="页眉 Char"/>
    <w:link w:val="11"/>
    <w:qFormat/>
    <w:uiPriority w:val="99"/>
    <w:rPr>
      <w:kern w:val="2"/>
      <w:sz w:val="18"/>
      <w:szCs w:val="18"/>
    </w:rPr>
  </w:style>
  <w:style w:type="paragraph" w:styleId="24">
    <w:name w:val="List Paragraph"/>
    <w:basedOn w:val="1"/>
    <w:qFormat/>
    <w:uiPriority w:val="99"/>
    <w:pPr>
      <w:ind w:firstLine="420" w:firstLineChars="200"/>
    </w:pPr>
  </w:style>
  <w:style w:type="character" w:customStyle="1" w:styleId="25">
    <w:name w:val="日期 Char"/>
    <w:basedOn w:val="18"/>
    <w:link w:val="8"/>
    <w:qFormat/>
    <w:uiPriority w:val="0"/>
    <w:rPr>
      <w:kern w:val="2"/>
      <w:sz w:val="21"/>
      <w:szCs w:val="24"/>
    </w:rPr>
  </w:style>
  <w:style w:type="character" w:customStyle="1" w:styleId="26">
    <w:name w:val="标题 1 Char"/>
    <w:basedOn w:val="18"/>
    <w:link w:val="2"/>
    <w:qFormat/>
    <w:uiPriority w:val="0"/>
    <w:rPr>
      <w:rFonts w:asciiTheme="minorHAnsi" w:hAnsiTheme="minorHAnsi" w:eastAsiaTheme="minorEastAsia" w:cstheme="minorBidi"/>
      <w:b/>
      <w:bCs/>
      <w:kern w:val="44"/>
      <w:sz w:val="44"/>
      <w:szCs w:val="44"/>
    </w:rPr>
  </w:style>
  <w:style w:type="character" w:customStyle="1" w:styleId="27">
    <w:name w:val="标题 2 Char"/>
    <w:basedOn w:val="18"/>
    <w:link w:val="3"/>
    <w:qFormat/>
    <w:uiPriority w:val="0"/>
    <w:rPr>
      <w:rFonts w:ascii="Arial" w:hAnsi="Arial" w:eastAsia="黑体"/>
      <w:b/>
      <w:kern w:val="2"/>
      <w:sz w:val="32"/>
    </w:rPr>
  </w:style>
  <w:style w:type="character" w:customStyle="1" w:styleId="28">
    <w:name w:val="页脚 Char"/>
    <w:basedOn w:val="18"/>
    <w:link w:val="10"/>
    <w:qFormat/>
    <w:uiPriority w:val="99"/>
    <w:rPr>
      <w:kern w:val="2"/>
      <w:sz w:val="18"/>
      <w:szCs w:val="18"/>
    </w:rPr>
  </w:style>
  <w:style w:type="paragraph" w:customStyle="1" w:styleId="29">
    <w:name w:val="正文文本1"/>
    <w:basedOn w:val="1"/>
    <w:qFormat/>
    <w:uiPriority w:val="0"/>
    <w:rPr>
      <w:rFonts w:ascii="宋体" w:hAnsi="宋体" w:cstheme="minorBidi"/>
      <w:kern w:val="13"/>
      <w:szCs w:val="22"/>
    </w:rPr>
  </w:style>
  <w:style w:type="character" w:customStyle="1" w:styleId="30">
    <w:name w:val="标题 Char"/>
    <w:basedOn w:val="18"/>
    <w:link w:val="14"/>
    <w:qFormat/>
    <w:uiPriority w:val="0"/>
    <w:rPr>
      <w:rFonts w:eastAsia="黑体"/>
      <w:sz w:val="44"/>
      <w:szCs w:val="44"/>
    </w:rPr>
  </w:style>
  <w:style w:type="character" w:customStyle="1" w:styleId="31">
    <w:name w:val="NormalCharacter"/>
    <w:semiHidden/>
    <w:qFormat/>
    <w:uiPriority w:val="0"/>
  </w:style>
  <w:style w:type="paragraph" w:customStyle="1" w:styleId="32">
    <w:name w:val="MTDisplayEquation"/>
    <w:basedOn w:val="1"/>
    <w:next w:val="1"/>
    <w:link w:val="33"/>
    <w:qFormat/>
    <w:uiPriority w:val="0"/>
    <w:pPr>
      <w:tabs>
        <w:tab w:val="center" w:pos="4680"/>
        <w:tab w:val="right" w:pos="9360"/>
      </w:tabs>
      <w:snapToGrid w:val="0"/>
      <w:spacing w:line="360" w:lineRule="auto"/>
      <w:jc w:val="left"/>
    </w:pPr>
    <w:rPr>
      <w:rFonts w:ascii="宋体" w:hAnsi="宋体"/>
      <w:sz w:val="24"/>
    </w:rPr>
  </w:style>
  <w:style w:type="character" w:customStyle="1" w:styleId="33">
    <w:name w:val="MTDisplayEquation 字符"/>
    <w:link w:val="32"/>
    <w:qFormat/>
    <w:uiPriority w:val="0"/>
    <w:rPr>
      <w:rFonts w:ascii="宋体" w:hAnsi="宋体"/>
      <w:kern w:val="2"/>
      <w:sz w:val="24"/>
      <w:szCs w:val="24"/>
    </w:rPr>
  </w:style>
  <w:style w:type="character" w:customStyle="1" w:styleId="34">
    <w:name w:val="MTEquationSection"/>
    <w:qFormat/>
    <w:uiPriority w:val="0"/>
    <w:rPr>
      <w:b/>
      <w:vanish/>
      <w:color w:val="FF0000"/>
      <w:sz w:val="52"/>
    </w:rPr>
  </w:style>
  <w:style w:type="paragraph" w:customStyle="1" w:styleId="35">
    <w:name w:val="标准文件_附录一级条标题"/>
    <w:basedOn w:val="36"/>
    <w:next w:val="1"/>
    <w:qFormat/>
    <w:uiPriority w:val="0"/>
    <w:pPr>
      <w:autoSpaceDN w:val="0"/>
      <w:spacing w:beforeLines="0" w:afterLines="0"/>
      <w:outlineLvl w:val="2"/>
    </w:pPr>
    <w:rPr>
      <w:spacing w:val="2"/>
    </w:rPr>
  </w:style>
  <w:style w:type="paragraph" w:customStyle="1" w:styleId="36">
    <w:name w:val="标准文件_附录章标题"/>
    <w:next w:val="1"/>
    <w:qFormat/>
    <w:uiPriority w:val="0"/>
    <w:pPr>
      <w:wordWrap w:val="0"/>
      <w:overflowPunct w:val="0"/>
      <w:autoSpaceDE w:val="0"/>
      <w:spacing w:beforeLines="50" w:afterLines="50"/>
      <w:ind w:right="-50" w:rightChars="-50"/>
      <w:jc w:val="both"/>
      <w:textAlignment w:val="baseline"/>
      <w:outlineLvl w:val="1"/>
    </w:pPr>
    <w:rPr>
      <w:rFonts w:ascii="黑体" w:hAnsi="Times New Roman" w:eastAsia="黑体" w:cs="Times New Roman"/>
      <w:kern w:val="21"/>
      <w:sz w:val="21"/>
      <w:lang w:val="en-US" w:eastAsia="zh-CN" w:bidi="ar-SA"/>
    </w:rPr>
  </w:style>
  <w:style w:type="paragraph" w:customStyle="1" w:styleId="37">
    <w:name w:val="标准文件_附录表标题"/>
    <w:next w:val="1"/>
    <w:qFormat/>
    <w:uiPriority w:val="0"/>
    <w:pPr>
      <w:jc w:val="center"/>
      <w:textAlignment w:val="baseline"/>
    </w:pPr>
    <w:rPr>
      <w:rFonts w:ascii="黑体" w:hAnsi="Times New Roman" w:eastAsia="黑体" w:cs="Times New Roman"/>
      <w:kern w:val="21"/>
      <w:sz w:val="21"/>
      <w:lang w:val="en-US" w:eastAsia="zh-CN" w:bidi="ar-SA"/>
    </w:rPr>
  </w:style>
  <w:style w:type="character" w:customStyle="1" w:styleId="38">
    <w:name w:val="正文文本 Char"/>
    <w:link w:val="6"/>
    <w:qFormat/>
    <w:uiPriority w:val="0"/>
    <w:rPr>
      <w:kern w:val="2"/>
      <w:sz w:val="21"/>
    </w:rPr>
  </w:style>
  <w:style w:type="character" w:customStyle="1" w:styleId="39">
    <w:name w:val="正文文本 Char1"/>
    <w:basedOn w:val="18"/>
    <w:semiHidden/>
    <w:qFormat/>
    <w:uiPriority w:val="0"/>
    <w:rPr>
      <w:kern w:val="2"/>
      <w:sz w:val="21"/>
      <w:szCs w:val="24"/>
    </w:rPr>
  </w:style>
  <w:style w:type="paragraph" w:customStyle="1" w:styleId="40">
    <w:name w:val="_Style 34"/>
    <w:basedOn w:val="1"/>
    <w:next w:val="24"/>
    <w:qFormat/>
    <w:uiPriority w:val="99"/>
    <w:pPr>
      <w:ind w:firstLine="420" w:firstLineChars="200"/>
    </w:pPr>
    <w:rPr>
      <w:szCs w:val="20"/>
    </w:rPr>
  </w:style>
  <w:style w:type="paragraph" w:customStyle="1" w:styleId="4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42">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43">
    <w:name w:val="批注文字 Char"/>
    <w:basedOn w:val="18"/>
    <w:link w:val="5"/>
    <w:semiHidden/>
    <w:qFormat/>
    <w:uiPriority w:val="0"/>
    <w:rPr>
      <w:kern w:val="2"/>
      <w:sz w:val="21"/>
      <w:szCs w:val="24"/>
    </w:rPr>
  </w:style>
  <w:style w:type="character" w:customStyle="1" w:styleId="44">
    <w:name w:val="批注主题 Char"/>
    <w:basedOn w:val="43"/>
    <w:link w:val="15"/>
    <w:semiHidden/>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3" Type="http://schemas.openxmlformats.org/officeDocument/2006/relationships/fontTable" Target="fontTable.xml"/><Relationship Id="rId62" Type="http://schemas.openxmlformats.org/officeDocument/2006/relationships/numbering" Target="numbering.xml"/><Relationship Id="rId61" Type="http://schemas.openxmlformats.org/officeDocument/2006/relationships/customXml" Target="../customXml/item1.xml"/><Relationship Id="rId60" Type="http://schemas.openxmlformats.org/officeDocument/2006/relationships/oleObject" Target="embeddings/oleObject27.bin"/><Relationship Id="rId6" Type="http://schemas.openxmlformats.org/officeDocument/2006/relationships/footer" Target="footer3.xml"/><Relationship Id="rId59" Type="http://schemas.openxmlformats.org/officeDocument/2006/relationships/oleObject" Target="embeddings/oleObject26.bin"/><Relationship Id="rId58" Type="http://schemas.openxmlformats.org/officeDocument/2006/relationships/image" Target="media/image24.wmf"/><Relationship Id="rId57" Type="http://schemas.openxmlformats.org/officeDocument/2006/relationships/oleObject" Target="embeddings/oleObject25.bin"/><Relationship Id="rId56" Type="http://schemas.openxmlformats.org/officeDocument/2006/relationships/oleObject" Target="embeddings/oleObject24.bin"/><Relationship Id="rId55" Type="http://schemas.openxmlformats.org/officeDocument/2006/relationships/image" Target="media/image23.wmf"/><Relationship Id="rId54" Type="http://schemas.openxmlformats.org/officeDocument/2006/relationships/oleObject" Target="embeddings/oleObject23.bin"/><Relationship Id="rId53" Type="http://schemas.openxmlformats.org/officeDocument/2006/relationships/oleObject" Target="embeddings/oleObject22.bin"/><Relationship Id="rId52" Type="http://schemas.openxmlformats.org/officeDocument/2006/relationships/image" Target="media/image22.wmf"/><Relationship Id="rId51" Type="http://schemas.openxmlformats.org/officeDocument/2006/relationships/oleObject" Target="embeddings/oleObject21.bin"/><Relationship Id="rId50" Type="http://schemas.openxmlformats.org/officeDocument/2006/relationships/image" Target="media/image21.wmf"/><Relationship Id="rId5" Type="http://schemas.openxmlformats.org/officeDocument/2006/relationships/footer" Target="footer2.xml"/><Relationship Id="rId49" Type="http://schemas.openxmlformats.org/officeDocument/2006/relationships/oleObject" Target="embeddings/oleObject20.bin"/><Relationship Id="rId48" Type="http://schemas.openxmlformats.org/officeDocument/2006/relationships/image" Target="media/image20.wmf"/><Relationship Id="rId47" Type="http://schemas.openxmlformats.org/officeDocument/2006/relationships/oleObject" Target="embeddings/oleObject19.bin"/><Relationship Id="rId46" Type="http://schemas.openxmlformats.org/officeDocument/2006/relationships/image" Target="media/image19.wmf"/><Relationship Id="rId45" Type="http://schemas.openxmlformats.org/officeDocument/2006/relationships/oleObject" Target="embeddings/oleObject18.bin"/><Relationship Id="rId44" Type="http://schemas.openxmlformats.org/officeDocument/2006/relationships/image" Target="media/image18.wmf"/><Relationship Id="rId43" Type="http://schemas.openxmlformats.org/officeDocument/2006/relationships/oleObject" Target="embeddings/oleObject17.bin"/><Relationship Id="rId42" Type="http://schemas.openxmlformats.org/officeDocument/2006/relationships/image" Target="media/image17.wmf"/><Relationship Id="rId41" Type="http://schemas.openxmlformats.org/officeDocument/2006/relationships/oleObject" Target="embeddings/oleObject16.bin"/><Relationship Id="rId40" Type="http://schemas.openxmlformats.org/officeDocument/2006/relationships/image" Target="media/image16.wmf"/><Relationship Id="rId4" Type="http://schemas.openxmlformats.org/officeDocument/2006/relationships/header" Target="header1.xml"/><Relationship Id="rId39" Type="http://schemas.openxmlformats.org/officeDocument/2006/relationships/oleObject" Target="embeddings/oleObject15.bin"/><Relationship Id="rId38" Type="http://schemas.openxmlformats.org/officeDocument/2006/relationships/image" Target="media/image15.emf"/><Relationship Id="rId37" Type="http://schemas.openxmlformats.org/officeDocument/2006/relationships/image" Target="media/image14.wmf"/><Relationship Id="rId36" Type="http://schemas.openxmlformats.org/officeDocument/2006/relationships/oleObject" Target="embeddings/oleObject14.bin"/><Relationship Id="rId35" Type="http://schemas.openxmlformats.org/officeDocument/2006/relationships/image" Target="media/image13.wmf"/><Relationship Id="rId34" Type="http://schemas.openxmlformats.org/officeDocument/2006/relationships/oleObject" Target="embeddings/oleObject13.bin"/><Relationship Id="rId33" Type="http://schemas.openxmlformats.org/officeDocument/2006/relationships/oleObject" Target="embeddings/oleObject12.bin"/><Relationship Id="rId32" Type="http://schemas.openxmlformats.org/officeDocument/2006/relationships/image" Target="media/image12.wmf"/><Relationship Id="rId31" Type="http://schemas.openxmlformats.org/officeDocument/2006/relationships/oleObject" Target="embeddings/oleObject11.bin"/><Relationship Id="rId30" Type="http://schemas.openxmlformats.org/officeDocument/2006/relationships/image" Target="media/image11.wmf"/><Relationship Id="rId3" Type="http://schemas.openxmlformats.org/officeDocument/2006/relationships/footer" Target="footer1.xml"/><Relationship Id="rId29" Type="http://schemas.openxmlformats.org/officeDocument/2006/relationships/oleObject" Target="embeddings/oleObject10.bin"/><Relationship Id="rId28" Type="http://schemas.openxmlformats.org/officeDocument/2006/relationships/image" Target="media/image10.wmf"/><Relationship Id="rId27" Type="http://schemas.openxmlformats.org/officeDocument/2006/relationships/oleObject" Target="embeddings/oleObject9.bin"/><Relationship Id="rId26" Type="http://schemas.openxmlformats.org/officeDocument/2006/relationships/image" Target="media/image9.wmf"/><Relationship Id="rId25" Type="http://schemas.openxmlformats.org/officeDocument/2006/relationships/oleObject" Target="embeddings/oleObject8.bin"/><Relationship Id="rId24" Type="http://schemas.openxmlformats.org/officeDocument/2006/relationships/image" Target="media/image8.wmf"/><Relationship Id="rId23" Type="http://schemas.openxmlformats.org/officeDocument/2006/relationships/oleObject" Target="embeddings/oleObject7.bin"/><Relationship Id="rId22" Type="http://schemas.openxmlformats.org/officeDocument/2006/relationships/image" Target="media/image7.png"/><Relationship Id="rId21" Type="http://schemas.openxmlformats.org/officeDocument/2006/relationships/image" Target="media/image6.w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5.bin"/><Relationship Id="rId17" Type="http://schemas.openxmlformats.org/officeDocument/2006/relationships/oleObject" Target="embeddings/oleObject4.bin"/><Relationship Id="rId16" Type="http://schemas.openxmlformats.org/officeDocument/2006/relationships/image" Target="media/image4.wmf"/><Relationship Id="rId15" Type="http://schemas.openxmlformats.org/officeDocument/2006/relationships/oleObject" Target="embeddings/oleObject3.bin"/><Relationship Id="rId14" Type="http://schemas.openxmlformats.org/officeDocument/2006/relationships/image" Target="media/image3.wmf"/><Relationship Id="rId13" Type="http://schemas.openxmlformats.org/officeDocument/2006/relationships/oleObject" Target="embeddings/oleObject2.bin"/><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Flowserve FCD Beijing office</Company>
  <Pages>20</Pages>
  <Words>3371</Words>
  <Characters>4274</Characters>
  <Lines>47</Lines>
  <Paragraphs>19</Paragraphs>
  <TotalTime>1</TotalTime>
  <ScaleCrop>false</ScaleCrop>
  <LinksUpToDate>false</LinksUpToDate>
  <CharactersWithSpaces>4874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2026-08-13T10:21:00Z</dcterms:created>
  <dc:creator>Mary Jiang</dc:creator>
  <cp:lastModifiedBy>Bruis Kim</cp:lastModifiedBy>
  <cp:lastPrinted>2018-04-27T10:25:00Z</cp:lastPrinted>
  <dcterms:modified xsi:type="dcterms:W3CDTF">2026-10-19T07:53:39Z</dcterms:modified>
  <dc:title>标   准   物   质</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FB0BC11D937546F7B4D52B2E03DE6E73_13</vt:lpwstr>
  </property>
  <property fmtid="{D5CDD505-2E9C-101B-9397-08002B2CF9AE}" pid="4" name="KSOTemplateDocerSaveRecord">
    <vt:lpwstr>eyJoZGlkIjoiNDdkZmZhOWFmYjgzNzE4YzM4NzdhZTM4NGE1NjhlYWIiLCJ1c2VySWQiOiI1ODE2NTg3NjIifQ==</vt:lpwstr>
  </property>
  <property fmtid="{D5CDD505-2E9C-101B-9397-08002B2CF9AE}" pid="5" name="MSIP_Label_af615ef3-aa90-4fa2-9d66-c4f70f9fc413_Enabled">
    <vt:lpwstr>true</vt:lpwstr>
  </property>
  <property fmtid="{D5CDD505-2E9C-101B-9397-08002B2CF9AE}" pid="6" name="MSIP_Label_af615ef3-aa90-4fa2-9d66-c4f70f9fc413_SetDate">
    <vt:lpwstr>2026-05-11T10:27:52Z</vt:lpwstr>
  </property>
  <property fmtid="{D5CDD505-2E9C-101B-9397-08002B2CF9AE}" pid="7" name="MSIP_Label_af615ef3-aa90-4fa2-9d66-c4f70f9fc413_Method">
    <vt:lpwstr>Standard</vt:lpwstr>
  </property>
  <property fmtid="{D5CDD505-2E9C-101B-9397-08002B2CF9AE}" pid="8" name="MSIP_Label_af615ef3-aa90-4fa2-9d66-c4f70f9fc413_Name">
    <vt:lpwstr>Confidential</vt:lpwstr>
  </property>
  <property fmtid="{D5CDD505-2E9C-101B-9397-08002B2CF9AE}" pid="9" name="MSIP_Label_af615ef3-aa90-4fa2-9d66-c4f70f9fc413_SiteId">
    <vt:lpwstr>fb4c0aee-6cd2-482f-a1a5-717e7c02496b</vt:lpwstr>
  </property>
  <property fmtid="{D5CDD505-2E9C-101B-9397-08002B2CF9AE}" pid="10" name="MSIP_Label_af615ef3-aa90-4fa2-9d66-c4f70f9fc413_ActionId">
    <vt:lpwstr>fec1b89b-e513-447e-a461-a9db28bb8692</vt:lpwstr>
  </property>
  <property fmtid="{D5CDD505-2E9C-101B-9397-08002B2CF9AE}" pid="11" name="MSIP_Label_af615ef3-aa90-4fa2-9d66-c4f70f9fc413_ContentBits">
    <vt:lpwstr>0</vt:lpwstr>
  </property>
  <property fmtid="{D5CDD505-2E9C-101B-9397-08002B2CF9AE}" pid="12" name="MSIP_Label_af615ef3-aa90-4fa2-9d66-c4f70f9fc413_Tag">
    <vt:lpwstr>10, 3, 0, 1</vt:lpwstr>
  </property>
</Properties>
</file>