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90443">
      <w:pPr>
        <w:spacing w:line="300" w:lineRule="auto"/>
        <w:jc w:val="center"/>
        <w:rPr>
          <w:rFonts w:hint="default" w:ascii="Times New Roman" w:hAnsi="Times New Roman" w:cs="Times New Roman"/>
          <w:b/>
          <w:bCs/>
          <w:sz w:val="32"/>
          <w:szCs w:val="32"/>
        </w:rPr>
      </w:pPr>
      <w:r>
        <w:rPr>
          <w:rFonts w:hint="default" w:ascii="Times New Roman" w:hAnsi="Times New Roman" w:cs="Times New Roman"/>
          <w:b/>
          <w:bCs/>
          <w:sz w:val="32"/>
          <w:szCs w:val="32"/>
        </w:rPr>
        <w:t>《</w:t>
      </w:r>
      <w:r>
        <w:rPr>
          <w:rFonts w:hint="default" w:ascii="Times New Roman" w:hAnsi="Times New Roman" w:cs="Times New Roman"/>
          <w:b/>
          <w:bCs/>
          <w:sz w:val="32"/>
          <w:szCs w:val="32"/>
          <w:lang w:eastAsia="zh-CN"/>
        </w:rPr>
        <w:t>反应量热仪</w:t>
      </w:r>
      <w:r>
        <w:rPr>
          <w:rFonts w:hint="default" w:ascii="Times New Roman" w:hAnsi="Times New Roman" w:cs="Times New Roman"/>
          <w:b/>
          <w:bCs/>
          <w:sz w:val="32"/>
          <w:szCs w:val="32"/>
        </w:rPr>
        <w:t>校准规范》</w:t>
      </w:r>
    </w:p>
    <w:p w14:paraId="0A120E01">
      <w:pPr>
        <w:spacing w:line="300" w:lineRule="auto"/>
        <w:jc w:val="center"/>
        <w:rPr>
          <w:rFonts w:hint="default" w:ascii="Times New Roman" w:hAnsi="Times New Roman" w:cs="Times New Roman"/>
          <w:b/>
          <w:bCs/>
          <w:sz w:val="32"/>
          <w:szCs w:val="32"/>
        </w:rPr>
      </w:pPr>
      <w:r>
        <w:rPr>
          <w:rFonts w:hint="default" w:ascii="Times New Roman" w:hAnsi="Times New Roman" w:cs="Times New Roman"/>
          <w:b/>
          <w:bCs/>
          <w:sz w:val="32"/>
          <w:szCs w:val="32"/>
        </w:rPr>
        <w:t>不确定度评定报告</w:t>
      </w:r>
    </w:p>
    <w:p w14:paraId="0B893C68">
      <w:pPr>
        <w:spacing w:line="300" w:lineRule="auto"/>
        <w:rPr>
          <w:rFonts w:hint="default" w:ascii="Times New Roman" w:hAnsi="Times New Roman" w:cs="Times New Roman"/>
          <w:b/>
          <w:bCs/>
          <w:sz w:val="32"/>
        </w:rPr>
      </w:pPr>
    </w:p>
    <w:p w14:paraId="01508543">
      <w:pPr>
        <w:spacing w:line="300" w:lineRule="auto"/>
        <w:rPr>
          <w:rFonts w:hint="default" w:ascii="Times New Roman" w:hAnsi="Times New Roman" w:cs="Times New Roman"/>
          <w:b/>
          <w:bCs/>
          <w:sz w:val="32"/>
        </w:rPr>
      </w:pPr>
    </w:p>
    <w:p w14:paraId="4806CFA9">
      <w:pPr>
        <w:spacing w:line="300" w:lineRule="auto"/>
        <w:rPr>
          <w:rFonts w:hint="default" w:ascii="Times New Roman" w:hAnsi="Times New Roman" w:cs="Times New Roman"/>
          <w:b/>
          <w:bCs/>
          <w:sz w:val="32"/>
        </w:rPr>
      </w:pPr>
    </w:p>
    <w:p w14:paraId="0C8C5B6F">
      <w:pPr>
        <w:spacing w:line="300" w:lineRule="auto"/>
        <w:rPr>
          <w:rFonts w:hint="default" w:ascii="Times New Roman" w:hAnsi="Times New Roman" w:cs="Times New Roman"/>
          <w:b/>
          <w:bCs/>
          <w:sz w:val="32"/>
        </w:rPr>
      </w:pPr>
    </w:p>
    <w:p w14:paraId="460F74CA">
      <w:pPr>
        <w:spacing w:line="300" w:lineRule="auto"/>
        <w:rPr>
          <w:rFonts w:hint="default" w:ascii="Times New Roman" w:hAnsi="Times New Roman" w:cs="Times New Roman"/>
          <w:b/>
          <w:bCs/>
          <w:sz w:val="32"/>
        </w:rPr>
      </w:pPr>
    </w:p>
    <w:p w14:paraId="780DCC18">
      <w:pPr>
        <w:spacing w:line="300" w:lineRule="auto"/>
        <w:rPr>
          <w:rFonts w:hint="default" w:ascii="Times New Roman" w:hAnsi="Times New Roman" w:cs="Times New Roman"/>
          <w:b/>
          <w:bCs/>
          <w:sz w:val="32"/>
        </w:rPr>
      </w:pPr>
    </w:p>
    <w:p w14:paraId="2C6D81C2">
      <w:pPr>
        <w:spacing w:line="300" w:lineRule="auto"/>
        <w:rPr>
          <w:rFonts w:hint="default" w:ascii="Times New Roman" w:hAnsi="Times New Roman" w:cs="Times New Roman"/>
          <w:b/>
          <w:bCs/>
          <w:sz w:val="32"/>
        </w:rPr>
      </w:pPr>
    </w:p>
    <w:p w14:paraId="53221724">
      <w:pPr>
        <w:spacing w:line="300" w:lineRule="auto"/>
        <w:rPr>
          <w:rFonts w:hint="default" w:ascii="Times New Roman" w:hAnsi="Times New Roman" w:cs="Times New Roman"/>
          <w:b/>
          <w:bCs/>
          <w:sz w:val="32"/>
        </w:rPr>
      </w:pPr>
    </w:p>
    <w:p w14:paraId="4770AAE7">
      <w:pPr>
        <w:spacing w:line="300" w:lineRule="auto"/>
        <w:rPr>
          <w:rFonts w:hint="default" w:ascii="Times New Roman" w:hAnsi="Times New Roman" w:cs="Times New Roman"/>
          <w:b/>
          <w:bCs/>
          <w:sz w:val="32"/>
        </w:rPr>
      </w:pPr>
    </w:p>
    <w:p w14:paraId="04B9D05A">
      <w:pPr>
        <w:spacing w:line="300" w:lineRule="auto"/>
        <w:rPr>
          <w:rFonts w:hint="default" w:ascii="Times New Roman" w:hAnsi="Times New Roman" w:cs="Times New Roman"/>
          <w:b/>
          <w:bCs/>
          <w:sz w:val="32"/>
        </w:rPr>
      </w:pPr>
    </w:p>
    <w:p w14:paraId="4CF49C88">
      <w:pPr>
        <w:spacing w:line="300" w:lineRule="auto"/>
        <w:rPr>
          <w:rFonts w:hint="default" w:ascii="Times New Roman" w:hAnsi="Times New Roman" w:cs="Times New Roman"/>
          <w:b/>
          <w:bCs/>
          <w:sz w:val="32"/>
        </w:rPr>
      </w:pPr>
    </w:p>
    <w:p w14:paraId="02A3E899">
      <w:pPr>
        <w:spacing w:line="300" w:lineRule="auto"/>
        <w:rPr>
          <w:rFonts w:hint="default" w:ascii="Times New Roman" w:hAnsi="Times New Roman" w:cs="Times New Roman"/>
          <w:b/>
          <w:bCs/>
          <w:sz w:val="32"/>
        </w:rPr>
      </w:pPr>
    </w:p>
    <w:p w14:paraId="336866EB">
      <w:pPr>
        <w:spacing w:line="300" w:lineRule="auto"/>
        <w:jc w:val="center"/>
        <w:rPr>
          <w:rFonts w:hint="default" w:ascii="Times New Roman" w:hAnsi="Times New Roman" w:eastAsia="宋体" w:cs="Times New Roman"/>
          <w:b/>
          <w:bCs/>
          <w:sz w:val="32"/>
          <w:lang w:val="en-US" w:eastAsia="zh-CN"/>
        </w:rPr>
      </w:pPr>
      <w:r>
        <w:rPr>
          <w:rFonts w:hint="default" w:ascii="Times New Roman" w:hAnsi="Times New Roman" w:cs="Times New Roman"/>
          <w:b/>
          <w:bCs/>
          <w:sz w:val="32"/>
        </w:rPr>
        <w:t>2026.0</w:t>
      </w:r>
      <w:r>
        <w:rPr>
          <w:rFonts w:hint="default" w:ascii="Times New Roman" w:hAnsi="Times New Roman" w:cs="Times New Roman"/>
          <w:b/>
          <w:bCs/>
          <w:sz w:val="32"/>
          <w:lang w:val="en-US" w:eastAsia="zh-CN"/>
        </w:rPr>
        <w:t>8</w:t>
      </w:r>
      <w:r>
        <w:rPr>
          <w:rFonts w:hint="default" w:ascii="Times New Roman" w:hAnsi="Times New Roman" w:cs="Times New Roman"/>
          <w:b/>
          <w:bCs/>
          <w:sz w:val="32"/>
        </w:rPr>
        <w:t>.</w:t>
      </w:r>
      <w:r>
        <w:rPr>
          <w:rFonts w:hint="default" w:ascii="Times New Roman" w:hAnsi="Times New Roman" w:cs="Times New Roman"/>
          <w:b/>
          <w:bCs/>
          <w:sz w:val="32"/>
          <w:lang w:val="en-US" w:eastAsia="zh-CN"/>
        </w:rPr>
        <w:t>05</w:t>
      </w:r>
    </w:p>
    <w:p w14:paraId="00EEDE51">
      <w:pPr>
        <w:spacing w:line="300" w:lineRule="auto"/>
        <w:rPr>
          <w:rFonts w:hint="default" w:ascii="Times New Roman" w:hAnsi="Times New Roman" w:cs="Times New Roman"/>
          <w:b/>
          <w:bCs/>
          <w:sz w:val="32"/>
        </w:rPr>
      </w:pPr>
    </w:p>
    <w:p w14:paraId="678AA3BB">
      <w:pPr>
        <w:keepNext w:val="0"/>
        <w:keepLines w:val="0"/>
        <w:pageBreakBefore w:val="0"/>
        <w:widowControl w:val="0"/>
        <w:kinsoku/>
        <w:wordWrap/>
        <w:overflowPunct/>
        <w:topLinePunct w:val="0"/>
        <w:autoSpaceDE/>
        <w:autoSpaceDN/>
        <w:bidi w:val="0"/>
        <w:adjustRightInd w:val="0"/>
        <w:snapToGrid w:val="0"/>
        <w:spacing w:before="313" w:beforeLines="100" w:after="157" w:afterLines="50" w:line="288" w:lineRule="auto"/>
        <w:jc w:val="center"/>
        <w:textAlignment w:val="auto"/>
        <w:rPr>
          <w:rFonts w:hint="default" w:ascii="Times New Roman" w:hAnsi="Times New Roman" w:cs="Times New Roman"/>
        </w:rPr>
      </w:pPr>
      <w:r>
        <w:rPr>
          <w:rFonts w:hint="default" w:ascii="Times New Roman" w:hAnsi="Times New Roman" w:cs="Times New Roman"/>
        </w:rPr>
        <w:br w:type="page"/>
      </w:r>
    </w:p>
    <w:p w14:paraId="1FF01747">
      <w:pPr>
        <w:keepNext w:val="0"/>
        <w:keepLines w:val="0"/>
        <w:pageBreakBefore w:val="0"/>
        <w:widowControl w:val="0"/>
        <w:kinsoku/>
        <w:wordWrap/>
        <w:overflowPunct/>
        <w:topLinePunct w:val="0"/>
        <w:autoSpaceDE/>
        <w:autoSpaceDN/>
        <w:bidi w:val="0"/>
        <w:adjustRightInd w:val="0"/>
        <w:snapToGrid w:val="0"/>
        <w:spacing w:before="313" w:beforeLines="100" w:after="157" w:afterLines="50" w:line="240" w:lineRule="auto"/>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自动反应量热仪</w:t>
      </w:r>
      <w:r>
        <w:rPr>
          <w:rFonts w:hint="default" w:ascii="Times New Roman" w:hAnsi="Times New Roman" w:eastAsia="黑体" w:cs="Times New Roman"/>
          <w:sz w:val="28"/>
          <w:szCs w:val="28"/>
          <w:lang w:eastAsia="zh-CN"/>
        </w:rPr>
        <w:t>质量示值</w:t>
      </w:r>
      <w:r>
        <w:rPr>
          <w:rFonts w:hint="default" w:ascii="Times New Roman" w:hAnsi="Times New Roman" w:eastAsia="黑体" w:cs="Times New Roman"/>
          <w:sz w:val="28"/>
          <w:szCs w:val="28"/>
        </w:rPr>
        <w:t>误差校准结果不确定度评定</w:t>
      </w:r>
    </w:p>
    <w:p w14:paraId="684EB65F">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eastAsia="宋体" w:cs="Times New Roman"/>
          <w:color w:val="auto"/>
          <w:sz w:val="24"/>
          <w:szCs w:val="24"/>
          <w:lang w:val="en-US" w:eastAsia="zh-CN"/>
        </w:rPr>
      </w:pPr>
      <w:bookmarkStart w:id="0" w:name="_Toc120005596"/>
      <w:bookmarkStart w:id="1" w:name="_Toc9810"/>
      <w:bookmarkStart w:id="2" w:name="_Toc29920"/>
      <w:bookmarkStart w:id="3" w:name="_Toc14806"/>
      <w:bookmarkStart w:id="4" w:name="_Toc12427"/>
      <w:bookmarkStart w:id="5" w:name="_Toc134121133"/>
      <w:r>
        <w:rPr>
          <w:rFonts w:hint="default" w:ascii="Times New Roman" w:hAnsi="Times New Roman" w:eastAsia="宋体" w:cs="Times New Roman"/>
          <w:color w:val="auto"/>
          <w:sz w:val="24"/>
          <w:szCs w:val="24"/>
          <w:lang w:val="en-US" w:eastAsia="zh-CN"/>
        </w:rPr>
        <w:t>1  质量示值误差的校准不确定度评定示例</w:t>
      </w:r>
    </w:p>
    <w:p w14:paraId="1BD0662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 xml:space="preserve">1.1  </w:t>
      </w:r>
      <w:r>
        <w:rPr>
          <w:rFonts w:hint="default" w:ascii="Times New Roman" w:hAnsi="Times New Roman" w:cs="Times New Roman"/>
          <w:color w:val="auto"/>
          <w:sz w:val="24"/>
          <w:szCs w:val="24"/>
          <w:lang w:val="en-US" w:eastAsia="zh-CN"/>
        </w:rPr>
        <w:t>测量方法</w:t>
      </w:r>
    </w:p>
    <w:p w14:paraId="55E3713C">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lang w:val="en-US" w:eastAsia="zh-CN"/>
        </w:rPr>
        <w:t>采用M</w:t>
      </w:r>
      <w:r>
        <w:rPr>
          <w:rFonts w:hint="default" w:ascii="Times New Roman" w:hAnsi="Times New Roman" w:cs="Times New Roman"/>
          <w:color w:val="auto"/>
          <w:sz w:val="24"/>
          <w:szCs w:val="24"/>
          <w:vertAlign w:val="subscript"/>
          <w:lang w:val="en-US" w:eastAsia="zh-CN"/>
        </w:rPr>
        <w:t>1</w:t>
      </w:r>
      <w:r>
        <w:rPr>
          <w:rFonts w:hint="default" w:ascii="Times New Roman" w:hAnsi="Times New Roman" w:cs="Times New Roman"/>
          <w:color w:val="auto"/>
          <w:sz w:val="24"/>
          <w:szCs w:val="24"/>
          <w:vertAlign w:val="baseline"/>
          <w:lang w:val="en-US" w:eastAsia="zh-CN"/>
        </w:rPr>
        <w:t>等级砝码进行校准。将被校仪器的称重台调至水平并开机预热稳定后，置零。按照规范第7.1条规定，分别将标称值为50g、100g、200g、500g和1000g的砝码逐级加载于称重台上，再逐级卸载，分别记录加载和卸载时称重台的示值，质量测量值</w:t>
      </w:r>
      <m:oMath>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oMath>
      <w:r>
        <w:rPr>
          <w:rFonts w:hint="default" w:ascii="Times New Roman" w:hAnsi="Times New Roman" w:cs="Times New Roman"/>
          <w:i w:val="0"/>
          <w:color w:val="auto"/>
          <w:sz w:val="24"/>
          <w:szCs w:val="24"/>
          <w:vertAlign w:val="baseline"/>
          <w:lang w:val="en-US" w:eastAsia="zh-CN"/>
        </w:rPr>
        <w:t>和</w:t>
      </w:r>
      <m:oMath>
        <m:sSubSup>
          <m:sSubSupPr>
            <m:ctrlPr>
              <w:rPr>
                <w:rFonts w:hint="default" w:ascii="Cambria Math" w:hAnsi="Cambria Math" w:cs="Times New Roman"/>
                <w:i/>
                <w:color w:val="auto"/>
                <w:sz w:val="24"/>
                <w:szCs w:val="24"/>
                <w:vertAlign w:val="baseline"/>
                <w:lang w:val="en-US"/>
              </w:rPr>
            </m:ctrlPr>
          </m:sSubSup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up>
            <m:r>
              <m:rPr>
                <m:nor/>
                <m:sty m:val="p"/>
              </m:rPr>
              <w:rPr>
                <w:rFonts w:hint="default" w:ascii="Times New Roman" w:hAnsi="Times New Roman" w:cs="Times New Roman"/>
                <w:b w:val="0"/>
                <w:i w:val="0"/>
                <w:color w:val="auto"/>
                <w:sz w:val="24"/>
                <w:szCs w:val="24"/>
                <w:vertAlign w:val="baseline"/>
                <w:lang w:val="en-US" w:eastAsia="zh-CN"/>
              </w:rPr>
              <m:t>’</m:t>
            </m:r>
            <m:ctrlPr>
              <w:rPr>
                <w:rFonts w:hint="default" w:ascii="Cambria Math" w:hAnsi="Cambria Math" w:cs="Times New Roman"/>
                <w:i/>
                <w:color w:val="auto"/>
                <w:sz w:val="24"/>
                <w:szCs w:val="24"/>
                <w:vertAlign w:val="baseline"/>
                <w:lang w:val="en-US"/>
              </w:rPr>
            </m:ctrlPr>
          </m:sup>
        </m:sSubSup>
      </m:oMath>
      <w:r>
        <w:rPr>
          <w:rFonts w:hint="default" w:ascii="Times New Roman" w:hAnsi="Times New Roman" w:cs="Times New Roman"/>
          <w:i w:val="0"/>
          <w:color w:val="auto"/>
          <w:sz w:val="24"/>
          <w:szCs w:val="24"/>
          <w:vertAlign w:val="baseline"/>
          <w:lang w:val="en-US" w:eastAsia="zh-CN"/>
        </w:rPr>
        <w:t>，计算出质量测量示值误差</w:t>
      </w:r>
      <m:oMath>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oMath>
      <w:r>
        <w:rPr>
          <w:rFonts w:hint="default" w:ascii="Times New Roman" w:hAnsi="Times New Roman" w:cs="Times New Roman"/>
          <w:i w:val="0"/>
          <w:color w:val="auto"/>
          <w:sz w:val="24"/>
          <w:szCs w:val="24"/>
          <w:vertAlign w:val="baseline"/>
          <w:lang w:val="en-US" w:eastAsia="zh-CN"/>
        </w:rPr>
        <w:t>，</w:t>
      </w:r>
      <w:r>
        <w:rPr>
          <w:rFonts w:hint="default" w:ascii="Times New Roman" w:hAnsi="Times New Roman" w:cs="Times New Roman"/>
          <w:color w:val="auto"/>
          <w:sz w:val="24"/>
          <w:szCs w:val="24"/>
          <w:vertAlign w:val="baseline"/>
          <w:lang w:val="en-US" w:eastAsia="zh-CN"/>
        </w:rPr>
        <w:t>每次加载前均重新置零。</w:t>
      </w:r>
    </w:p>
    <w:p w14:paraId="4241A19F">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以200g砝码为例：将200g砝码放置在称重台上，稳定后记录质量测量值，重复测量6次，每次加载前置零。</w:t>
      </w:r>
    </w:p>
    <w:p w14:paraId="41B120A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1.2  测量模型和不确定度传播公式</w:t>
      </w:r>
    </w:p>
    <w:p w14:paraId="70B42DD0">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color w:val="auto"/>
          <w:sz w:val="24"/>
          <w:szCs w:val="24"/>
          <w:lang w:val="en-US" w:eastAsia="zh-CN"/>
        </w:rPr>
        <w:t>质量的示值误差</w:t>
      </w:r>
      <m:oMath>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oMath>
      <w:r>
        <w:rPr>
          <w:rFonts w:hint="default" w:ascii="Times New Roman" w:hAnsi="Times New Roman" w:cs="Times New Roman"/>
          <w:i w:val="0"/>
          <w:color w:val="auto"/>
          <w:sz w:val="24"/>
          <w:szCs w:val="24"/>
          <w:vertAlign w:val="baseline"/>
          <w:lang w:val="en-US" w:eastAsia="zh-CN"/>
        </w:rPr>
        <w:t>，可按照式（A.1）进行计算。</w:t>
      </w:r>
    </w:p>
    <w:p w14:paraId="4E00FC7B">
      <w:pPr>
        <w:keepNext w:val="0"/>
        <w:keepLines w:val="0"/>
        <w:pageBreakBefore w:val="0"/>
        <w:widowControl w:val="0"/>
        <w:kinsoku/>
        <w:wordWrap/>
        <w:overflowPunct/>
        <w:topLinePunct w:val="0"/>
        <w:autoSpaceDE/>
        <w:autoSpaceDN/>
        <w:bidi w:val="0"/>
        <w:adjustRightInd w:val="0"/>
        <w:snapToGrid w:val="0"/>
        <w:spacing w:line="288" w:lineRule="auto"/>
        <w:ind w:firstLine="560"/>
        <w:jc w:val="center"/>
        <w:textAlignment w:val="auto"/>
        <w:rPr>
          <w:rFonts w:hint="default" w:ascii="Times New Roman" w:hAnsi="Times New Roman" w:eastAsia="宋体"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 xml:space="preserve">                    </w:t>
      </w:r>
      <m:oMath>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r>
          <m:rPr>
            <m:nor/>
            <m:sty m:val="p"/>
          </m:rPr>
          <w:rPr>
            <w:rFonts w:hint="default" w:ascii="Times New Roman" w:hAnsi="Times New Roman" w:cs="Times New Roman"/>
            <w:b w:val="0"/>
            <w:i w:val="0"/>
            <w:color w:val="auto"/>
            <w:sz w:val="24"/>
            <w:szCs w:val="24"/>
            <w:vertAlign w:val="baseline"/>
            <w:lang w:val="en-US" w:eastAsia="zh-CN"/>
          </w:rPr>
          <m:t>=</m:t>
        </m:r>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r>
          <m:rPr>
            <m:nor/>
            <m:sty m:val="p"/>
          </m:rPr>
          <w:rPr>
            <w:rFonts w:hint="default" w:ascii="Times New Roman" w:hAnsi="Times New Roman" w:cs="Times New Roman"/>
            <w:b w:val="0"/>
            <w:i w:val="0"/>
            <w:color w:val="auto"/>
            <w:sz w:val="24"/>
            <w:szCs w:val="24"/>
            <w:vertAlign w:val="baseline"/>
            <w:lang w:val="en-US" w:eastAsia="zh-CN"/>
          </w:rPr>
          <m:t>−</m:t>
        </m:r>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oMath>
      <w:r>
        <w:rPr>
          <w:rFonts w:hint="default" w:ascii="Times New Roman" w:hAnsi="Times New Roman" w:cs="Times New Roman"/>
          <w:i w:val="0"/>
          <w:color w:val="auto"/>
          <w:sz w:val="24"/>
          <w:szCs w:val="24"/>
          <w:vertAlign w:val="baseline"/>
          <w:lang w:val="en-US" w:eastAsia="zh-CN"/>
        </w:rPr>
        <w:t xml:space="preserve">               （A.1）</w:t>
      </w:r>
    </w:p>
    <w:p w14:paraId="6419F369">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式中：</w:t>
      </w:r>
    </w:p>
    <w:p w14:paraId="66004D8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m:oMath>
        <m:r>
          <m:rPr>
            <m:nor/>
            <m:sty m:val="p"/>
          </m:rPr>
          <w:rPr>
            <w:rFonts w:hint="default" w:ascii="Times New Roman" w:hAnsi="Times New Roman" w:cs="Times New Roman"/>
            <w:b w:val="0"/>
            <w:i w:val="0"/>
            <w:color w:val="auto"/>
            <w:sz w:val="24"/>
            <w:szCs w:val="24"/>
            <w:vertAlign w:val="baseline"/>
            <w:lang w:val="en-US" w:eastAsia="zh-CN"/>
          </w:rPr>
          <m:t xml:space="preserve">      </m:t>
        </m:r>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oMath>
      <w:r>
        <w:rPr>
          <w:rFonts w:hint="default" w:ascii="Times New Roman" w:hAnsi="Times New Roman" w:cs="Times New Roman"/>
          <w:i w:val="0"/>
          <w:color w:val="auto"/>
          <w:sz w:val="24"/>
          <w:szCs w:val="24"/>
          <w:vertAlign w:val="baseline"/>
          <w:lang w:val="en-US" w:eastAsia="zh-CN"/>
        </w:rPr>
        <w:t>——第 i 次加载和卸下载荷过程中质量测量值的算术平均值，g；</w:t>
      </w:r>
    </w:p>
    <w:p w14:paraId="752E793C">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 xml:space="preserve">    </w:t>
      </w:r>
      <m:oMath>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oMath>
      <w:r>
        <w:rPr>
          <w:rFonts w:hint="default" w:ascii="Times New Roman" w:hAnsi="Times New Roman" w:cs="Times New Roman"/>
          <w:i w:val="0"/>
          <w:color w:val="auto"/>
          <w:sz w:val="24"/>
          <w:szCs w:val="24"/>
          <w:vertAlign w:val="baseline"/>
          <w:lang w:val="en-US" w:eastAsia="zh-CN"/>
        </w:rPr>
        <w:t>——第 i 次测量载荷的总质量，g。</w:t>
      </w:r>
    </w:p>
    <w:p w14:paraId="003394D2">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各输入量彼此独立不相关，因此示值误差的合成标准不确定度按式（A.2）计算。</w:t>
      </w:r>
    </w:p>
    <w:p w14:paraId="29A1212D">
      <w:pPr>
        <w:keepNext w:val="0"/>
        <w:keepLines w:val="0"/>
        <w:pageBreakBefore w:val="0"/>
        <w:widowControl w:val="0"/>
        <w:kinsoku/>
        <w:wordWrap/>
        <w:overflowPunct/>
        <w:topLinePunct w:val="0"/>
        <w:autoSpaceDE/>
        <w:autoSpaceDN/>
        <w:bidi w:val="0"/>
        <w:adjustRightInd w:val="0"/>
        <w:snapToGrid w:val="0"/>
        <w:spacing w:line="288" w:lineRule="auto"/>
        <w:ind w:firstLine="560"/>
        <w:jc w:val="center"/>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 xml:space="preserve">         </w:t>
      </w:r>
      <m:oMath>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u</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rPr>
            </m:ctrlPr>
          </m:sub>
        </m:sSub>
        <m:d>
          <m:dPr>
            <m:ctrlPr>
              <w:rPr>
                <w:rFonts w:hint="default" w:ascii="Cambria Math" w:hAnsi="Cambria Math" w:cs="Times New Roman"/>
                <w:i/>
                <w:color w:val="auto"/>
                <w:sz w:val="24"/>
                <w:szCs w:val="24"/>
                <w:vertAlign w:val="baseline"/>
                <w:lang w:val="en-US"/>
              </w:rPr>
            </m:ctrlPr>
          </m:dPr>
          <m:e>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ctrlPr>
              <w:rPr>
                <w:rFonts w:hint="default" w:ascii="Cambria Math" w:hAnsi="Cambria Math" w:cs="Times New Roman"/>
                <w:i/>
                <w:color w:val="auto"/>
                <w:sz w:val="24"/>
                <w:szCs w:val="24"/>
                <w:vertAlign w:val="baseline"/>
                <w:lang w:val="en-US"/>
              </w:rPr>
            </m:ctrlPr>
          </m:e>
        </m:d>
        <m:r>
          <m:rPr>
            <m:nor/>
            <m:sty m:val="p"/>
          </m:rPr>
          <w:rPr>
            <w:rFonts w:hint="default" w:ascii="Times New Roman" w:hAnsi="Times New Roman" w:cs="Times New Roman"/>
            <w:b w:val="0"/>
            <w:i w:val="0"/>
            <w:color w:val="auto"/>
            <w:sz w:val="24"/>
            <w:szCs w:val="24"/>
            <w:vertAlign w:val="baseline"/>
            <w:lang w:val="en-US" w:eastAsia="zh-CN"/>
          </w:rPr>
          <m:t>=</m:t>
        </m:r>
        <m:rad>
          <m:radPr>
            <m:degHide m:val="1"/>
            <m:ctrlPr>
              <w:rPr>
                <w:rFonts w:hint="default" w:ascii="Cambria Math" w:hAnsi="Cambria Math" w:cs="Times New Roman"/>
                <w:i/>
                <w:color w:val="auto"/>
                <w:sz w:val="24"/>
                <w:szCs w:val="24"/>
                <w:vertAlign w:val="baseline"/>
                <w:lang w:val="en-US" w:eastAsia="zh-CN"/>
              </w:rPr>
            </m:ctrlPr>
          </m:radPr>
          <m:deg>
            <m:ctrlPr>
              <w:rPr>
                <w:rFonts w:hint="default" w:ascii="Cambria Math" w:hAnsi="Cambria Math" w:cs="Times New Roman"/>
                <w:i/>
                <w:color w:val="auto"/>
                <w:sz w:val="24"/>
                <w:szCs w:val="24"/>
                <w:vertAlign w:val="baseline"/>
                <w:lang w:val="en-US" w:eastAsia="zh-CN"/>
              </w:rPr>
            </m:ctrlPr>
          </m:deg>
          <m:e>
            <m:sSubSup>
              <m:sSubSupPr>
                <m:ctrlPr>
                  <w:rPr>
                    <w:rFonts w:hint="default" w:ascii="Cambria Math" w:hAnsi="Cambria Math" w:cs="Times New Roman"/>
                    <w:i/>
                    <w:color w:val="auto"/>
                    <w:sz w:val="24"/>
                    <w:szCs w:val="24"/>
                    <w:vertAlign w:val="baseline"/>
                    <w:lang w:val="en-US" w:eastAsia="zh-CN"/>
                  </w:rPr>
                </m:ctrlPr>
              </m:sSubSupPr>
              <m:e>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eastAsia="zh-CN"/>
                  </w:rPr>
                </m:ctrlPr>
              </m:e>
              <m:sub>
                <m:r>
                  <m:rPr>
                    <m:nor/>
                    <m:sty m:val="p"/>
                  </m:rPr>
                  <w:rPr>
                    <w:rFonts w:hint="default" w:ascii="Times New Roman" w:hAnsi="Times New Roman" w:cs="Times New Roman"/>
                    <w:b w:val="0"/>
                    <w:i w:val="0"/>
                    <w:color w:val="auto"/>
                    <w:sz w:val="24"/>
                    <w:szCs w:val="24"/>
                    <w:vertAlign w:val="baseline"/>
                    <w:lang w:val="en-US" w:eastAsia="zh-CN"/>
                  </w:rPr>
                  <m:t>1</m:t>
                </m:r>
                <m:ctrlPr>
                  <w:rPr>
                    <w:rFonts w:hint="default" w:ascii="Cambria Math" w:hAnsi="Cambria Math" w:cs="Times New Roman"/>
                    <w:i/>
                    <w:color w:val="auto"/>
                    <w:sz w:val="24"/>
                    <w:szCs w:val="24"/>
                    <w:vertAlign w:val="baseline"/>
                    <w:lang w:val="en-US" w:eastAsia="zh-CN"/>
                  </w:rPr>
                </m:ctrlPr>
              </m:sub>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bSup>
            <m:r>
              <m:rPr>
                <m:nor/>
              </m:rPr>
              <w:rPr>
                <w:rFonts w:hint="default" w:ascii="Times New Roman" w:hAnsi="Times New Roman" w:cs="Times New Roman"/>
                <w:i/>
                <w:color w:val="auto"/>
                <w:sz w:val="24"/>
                <w:szCs w:val="24"/>
                <w:vertAlign w:val="baseline"/>
                <w:lang w:val="en-US" w:eastAsia="zh-CN"/>
              </w:rPr>
              <m:t>u</m:t>
            </m:r>
            <m:sSup>
              <m:sSupPr>
                <m:ctrlPr>
                  <w:rPr>
                    <w:rFonts w:hint="default" w:ascii="Cambria Math" w:hAnsi="Cambria Math" w:cs="Times New Roman"/>
                    <w:i/>
                    <w:color w:val="auto"/>
                    <w:sz w:val="24"/>
                    <w:szCs w:val="24"/>
                    <w:vertAlign w:val="baseline"/>
                    <w:lang w:val="en-US" w:eastAsia="zh-CN"/>
                  </w:rPr>
                </m:ctrlPr>
              </m:sSupPr>
              <m:e>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r>
              <m:rPr>
                <m:nor/>
                <m:sty m:val="p"/>
              </m:rPr>
              <w:rPr>
                <w:rFonts w:hint="default" w:ascii="Times New Roman" w:hAnsi="Times New Roman" w:cs="Times New Roman"/>
                <w:b w:val="0"/>
                <w:i w:val="0"/>
                <w:color w:val="auto"/>
                <w:sz w:val="24"/>
                <w:szCs w:val="24"/>
                <w:vertAlign w:val="baseline"/>
                <w:lang w:val="en-US" w:eastAsia="zh-CN"/>
              </w:rPr>
              <m:t>+</m:t>
            </m:r>
            <m:sSubSup>
              <m:sSubSupPr>
                <m:ctrlPr>
                  <w:rPr>
                    <w:rFonts w:hint="default" w:ascii="Cambria Math" w:hAnsi="Cambria Math" w:cs="Times New Roman"/>
                    <w:i/>
                    <w:color w:val="auto"/>
                    <w:sz w:val="24"/>
                    <w:szCs w:val="24"/>
                    <w:vertAlign w:val="baseline"/>
                    <w:lang w:val="en-US" w:eastAsia="zh-CN"/>
                  </w:rPr>
                </m:ctrlPr>
              </m:sSubSupPr>
              <m:e>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eastAsia="zh-CN"/>
                  </w:rPr>
                </m:ctrlPr>
              </m:e>
              <m:sub>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b>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bSup>
            <m:r>
              <m:rPr>
                <m:nor/>
              </m:rPr>
              <w:rPr>
                <w:rFonts w:hint="default" w:ascii="Times New Roman" w:hAnsi="Times New Roman" w:cs="Times New Roman"/>
                <w:i/>
                <w:color w:val="auto"/>
                <w:sz w:val="24"/>
                <w:szCs w:val="24"/>
                <w:vertAlign w:val="baseline"/>
                <w:lang w:val="en-US" w:eastAsia="zh-CN"/>
              </w:rPr>
              <m:t>u</m:t>
            </m:r>
            <m:sSup>
              <m:sSupPr>
                <m:ctrlPr>
                  <w:rPr>
                    <w:rFonts w:hint="default" w:ascii="Cambria Math" w:hAnsi="Cambria Math" w:cs="Times New Roman"/>
                    <w:i/>
                    <w:color w:val="auto"/>
                    <w:sz w:val="24"/>
                    <w:szCs w:val="24"/>
                    <w:vertAlign w:val="baseline"/>
                    <w:lang w:val="en-US" w:eastAsia="zh-CN"/>
                  </w:rPr>
                </m:ctrlPr>
              </m:sSupPr>
              <m:e>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ctrlPr>
              <w:rPr>
                <w:rFonts w:hint="default" w:ascii="Cambria Math" w:hAnsi="Cambria Math" w:cs="Times New Roman"/>
                <w:i/>
                <w:color w:val="auto"/>
                <w:sz w:val="24"/>
                <w:szCs w:val="24"/>
                <w:vertAlign w:val="baseline"/>
                <w:lang w:val="en-US" w:eastAsia="zh-CN"/>
              </w:rPr>
            </m:ctrlPr>
          </m:e>
        </m:rad>
      </m:oMath>
      <w:r>
        <w:rPr>
          <w:rFonts w:hint="default" w:ascii="Times New Roman" w:hAnsi="Times New Roman" w:cs="Times New Roman"/>
          <w:i w:val="0"/>
          <w:color w:val="auto"/>
          <w:sz w:val="24"/>
          <w:szCs w:val="24"/>
          <w:vertAlign w:val="baseline"/>
          <w:lang w:val="en-US" w:eastAsia="zh-CN"/>
        </w:rPr>
        <w:t xml:space="preserve">           (A.2)</w:t>
      </w:r>
    </w:p>
    <w:p w14:paraId="4623416E">
      <w:pPr>
        <w:keepNext w:val="0"/>
        <w:keepLines w:val="0"/>
        <w:pageBreakBefore w:val="0"/>
        <w:widowControl w:val="0"/>
        <w:kinsoku/>
        <w:wordWrap/>
        <w:overflowPunct/>
        <w:topLinePunct w:val="0"/>
        <w:autoSpaceDE/>
        <w:autoSpaceDN/>
        <w:bidi w:val="0"/>
        <w:adjustRightInd w:val="0"/>
        <w:snapToGrid w:val="0"/>
        <w:spacing w:line="288" w:lineRule="auto"/>
        <w:ind w:firstLine="56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其中灵敏系数：</w:t>
      </w:r>
      <m:oMath>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rPr>
            </m:ctrlPr>
          </m:e>
          <m:sub>
            <m:r>
              <m:rPr>
                <m:nor/>
                <m:sty m:val="p"/>
              </m:rPr>
              <w:rPr>
                <w:rFonts w:hint="default" w:ascii="Times New Roman" w:hAnsi="Times New Roman" w:cs="Times New Roman"/>
                <w:b w:val="0"/>
                <w:i w:val="0"/>
                <w:color w:val="auto"/>
                <w:sz w:val="24"/>
                <w:szCs w:val="24"/>
                <w:vertAlign w:val="baseline"/>
                <w:lang w:val="en-US" w:eastAsia="zh-CN"/>
              </w:rPr>
              <m:t>1</m:t>
            </m:r>
            <m:ctrlPr>
              <w:rPr>
                <w:rFonts w:hint="default" w:ascii="Cambria Math" w:hAnsi="Cambria Math" w:cs="Times New Roman"/>
                <w:i/>
                <w:color w:val="auto"/>
                <w:sz w:val="24"/>
                <w:szCs w:val="24"/>
                <w:vertAlign w:val="baseline"/>
                <w:lang w:val="en-US"/>
              </w:rPr>
            </m:ctrlPr>
          </m:sub>
        </m:sSub>
        <m:r>
          <m:rPr>
            <m:nor/>
            <m:sty m:val="p"/>
          </m:rPr>
          <w:rPr>
            <w:rFonts w:hint="default" w:ascii="Times New Roman" w:hAnsi="Times New Roman" w:cs="Times New Roman"/>
            <w:b w:val="0"/>
            <w:i w:val="0"/>
            <w:color w:val="auto"/>
            <w:sz w:val="24"/>
            <w:szCs w:val="24"/>
            <w:vertAlign w:val="baseline"/>
            <w:lang w:val="en-US" w:eastAsia="zh-CN"/>
          </w:rPr>
          <m:t>=1</m:t>
        </m:r>
      </m:oMath>
      <w:r>
        <w:rPr>
          <w:rFonts w:hint="default" w:ascii="Times New Roman" w:hAnsi="Times New Roman" w:cs="Times New Roman"/>
          <w:i w:val="0"/>
          <w:color w:val="auto"/>
          <w:sz w:val="24"/>
          <w:szCs w:val="24"/>
          <w:vertAlign w:val="baseline"/>
          <w:lang w:val="en-US" w:eastAsia="zh-CN"/>
        </w:rPr>
        <w:t>，</w:t>
      </w:r>
      <m:oMath>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rPr>
            </m:ctrlPr>
          </m:e>
          <m:sub>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rPr>
            </m:ctrlPr>
          </m:sub>
        </m:sSub>
        <m:r>
          <m:rPr>
            <m:nor/>
            <m:sty m:val="p"/>
          </m:rPr>
          <w:rPr>
            <w:rFonts w:hint="default" w:ascii="Times New Roman" w:hAnsi="Times New Roman" w:cs="Times New Roman"/>
            <w:b w:val="0"/>
            <w:i w:val="0"/>
            <w:color w:val="auto"/>
            <w:sz w:val="24"/>
            <w:szCs w:val="24"/>
            <w:vertAlign w:val="baseline"/>
            <w:lang w:val="en-US" w:eastAsia="zh-CN"/>
          </w:rPr>
          <m:t>=−1</m:t>
        </m:r>
      </m:oMath>
      <w:r>
        <w:rPr>
          <w:rFonts w:hint="default" w:ascii="Times New Roman" w:hAnsi="Times New Roman" w:cs="Times New Roman"/>
          <w:i w:val="0"/>
          <w:color w:val="auto"/>
          <w:sz w:val="24"/>
          <w:szCs w:val="24"/>
          <w:vertAlign w:val="baseline"/>
          <w:lang w:val="en-US" w:eastAsia="zh-CN"/>
        </w:rPr>
        <w:t>。</w:t>
      </w:r>
    </w:p>
    <w:p w14:paraId="1973D69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i w:val="0"/>
          <w:color w:val="auto"/>
          <w:sz w:val="24"/>
          <w:szCs w:val="24"/>
          <w:vertAlign w:val="baseline"/>
          <w:lang w:val="en-US" w:eastAsia="zh-CN"/>
        </w:rPr>
        <w:t>1.3  标准不确定度分量的计算</w:t>
      </w:r>
    </w:p>
    <w:p w14:paraId="7E028955">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1.3.1</w:t>
      </w:r>
      <w:r>
        <w:rPr>
          <w:rFonts w:hint="default"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测量重复性</w:t>
      </w:r>
      <w:r>
        <w:rPr>
          <w:rFonts w:hint="default" w:ascii="Times New Roman" w:hAnsi="Times New Roman" w:cs="Times New Roman"/>
          <w:color w:val="auto"/>
          <w:sz w:val="24"/>
          <w:szCs w:val="24"/>
          <w:lang w:val="en-US" w:eastAsia="zh-CN"/>
        </w:rPr>
        <w:t>引入</w:t>
      </w:r>
      <w:r>
        <w:rPr>
          <w:rFonts w:hint="default" w:ascii="Times New Roman" w:hAnsi="Times New Roman" w:eastAsia="宋体" w:cs="Times New Roman"/>
          <w:color w:val="auto"/>
          <w:sz w:val="24"/>
          <w:szCs w:val="24"/>
          <w:lang w:val="en-US" w:eastAsia="zh-CN"/>
        </w:rPr>
        <w:t>的标准不确定度分量</w:t>
      </w:r>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oMath>
    </w:p>
    <w:p w14:paraId="3B55D30B">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采用200g砝码重复测量6次，6次测量的示值分别为200.0</w:t>
      </w:r>
      <w:r>
        <w:rPr>
          <w:rFonts w:hint="default" w:ascii="Times New Roman" w:hAnsi="Times New Roman"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g、200.</w:t>
      </w:r>
      <w:r>
        <w:rPr>
          <w:rFonts w:hint="default" w:ascii="Times New Roman" w:hAnsi="Times New Roman" w:cs="Times New Roman"/>
          <w:color w:val="auto"/>
          <w:sz w:val="24"/>
          <w:szCs w:val="24"/>
          <w:lang w:val="en-US" w:eastAsia="zh-CN"/>
        </w:rPr>
        <w:t>03</w:t>
      </w:r>
      <w:r>
        <w:rPr>
          <w:rFonts w:hint="default" w:ascii="Times New Roman" w:hAnsi="Times New Roman" w:eastAsia="宋体" w:cs="Times New Roman"/>
          <w:color w:val="auto"/>
          <w:sz w:val="24"/>
          <w:szCs w:val="24"/>
          <w:lang w:val="en-US" w:eastAsia="zh-CN"/>
        </w:rPr>
        <w:t>g、200.</w:t>
      </w:r>
      <w:r>
        <w:rPr>
          <w:rFonts w:hint="default" w:ascii="Times New Roman" w:hAnsi="Times New Roman" w:cs="Times New Roman"/>
          <w:color w:val="auto"/>
          <w:sz w:val="24"/>
          <w:szCs w:val="24"/>
          <w:lang w:val="en-US" w:eastAsia="zh-CN"/>
        </w:rPr>
        <w:t>02</w:t>
      </w:r>
      <w:r>
        <w:rPr>
          <w:rFonts w:hint="default" w:ascii="Times New Roman" w:hAnsi="Times New Roman" w:eastAsia="宋体" w:cs="Times New Roman"/>
          <w:color w:val="auto"/>
          <w:sz w:val="24"/>
          <w:szCs w:val="24"/>
          <w:lang w:val="en-US" w:eastAsia="zh-CN"/>
        </w:rPr>
        <w:t>g、200.0</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g、200.</w:t>
      </w:r>
      <w:r>
        <w:rPr>
          <w:rFonts w:hint="default" w:ascii="Times New Roman" w:hAnsi="Times New Roman" w:cs="Times New Roman"/>
          <w:color w:val="auto"/>
          <w:sz w:val="24"/>
          <w:szCs w:val="24"/>
          <w:lang w:val="en-US" w:eastAsia="zh-CN"/>
        </w:rPr>
        <w:t>02</w:t>
      </w:r>
      <w:r>
        <w:rPr>
          <w:rFonts w:hint="default" w:ascii="Times New Roman" w:hAnsi="Times New Roman" w:eastAsia="宋体" w:cs="Times New Roman"/>
          <w:color w:val="auto"/>
          <w:sz w:val="24"/>
          <w:szCs w:val="24"/>
          <w:lang w:val="en-US" w:eastAsia="zh-CN"/>
        </w:rPr>
        <w:t>g、200.0</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g</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采用贝塞尔公式计算其单次实验标准差s=</w:t>
      </w:r>
      <w:r>
        <w:rPr>
          <w:rFonts w:hint="default" w:ascii="Times New Roman" w:hAnsi="Times New Roman" w:cs="Times New Roman"/>
          <w:color w:val="auto"/>
          <w:sz w:val="24"/>
          <w:szCs w:val="24"/>
          <w:lang w:val="en-US" w:eastAsia="zh-CN"/>
        </w:rPr>
        <w:t>0.01</w:t>
      </w:r>
      <w:r>
        <w:rPr>
          <w:rFonts w:hint="default" w:ascii="Times New Roman" w:hAnsi="Times New Roman" w:eastAsia="宋体" w:cs="Times New Roman"/>
          <w:color w:val="auto"/>
          <w:sz w:val="24"/>
          <w:szCs w:val="24"/>
          <w:lang w:val="en-US" w:eastAsia="zh-CN"/>
        </w:rPr>
        <w:t>g</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校准时采用</w:t>
      </w:r>
      <w:r>
        <w:rPr>
          <w:rFonts w:hint="default" w:ascii="Times New Roman" w:hAnsi="Times New Roman" w:cs="Times New Roman"/>
          <w:color w:val="auto"/>
          <w:sz w:val="24"/>
          <w:szCs w:val="24"/>
          <w:lang w:val="en-US" w:eastAsia="zh-CN"/>
        </w:rPr>
        <w:t>单</w:t>
      </w:r>
      <w:r>
        <w:rPr>
          <w:rFonts w:hint="default" w:ascii="Times New Roman" w:hAnsi="Times New Roman" w:eastAsia="宋体" w:cs="Times New Roman"/>
          <w:color w:val="auto"/>
          <w:sz w:val="24"/>
          <w:szCs w:val="24"/>
          <w:lang w:val="en-US" w:eastAsia="zh-CN"/>
        </w:rPr>
        <w:t>次测量结果，则测量重复性</w:t>
      </w:r>
      <w:r>
        <w:rPr>
          <w:rFonts w:hint="default" w:ascii="Times New Roman" w:hAnsi="Times New Roman" w:cs="Times New Roman"/>
          <w:color w:val="auto"/>
          <w:sz w:val="24"/>
          <w:szCs w:val="24"/>
          <w:lang w:val="en-US" w:eastAsia="zh-CN"/>
        </w:rPr>
        <w:t>引入</w:t>
      </w:r>
      <w:r>
        <w:rPr>
          <w:rFonts w:hint="default" w:ascii="Times New Roman" w:hAnsi="Times New Roman" w:eastAsia="宋体" w:cs="Times New Roman"/>
          <w:color w:val="auto"/>
          <w:sz w:val="24"/>
          <w:szCs w:val="24"/>
          <w:lang w:val="en-US" w:eastAsia="zh-CN"/>
        </w:rPr>
        <w:t>的标准不确定度分量为：</w:t>
      </w:r>
    </w:p>
    <w:p w14:paraId="2BB6503A">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m:oMathPara>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r>
            <m:rPr>
              <m:nor/>
              <m:sty m:val="p"/>
            </m:rPr>
            <w:rPr>
              <w:rFonts w:hint="default" w:ascii="Times New Roman" w:hAnsi="Times New Roman" w:cs="Times New Roman"/>
              <w:b w:val="0"/>
              <w:i w:val="0"/>
              <w:color w:val="auto"/>
              <w:sz w:val="24"/>
              <w:szCs w:val="24"/>
              <w:vertAlign w:val="baseline"/>
              <w:lang w:val="en-US" w:eastAsia="zh-CN"/>
            </w:rPr>
            <m:t>=</m:t>
          </m:r>
          <m:r>
            <m:rPr>
              <m:nor/>
            </m:rPr>
            <w:rPr>
              <w:rFonts w:hint="default" w:ascii="Times New Roman" w:hAnsi="Times New Roman" w:cs="Times New Roman"/>
              <w:i/>
              <w:color w:val="auto"/>
              <w:sz w:val="24"/>
              <w:szCs w:val="24"/>
              <w:vertAlign w:val="baseline"/>
              <w:lang w:val="en-US" w:eastAsia="zh-CN"/>
            </w:rPr>
            <m:t>s</m:t>
          </m:r>
          <m:r>
            <m:rPr>
              <m:nor/>
              <m:sty m:val="p"/>
            </m:rPr>
            <w:rPr>
              <w:rFonts w:hint="default" w:ascii="Times New Roman" w:hAnsi="Times New Roman" w:cs="Times New Roman"/>
              <w:b w:val="0"/>
              <w:i w:val="0"/>
              <w:color w:val="auto"/>
              <w:sz w:val="24"/>
              <w:szCs w:val="24"/>
              <w:vertAlign w:val="baseline"/>
              <w:lang w:val="en-US" w:eastAsia="zh-CN"/>
            </w:rPr>
            <m:t>=0.01</m:t>
          </m:r>
          <m:r>
            <m:rPr>
              <m:nor/>
            </m:rPr>
            <w:rPr>
              <w:rFonts w:hint="default" w:ascii="Times New Roman" w:hAnsi="Times New Roman" w:cs="Times New Roman"/>
              <w:i/>
              <w:color w:val="auto"/>
              <w:sz w:val="24"/>
              <w:szCs w:val="24"/>
              <w:vertAlign w:val="baseline"/>
              <w:lang w:val="en-US" w:eastAsia="zh-CN"/>
            </w:rPr>
            <m:t>g</m:t>
          </m:r>
        </m:oMath>
      </m:oMathPara>
    </w:p>
    <w:p w14:paraId="24C9620E">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1.3.2  砝码标称值误差引入的标准不确定度分量</w:t>
      </w:r>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oMath>
    </w:p>
    <w:p w14:paraId="6FC2696A">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以砝码总质量最大的700g为例进行评定，称重台上放置的为M₁等级的200g和500g砝码，组合砝码最大允许误差为各砝码最大允许误差之和。M₁等级的200g和500g砝码的最大允许误差的绝对值分别为10mg和25mg，700g砝码总的最大允许误差的绝对值为35mg，区间半宽度</w:t>
      </w:r>
      <m:oMath>
        <m:r>
          <m:rPr>
            <m:nor/>
          </m:rPr>
          <w:rPr>
            <w:rFonts w:hint="default" w:ascii="Times New Roman" w:hAnsi="Times New Roman" w:cs="Times New Roman"/>
            <w:i/>
            <w:color w:val="auto"/>
            <w:kern w:val="2"/>
            <w:sz w:val="24"/>
            <w:szCs w:val="24"/>
            <w:vertAlign w:val="baseline"/>
            <w:lang w:val="en-US" w:eastAsia="zh-CN" w:bidi="ar-SA"/>
          </w:rPr>
          <m:t>a</m:t>
        </m:r>
        <m:r>
          <m:rPr>
            <m:nor/>
            <m:sty m:val="p"/>
          </m:rPr>
          <w:rPr>
            <w:rFonts w:hint="default" w:ascii="Times New Roman" w:hAnsi="Times New Roman" w:cs="Times New Roman"/>
            <w:b w:val="0"/>
            <w:i w:val="0"/>
            <w:color w:val="auto"/>
            <w:kern w:val="2"/>
            <w:sz w:val="24"/>
            <w:szCs w:val="24"/>
            <w:vertAlign w:val="baseline"/>
            <w:lang w:val="en-US" w:eastAsia="zh-CN" w:bidi="ar-SA"/>
          </w:rPr>
          <m:t>=</m:t>
        </m:r>
        <m:r>
          <m:rPr>
            <m:nor/>
            <m:sty m:val="p"/>
          </m:rPr>
          <w:rPr>
            <w:rFonts w:hint="default" w:ascii="Times New Roman" w:hAnsi="Times New Roman" w:cs="Times New Roman"/>
            <w:b w:val="0"/>
            <w:i w:val="0"/>
            <w:color w:val="auto"/>
            <w:sz w:val="24"/>
            <w:szCs w:val="24"/>
            <w:vertAlign w:val="baseline"/>
            <w:lang w:val="en-US" w:eastAsia="zh-CN"/>
          </w:rPr>
          <m:t>35mg</m:t>
        </m:r>
      </m:oMath>
      <w:r>
        <w:rPr>
          <w:rFonts w:hint="default" w:ascii="Times New Roman" w:hAnsi="Times New Roman" w:cs="Times New Roman"/>
          <w:i w:val="0"/>
          <w:color w:val="auto"/>
          <w:sz w:val="24"/>
          <w:szCs w:val="24"/>
          <w:vertAlign w:val="baseline"/>
          <w:lang w:val="en-US" w:eastAsia="zh-CN"/>
        </w:rPr>
        <w:t>，按均匀分布考虑，</w:t>
      </w:r>
      <m:oMath>
        <m:r>
          <m:rPr>
            <m:nor/>
          </m:rPr>
          <w:rPr>
            <w:rFonts w:hint="default" w:ascii="Times New Roman" w:hAnsi="Times New Roman" w:cs="Times New Roman"/>
            <w:i/>
            <w:color w:val="auto"/>
            <w:kern w:val="2"/>
            <w:sz w:val="24"/>
            <w:szCs w:val="24"/>
            <w:vertAlign w:val="baseline"/>
            <w:lang w:val="en-US" w:eastAsia="zh-CN" w:bidi="ar-SA"/>
          </w:rPr>
          <m:t>k</m:t>
        </m:r>
        <m:r>
          <m:rPr>
            <m:nor/>
            <m:sty m:val="p"/>
          </m:rPr>
          <w:rPr>
            <w:rFonts w:hint="default" w:ascii="Times New Roman" w:hAnsi="Times New Roman" w:cs="Times New Roman"/>
            <w:b w:val="0"/>
            <w:i w:val="0"/>
            <w:color w:val="auto"/>
            <w:kern w:val="2"/>
            <w:sz w:val="24"/>
            <w:szCs w:val="24"/>
            <w:vertAlign w:val="baseline"/>
            <w:lang w:val="en-US" w:eastAsia="zh-CN" w:bidi="ar-SA"/>
          </w:rPr>
          <m:t>=</m:t>
        </m:r>
        <m:rad>
          <m:radPr>
            <m:degHide m:val="1"/>
            <m:ctrlPr>
              <w:rPr>
                <w:rFonts w:hint="default" w:ascii="Cambria Math" w:hAnsi="Cambria Math" w:cs="Times New Roman"/>
                <w:i/>
                <w:color w:val="auto"/>
                <w:kern w:val="2"/>
                <w:sz w:val="24"/>
                <w:szCs w:val="24"/>
                <w:vertAlign w:val="baseline"/>
                <w:lang w:val="en-US" w:eastAsia="zh-CN" w:bidi="ar-SA"/>
              </w:rPr>
            </m:ctrlPr>
          </m:radPr>
          <m:deg>
            <m:ctrlPr>
              <w:rPr>
                <w:rFonts w:hint="default" w:ascii="Cambria Math" w:hAnsi="Cambria Math" w:cs="Times New Roman"/>
                <w:i/>
                <w:color w:val="auto"/>
                <w:kern w:val="2"/>
                <w:sz w:val="24"/>
                <w:szCs w:val="24"/>
                <w:vertAlign w:val="baseline"/>
                <w:lang w:val="en-US" w:eastAsia="zh-CN" w:bidi="ar-SA"/>
              </w:rPr>
            </m:ctrlPr>
          </m:deg>
          <m:e>
            <m:r>
              <m:rPr>
                <m:nor/>
                <m:sty m:val="p"/>
              </m:rPr>
              <w:rPr>
                <w:rFonts w:hint="default" w:ascii="Times New Roman" w:hAnsi="Times New Roman" w:cs="Times New Roman"/>
                <w:b w:val="0"/>
                <w:i w:val="0"/>
                <w:color w:val="auto"/>
                <w:kern w:val="2"/>
                <w:sz w:val="24"/>
                <w:szCs w:val="24"/>
                <w:vertAlign w:val="baseline"/>
                <w:lang w:val="en-US" w:eastAsia="zh-CN" w:bidi="ar-SA"/>
              </w:rPr>
              <m:t>3</m:t>
            </m:r>
            <m:ctrlPr>
              <w:rPr>
                <w:rFonts w:hint="default" w:ascii="Cambria Math" w:hAnsi="Cambria Math" w:cs="Times New Roman"/>
                <w:i/>
                <w:color w:val="auto"/>
                <w:kern w:val="2"/>
                <w:sz w:val="24"/>
                <w:szCs w:val="24"/>
                <w:vertAlign w:val="baseline"/>
                <w:lang w:val="en-US" w:eastAsia="zh-CN" w:bidi="ar-SA"/>
              </w:rPr>
            </m:ctrlPr>
          </m:e>
        </m:rad>
      </m:oMath>
      <w:r>
        <w:rPr>
          <w:rFonts w:hint="default" w:ascii="Times New Roman" w:hAnsi="Times New Roman" w:cs="Times New Roman"/>
          <w:i w:val="0"/>
          <w:color w:val="auto"/>
          <w:sz w:val="24"/>
          <w:szCs w:val="24"/>
          <w:vertAlign w:val="baseline"/>
          <w:lang w:val="en-US" w:eastAsia="zh-CN"/>
        </w:rPr>
        <w:t>。砝码标称值误差引入的标准不确定度分量为：</w:t>
      </w:r>
    </w:p>
    <w:p w14:paraId="4041D922">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m:oMathPara>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r>
            <m:rPr>
              <m:nor/>
              <m:sty m:val="p"/>
            </m:rPr>
            <w:rPr>
              <w:rFonts w:hint="default" w:ascii="Times New Roman" w:hAnsi="Times New Roman" w:cs="Times New Roman"/>
              <w:b w:val="0"/>
              <w:i w:val="0"/>
              <w:color w:val="auto"/>
              <w:sz w:val="24"/>
              <w:szCs w:val="24"/>
              <w:vertAlign w:val="baseline"/>
              <w:lang w:val="en-US" w:eastAsia="zh-CN"/>
            </w:rPr>
            <m:t>=</m:t>
          </m:r>
          <m:f>
            <m:fPr>
              <m:ctrlPr>
                <w:rPr>
                  <w:rFonts w:hint="default" w:ascii="Cambria Math" w:hAnsi="Cambria Math" w:cs="Times New Roman"/>
                  <w:i/>
                  <w:color w:val="auto"/>
                  <w:sz w:val="24"/>
                  <w:szCs w:val="24"/>
                  <w:vertAlign w:val="baseline"/>
                  <w:lang w:val="en-US" w:eastAsia="zh-CN"/>
                </w:rPr>
              </m:ctrlPr>
            </m:fPr>
            <m:num>
              <m:r>
                <m:rPr>
                  <m:nor/>
                </m:rPr>
                <w:rPr>
                  <w:rFonts w:hint="default" w:ascii="Times New Roman" w:hAnsi="Times New Roman" w:cs="Times New Roman"/>
                  <w:i/>
                  <w:color w:val="auto"/>
                  <w:sz w:val="24"/>
                  <w:szCs w:val="24"/>
                  <w:vertAlign w:val="baseline"/>
                  <w:lang w:val="en-US" w:eastAsia="zh-CN"/>
                </w:rPr>
                <m:t>a</m:t>
              </m:r>
              <m:ctrlPr>
                <w:rPr>
                  <w:rFonts w:hint="default" w:ascii="Cambria Math" w:hAnsi="Cambria Math" w:cs="Times New Roman"/>
                  <w:i/>
                  <w:color w:val="auto"/>
                  <w:sz w:val="24"/>
                  <w:szCs w:val="24"/>
                  <w:vertAlign w:val="baseline"/>
                  <w:lang w:val="en-US" w:eastAsia="zh-CN"/>
                </w:rPr>
              </m:ctrlPr>
            </m:num>
            <m:den>
              <m:r>
                <m:rPr>
                  <m:nor/>
                </m:rPr>
                <w:rPr>
                  <w:rFonts w:hint="default" w:ascii="Times New Roman" w:hAnsi="Times New Roman" w:cs="Times New Roman"/>
                  <w:i/>
                  <w:color w:val="auto"/>
                  <w:sz w:val="24"/>
                  <w:szCs w:val="24"/>
                  <w:vertAlign w:val="baseline"/>
                  <w:lang w:val="en-US" w:eastAsia="zh-CN"/>
                </w:rPr>
                <m:t>k</m:t>
              </m:r>
              <m:ctrlPr>
                <w:rPr>
                  <w:rFonts w:hint="default" w:ascii="Cambria Math" w:hAnsi="Cambria Math" w:cs="Times New Roman"/>
                  <w:i/>
                  <w:color w:val="auto"/>
                  <w:sz w:val="24"/>
                  <w:szCs w:val="24"/>
                  <w:vertAlign w:val="baseline"/>
                  <w:lang w:val="en-US" w:eastAsia="zh-CN"/>
                </w:rPr>
              </m:ctrlPr>
            </m:den>
          </m:f>
          <m:r>
            <m:rPr>
              <m:nor/>
              <m:sty m:val="p"/>
            </m:rPr>
            <w:rPr>
              <w:rFonts w:hint="default" w:ascii="Times New Roman" w:hAnsi="Times New Roman" w:cs="Times New Roman"/>
              <w:b w:val="0"/>
              <w:i w:val="0"/>
              <w:color w:val="auto"/>
              <w:sz w:val="24"/>
              <w:szCs w:val="24"/>
              <w:vertAlign w:val="baseline"/>
              <w:lang w:val="en-US" w:eastAsia="zh-CN"/>
            </w:rPr>
            <m:t>=</m:t>
          </m:r>
          <m:f>
            <m:fPr>
              <m:ctrlPr>
                <w:rPr>
                  <w:rFonts w:hint="default" w:ascii="Cambria Math" w:hAnsi="Cambria Math" w:cs="Times New Roman"/>
                  <w:i/>
                  <w:color w:val="auto"/>
                  <w:sz w:val="24"/>
                  <w:szCs w:val="24"/>
                  <w:vertAlign w:val="baseline"/>
                  <w:lang w:val="en-US" w:eastAsia="zh-CN"/>
                </w:rPr>
              </m:ctrlPr>
            </m:fPr>
            <m:num>
              <m:r>
                <m:rPr>
                  <m:nor/>
                  <m:sty m:val="p"/>
                </m:rPr>
                <w:rPr>
                  <w:rFonts w:hint="default" w:ascii="Times New Roman" w:hAnsi="Times New Roman" w:cs="Times New Roman"/>
                  <w:b w:val="0"/>
                  <w:i w:val="0"/>
                  <w:color w:val="auto"/>
                  <w:sz w:val="24"/>
                  <w:szCs w:val="24"/>
                  <w:vertAlign w:val="baseline"/>
                  <w:lang w:val="en-US" w:eastAsia="zh-CN"/>
                </w:rPr>
                <m:t>35</m:t>
              </m:r>
              <m:r>
                <m:rPr>
                  <m:nor/>
                </m:rPr>
                <w:rPr>
                  <w:rFonts w:hint="default" w:ascii="Times New Roman" w:hAnsi="Times New Roman" w:cs="Times New Roman"/>
                  <w:i/>
                  <w:color w:val="auto"/>
                  <w:sz w:val="24"/>
                  <w:szCs w:val="24"/>
                  <w:vertAlign w:val="baseline"/>
                  <w:lang w:val="en-US" w:eastAsia="zh-CN"/>
                </w:rPr>
                <m:t>mg</m:t>
              </m:r>
              <m:ctrlPr>
                <w:rPr>
                  <w:rFonts w:hint="default" w:ascii="Cambria Math" w:hAnsi="Cambria Math" w:cs="Times New Roman"/>
                  <w:i/>
                  <w:color w:val="auto"/>
                  <w:sz w:val="24"/>
                  <w:szCs w:val="24"/>
                  <w:vertAlign w:val="baseline"/>
                  <w:lang w:val="en-US" w:eastAsia="zh-CN"/>
                </w:rPr>
              </m:ctrlPr>
            </m:num>
            <m:den>
              <m:rad>
                <m:radPr>
                  <m:degHide m:val="1"/>
                  <m:ctrlPr>
                    <w:rPr>
                      <w:rFonts w:hint="default" w:ascii="Cambria Math" w:hAnsi="Cambria Math" w:cs="Times New Roman"/>
                      <w:i/>
                      <w:color w:val="auto"/>
                      <w:sz w:val="24"/>
                      <w:szCs w:val="24"/>
                      <w:vertAlign w:val="baseline"/>
                      <w:lang w:val="en-US" w:eastAsia="zh-CN"/>
                    </w:rPr>
                  </m:ctrlPr>
                </m:radPr>
                <m:deg>
                  <m:ctrlPr>
                    <w:rPr>
                      <w:rFonts w:hint="default" w:ascii="Cambria Math" w:hAnsi="Cambria Math" w:cs="Times New Roman"/>
                      <w:i/>
                      <w:color w:val="auto"/>
                      <w:sz w:val="24"/>
                      <w:szCs w:val="24"/>
                      <w:vertAlign w:val="baseline"/>
                      <w:lang w:val="en-US" w:eastAsia="zh-CN"/>
                    </w:rPr>
                  </m:ctrlPr>
                </m:deg>
                <m:e>
                  <m:r>
                    <m:rPr>
                      <m:nor/>
                      <m:sty m:val="p"/>
                    </m:rPr>
                    <w:rPr>
                      <w:rFonts w:hint="default" w:ascii="Times New Roman" w:hAnsi="Times New Roman" w:cs="Times New Roman"/>
                      <w:b w:val="0"/>
                      <w:i w:val="0"/>
                      <w:color w:val="auto"/>
                      <w:sz w:val="24"/>
                      <w:szCs w:val="24"/>
                      <w:vertAlign w:val="baseline"/>
                      <w:lang w:val="en-US" w:eastAsia="zh-CN"/>
                    </w:rPr>
                    <m:t>3</m:t>
                  </m:r>
                  <m:ctrlPr>
                    <w:rPr>
                      <w:rFonts w:hint="default" w:ascii="Cambria Math" w:hAnsi="Cambria Math" w:cs="Times New Roman"/>
                      <w:i/>
                      <w:color w:val="auto"/>
                      <w:sz w:val="24"/>
                      <w:szCs w:val="24"/>
                      <w:vertAlign w:val="baseline"/>
                      <w:lang w:val="en-US" w:eastAsia="zh-CN"/>
                    </w:rPr>
                  </m:ctrlPr>
                </m:e>
              </m:rad>
              <m:ctrlPr>
                <w:rPr>
                  <w:rFonts w:hint="default" w:ascii="Cambria Math" w:hAnsi="Cambria Math" w:cs="Times New Roman"/>
                  <w:i/>
                  <w:color w:val="auto"/>
                  <w:sz w:val="24"/>
                  <w:szCs w:val="24"/>
                  <w:vertAlign w:val="baseline"/>
                  <w:lang w:val="en-US" w:eastAsia="zh-CN"/>
                </w:rPr>
              </m:ctrlPr>
            </m:den>
          </m:f>
          <m:r>
            <m:rPr>
              <m:nor/>
              <m:sty m:val="p"/>
            </m:rPr>
            <w:rPr>
              <w:rFonts w:hint="default" w:ascii="Times New Roman" w:hAnsi="Times New Roman" w:cs="Times New Roman"/>
              <w:b w:val="0"/>
              <w:i w:val="0"/>
              <w:color w:val="auto"/>
              <w:sz w:val="24"/>
              <w:szCs w:val="24"/>
              <w:vertAlign w:val="baseline"/>
              <w:lang w:val="en-US" w:eastAsia="zh-CN"/>
            </w:rPr>
            <m:t>≈0.020</m:t>
          </m:r>
          <m:r>
            <m:rPr>
              <m:nor/>
            </m:rPr>
            <w:rPr>
              <w:rFonts w:hint="default" w:ascii="Times New Roman" w:hAnsi="Times New Roman" w:cs="Times New Roman"/>
              <w:i/>
              <w:color w:val="auto"/>
              <w:sz w:val="24"/>
              <w:szCs w:val="24"/>
              <w:vertAlign w:val="baseline"/>
              <w:lang w:val="en-US" w:eastAsia="zh-CN"/>
            </w:rPr>
            <m:t>g</m:t>
          </m:r>
        </m:oMath>
      </m:oMathPara>
    </w:p>
    <w:p w14:paraId="5A0015F8">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1.4  标准不确定度分量一览表</w:t>
      </w:r>
    </w:p>
    <w:p w14:paraId="6226224F">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 xml:space="preserve">质量测量示值误差的标准不确定度汇总表如表A.1所示。 </w:t>
      </w:r>
    </w:p>
    <w:p w14:paraId="170606F9">
      <w:pPr>
        <w:keepNext w:val="0"/>
        <w:keepLines w:val="0"/>
        <w:pageBreakBefore w:val="0"/>
        <w:widowControl w:val="0"/>
        <w:kinsoku/>
        <w:wordWrap/>
        <w:overflowPunct/>
        <w:topLinePunct w:val="0"/>
        <w:autoSpaceDE/>
        <w:autoSpaceDN/>
        <w:bidi w:val="0"/>
        <w:adjustRightInd w:val="0"/>
        <w:snapToGrid w:val="0"/>
        <w:spacing w:before="65" w:line="288" w:lineRule="auto"/>
        <w:jc w:val="center"/>
        <w:textAlignment w:val="auto"/>
        <w:rPr>
          <w:rFonts w:hint="default" w:ascii="Times New Roman" w:hAnsi="Times New Roman" w:eastAsia="黑体" w:cs="Times New Roman"/>
          <w:color w:val="auto"/>
          <w:spacing w:val="15"/>
          <w:sz w:val="24"/>
          <w:szCs w:val="24"/>
        </w:rPr>
      </w:pPr>
    </w:p>
    <w:p w14:paraId="7C9AAA4A">
      <w:pPr>
        <w:keepNext w:val="0"/>
        <w:keepLines w:val="0"/>
        <w:pageBreakBefore w:val="0"/>
        <w:widowControl w:val="0"/>
        <w:kinsoku/>
        <w:wordWrap/>
        <w:overflowPunct/>
        <w:topLinePunct w:val="0"/>
        <w:autoSpaceDE/>
        <w:autoSpaceDN/>
        <w:bidi w:val="0"/>
        <w:adjustRightInd w:val="0"/>
        <w:snapToGrid w:val="0"/>
        <w:spacing w:before="65" w:line="288" w:lineRule="auto"/>
        <w:jc w:val="center"/>
        <w:textAlignment w:val="auto"/>
        <w:rPr>
          <w:rFonts w:hint="default" w:ascii="Times New Roman" w:hAnsi="Times New Roman" w:cs="Times New Roman"/>
          <w:color w:val="auto"/>
          <w:sz w:val="24"/>
          <w:szCs w:val="24"/>
        </w:rPr>
      </w:pPr>
      <w:r>
        <w:rPr>
          <w:rFonts w:hint="default" w:ascii="Times New Roman" w:hAnsi="Times New Roman" w:eastAsia="黑体" w:cs="Times New Roman"/>
          <w:color w:val="auto"/>
          <w:spacing w:val="15"/>
          <w:sz w:val="24"/>
          <w:szCs w:val="24"/>
        </w:rPr>
        <w:t>表</w:t>
      </w:r>
      <w:r>
        <w:rPr>
          <w:rFonts w:hint="default" w:ascii="Times New Roman" w:hAnsi="Times New Roman" w:eastAsia="Arial" w:cs="Times New Roman"/>
          <w:color w:val="auto"/>
          <w:spacing w:val="15"/>
          <w:sz w:val="24"/>
          <w:szCs w:val="24"/>
        </w:rPr>
        <w:t>A.1</w:t>
      </w:r>
      <w:r>
        <w:rPr>
          <w:rFonts w:hint="default" w:ascii="Times New Roman" w:hAnsi="Times New Roman" w:eastAsia="宋体" w:cs="Times New Roman"/>
          <w:color w:val="auto"/>
          <w:spacing w:val="15"/>
          <w:sz w:val="24"/>
          <w:szCs w:val="24"/>
          <w:lang w:val="en-US" w:eastAsia="zh-CN"/>
        </w:rPr>
        <w:t xml:space="preserve">  </w:t>
      </w:r>
      <w:r>
        <w:rPr>
          <w:rFonts w:hint="default" w:ascii="Times New Roman" w:hAnsi="Times New Roman" w:eastAsia="黑体" w:cs="Times New Roman"/>
          <w:color w:val="auto"/>
          <w:spacing w:val="15"/>
          <w:sz w:val="24"/>
          <w:szCs w:val="24"/>
        </w:rPr>
        <w:t>质量测量示值误差标准不确定度分量一览表</w:t>
      </w:r>
    </w:p>
    <w:tbl>
      <w:tblPr>
        <w:tblStyle w:val="11"/>
        <w:tblW w:w="9096" w:type="dxa"/>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1"/>
        <w:gridCol w:w="2020"/>
        <w:gridCol w:w="1935"/>
        <w:gridCol w:w="2340"/>
      </w:tblGrid>
      <w:tr w14:paraId="3D932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2801" w:type="dxa"/>
            <w:tcBorders>
              <w:top w:val="single" w:color="000000" w:sz="8" w:space="0"/>
              <w:left w:val="single" w:color="000000" w:sz="8" w:space="0"/>
              <w:bottom w:val="single" w:color="000000" w:sz="8" w:space="0"/>
              <w:right w:val="single" w:color="000000" w:sz="8" w:space="0"/>
            </w:tcBorders>
            <w:vAlign w:val="center"/>
          </w:tcPr>
          <w:p w14:paraId="5A0075C6">
            <w:pPr>
              <w:keepNext w:val="0"/>
              <w:keepLines w:val="0"/>
              <w:pageBreakBefore w:val="0"/>
              <w:widowControl w:val="0"/>
              <w:kinsoku/>
              <w:wordWrap/>
              <w:overflowPunct/>
              <w:topLinePunct w:val="0"/>
              <w:autoSpaceDE/>
              <w:autoSpaceDN/>
              <w:bidi w:val="0"/>
              <w:adjustRightInd w:val="0"/>
              <w:snapToGrid w:val="0"/>
              <w:spacing w:before="92"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不确定度来源</w:t>
            </w:r>
          </w:p>
        </w:tc>
        <w:tc>
          <w:tcPr>
            <w:tcW w:w="2020" w:type="dxa"/>
            <w:tcBorders>
              <w:top w:val="single" w:color="000000" w:sz="8" w:space="0"/>
              <w:left w:val="single" w:color="000000" w:sz="8" w:space="0"/>
              <w:bottom w:val="single" w:color="000000" w:sz="8" w:space="0"/>
              <w:right w:val="single" w:color="000000" w:sz="8" w:space="0"/>
            </w:tcBorders>
            <w:vAlign w:val="center"/>
          </w:tcPr>
          <w:p w14:paraId="4A170A26">
            <w:pPr>
              <w:keepNext w:val="0"/>
              <w:keepLines w:val="0"/>
              <w:pageBreakBefore w:val="0"/>
              <w:widowControl w:val="0"/>
              <w:kinsoku/>
              <w:wordWrap/>
              <w:overflowPunct/>
              <w:topLinePunct w:val="0"/>
              <w:autoSpaceDE/>
              <w:autoSpaceDN/>
              <w:bidi w:val="0"/>
              <w:adjustRightInd w:val="0"/>
              <w:snapToGrid w:val="0"/>
              <w:spacing w:before="92"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标准不确定度</w:t>
            </w:r>
          </w:p>
        </w:tc>
        <w:tc>
          <w:tcPr>
            <w:tcW w:w="1935" w:type="dxa"/>
            <w:tcBorders>
              <w:top w:val="single" w:color="000000" w:sz="8" w:space="0"/>
              <w:left w:val="single" w:color="000000" w:sz="8" w:space="0"/>
              <w:bottom w:val="single" w:color="000000" w:sz="8" w:space="0"/>
              <w:right w:val="single" w:color="000000" w:sz="8" w:space="0"/>
            </w:tcBorders>
            <w:vAlign w:val="center"/>
          </w:tcPr>
          <w:p w14:paraId="49F941F8">
            <w:pPr>
              <w:keepNext w:val="0"/>
              <w:keepLines w:val="0"/>
              <w:pageBreakBefore w:val="0"/>
              <w:widowControl w:val="0"/>
              <w:kinsoku/>
              <w:wordWrap/>
              <w:overflowPunct/>
              <w:topLinePunct w:val="0"/>
              <w:autoSpaceDE/>
              <w:autoSpaceDN/>
              <w:bidi w:val="0"/>
              <w:adjustRightInd w:val="0"/>
              <w:snapToGrid w:val="0"/>
              <w:spacing w:before="92"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灵敏系数c</w:t>
            </w:r>
          </w:p>
        </w:tc>
        <w:tc>
          <w:tcPr>
            <w:tcW w:w="2340" w:type="dxa"/>
            <w:tcBorders>
              <w:top w:val="single" w:color="000000" w:sz="8" w:space="0"/>
              <w:left w:val="single" w:color="000000" w:sz="8" w:space="0"/>
              <w:bottom w:val="single" w:color="000000" w:sz="8" w:space="0"/>
              <w:right w:val="single" w:color="000000" w:sz="8" w:space="0"/>
            </w:tcBorders>
            <w:vAlign w:val="center"/>
          </w:tcPr>
          <w:p w14:paraId="7D348F73">
            <w:pPr>
              <w:keepNext w:val="0"/>
              <w:keepLines w:val="0"/>
              <w:pageBreakBefore w:val="0"/>
              <w:widowControl w:val="0"/>
              <w:kinsoku/>
              <w:wordWrap/>
              <w:overflowPunct/>
              <w:topLinePunct w:val="0"/>
              <w:autoSpaceDE/>
              <w:autoSpaceDN/>
              <w:bidi w:val="0"/>
              <w:adjustRightInd w:val="0"/>
              <w:snapToGrid w:val="0"/>
              <w:spacing w:before="92"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标准不确定度分量</w:t>
            </w:r>
          </w:p>
        </w:tc>
      </w:tr>
      <w:tr w14:paraId="3FD7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2801" w:type="dxa"/>
            <w:tcBorders>
              <w:top w:val="single" w:color="000000" w:sz="8" w:space="0"/>
              <w:left w:val="single" w:color="000000" w:sz="8" w:space="0"/>
              <w:bottom w:val="single" w:color="000000" w:sz="8" w:space="0"/>
              <w:right w:val="single" w:color="000000" w:sz="8" w:space="0"/>
            </w:tcBorders>
            <w:vAlign w:val="center"/>
          </w:tcPr>
          <w:p w14:paraId="49BF43EE">
            <w:pPr>
              <w:keepNext w:val="0"/>
              <w:keepLines w:val="0"/>
              <w:pageBreakBefore w:val="0"/>
              <w:widowControl w:val="0"/>
              <w:kinsoku/>
              <w:wordWrap/>
              <w:overflowPunct/>
              <w:topLinePunct w:val="0"/>
              <w:autoSpaceDE/>
              <w:autoSpaceDN/>
              <w:bidi w:val="0"/>
              <w:adjustRightInd w:val="0"/>
              <w:snapToGrid w:val="0"/>
              <w:spacing w:before="81"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测量重复性</w:t>
            </w:r>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oMath>
          </w:p>
        </w:tc>
        <w:tc>
          <w:tcPr>
            <w:tcW w:w="2020" w:type="dxa"/>
            <w:tcBorders>
              <w:top w:val="single" w:color="000000" w:sz="8" w:space="0"/>
              <w:left w:val="single" w:color="000000" w:sz="8" w:space="0"/>
              <w:bottom w:val="single" w:color="000000" w:sz="8" w:space="0"/>
              <w:right w:val="single" w:color="000000" w:sz="8" w:space="0"/>
            </w:tcBorders>
            <w:vAlign w:val="center"/>
          </w:tcPr>
          <w:p w14:paraId="1C51D0B1">
            <w:pPr>
              <w:keepNext w:val="0"/>
              <w:keepLines w:val="0"/>
              <w:pageBreakBefore w:val="0"/>
              <w:widowControl w:val="0"/>
              <w:kinsoku/>
              <w:wordWrap/>
              <w:overflowPunct/>
              <w:topLinePunct w:val="0"/>
              <w:autoSpaceDE/>
              <w:autoSpaceDN/>
              <w:bidi w:val="0"/>
              <w:adjustRightInd w:val="0"/>
              <w:snapToGrid w:val="0"/>
              <w:spacing w:before="75"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pacing w:val="-1"/>
                <w:sz w:val="24"/>
                <w:szCs w:val="24"/>
                <w:lang w:val="en-US" w:eastAsia="zh-CN"/>
              </w:rPr>
              <w:t>0.010</w:t>
            </w:r>
            <w:r>
              <w:rPr>
                <w:rFonts w:hint="default" w:ascii="Times New Roman" w:hAnsi="Times New Roman" w:eastAsia="宋体" w:cs="Times New Roman"/>
                <w:color w:val="auto"/>
                <w:spacing w:val="-1"/>
                <w:sz w:val="24"/>
                <w:szCs w:val="24"/>
              </w:rPr>
              <w:t>g</w:t>
            </w:r>
          </w:p>
        </w:tc>
        <w:tc>
          <w:tcPr>
            <w:tcW w:w="1935" w:type="dxa"/>
            <w:tcBorders>
              <w:top w:val="single" w:color="000000" w:sz="8" w:space="0"/>
              <w:left w:val="single" w:color="000000" w:sz="8" w:space="0"/>
              <w:bottom w:val="single" w:color="000000" w:sz="8" w:space="0"/>
              <w:right w:val="single" w:color="000000" w:sz="8" w:space="0"/>
            </w:tcBorders>
            <w:vAlign w:val="center"/>
          </w:tcPr>
          <w:p w14:paraId="21BAF42B">
            <w:pPr>
              <w:keepNext w:val="0"/>
              <w:keepLines w:val="0"/>
              <w:pageBreakBefore w:val="0"/>
              <w:widowControl w:val="0"/>
              <w:kinsoku/>
              <w:wordWrap/>
              <w:overflowPunct/>
              <w:topLinePunct w:val="0"/>
              <w:autoSpaceDE/>
              <w:autoSpaceDN/>
              <w:bidi w:val="0"/>
              <w:adjustRightInd w:val="0"/>
              <w:snapToGrid w:val="0"/>
              <w:spacing w:before="97"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2340" w:type="dxa"/>
            <w:tcBorders>
              <w:top w:val="single" w:color="000000" w:sz="8" w:space="0"/>
              <w:left w:val="single" w:color="000000" w:sz="8" w:space="0"/>
              <w:bottom w:val="single" w:color="000000" w:sz="8" w:space="0"/>
              <w:right w:val="single" w:color="000000" w:sz="8" w:space="0"/>
            </w:tcBorders>
            <w:vAlign w:val="center"/>
          </w:tcPr>
          <w:p w14:paraId="51A6C530">
            <w:pPr>
              <w:keepNext w:val="0"/>
              <w:keepLines w:val="0"/>
              <w:pageBreakBefore w:val="0"/>
              <w:widowControl w:val="0"/>
              <w:kinsoku/>
              <w:wordWrap/>
              <w:overflowPunct/>
              <w:topLinePunct w:val="0"/>
              <w:autoSpaceDE/>
              <w:autoSpaceDN/>
              <w:bidi w:val="0"/>
              <w:adjustRightInd w:val="0"/>
              <w:snapToGrid w:val="0"/>
              <w:spacing w:before="75"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w:t>
            </w:r>
            <w:r>
              <w:rPr>
                <w:rFonts w:hint="default" w:ascii="Times New Roman" w:hAnsi="Times New Roman" w:cs="Times New Roman"/>
                <w:color w:val="auto"/>
                <w:spacing w:val="-1"/>
                <w:sz w:val="24"/>
                <w:szCs w:val="24"/>
                <w:lang w:val="en-US" w:eastAsia="zh-CN"/>
              </w:rPr>
              <w:t>010</w:t>
            </w:r>
            <w:r>
              <w:rPr>
                <w:rFonts w:hint="default" w:ascii="Times New Roman" w:hAnsi="Times New Roman" w:eastAsia="宋体" w:cs="Times New Roman"/>
                <w:color w:val="auto"/>
                <w:spacing w:val="-1"/>
                <w:sz w:val="24"/>
                <w:szCs w:val="24"/>
              </w:rPr>
              <w:t>g</w:t>
            </w:r>
          </w:p>
        </w:tc>
      </w:tr>
      <w:tr w14:paraId="4C692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2801" w:type="dxa"/>
            <w:tcBorders>
              <w:top w:val="single" w:color="000000" w:sz="8" w:space="0"/>
              <w:left w:val="single" w:color="000000" w:sz="8" w:space="0"/>
              <w:bottom w:val="single" w:color="000000" w:sz="8" w:space="0"/>
              <w:right w:val="single" w:color="000000" w:sz="8" w:space="0"/>
            </w:tcBorders>
            <w:vAlign w:val="center"/>
          </w:tcPr>
          <w:p w14:paraId="20FC8CBF">
            <w:pPr>
              <w:keepNext w:val="0"/>
              <w:keepLines w:val="0"/>
              <w:pageBreakBefore w:val="0"/>
              <w:widowControl w:val="0"/>
              <w:kinsoku/>
              <w:wordWrap/>
              <w:overflowPunct/>
              <w:topLinePunct w:val="0"/>
              <w:autoSpaceDE/>
              <w:autoSpaceDN/>
              <w:bidi w:val="0"/>
              <w:adjustRightInd w:val="0"/>
              <w:snapToGrid w:val="0"/>
              <w:spacing w:before="91"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砝码标称值</w:t>
            </w:r>
            <m:oMath>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oMath>
          </w:p>
        </w:tc>
        <w:tc>
          <w:tcPr>
            <w:tcW w:w="2020" w:type="dxa"/>
            <w:tcBorders>
              <w:top w:val="single" w:color="000000" w:sz="8" w:space="0"/>
              <w:left w:val="single" w:color="000000" w:sz="8" w:space="0"/>
              <w:bottom w:val="single" w:color="000000" w:sz="8" w:space="0"/>
              <w:right w:val="single" w:color="000000" w:sz="8" w:space="0"/>
            </w:tcBorders>
            <w:vAlign w:val="center"/>
          </w:tcPr>
          <w:p w14:paraId="16AFFED3">
            <w:pPr>
              <w:keepNext w:val="0"/>
              <w:keepLines w:val="0"/>
              <w:pageBreakBefore w:val="0"/>
              <w:widowControl w:val="0"/>
              <w:kinsoku/>
              <w:wordWrap/>
              <w:overflowPunct/>
              <w:topLinePunct w:val="0"/>
              <w:autoSpaceDE/>
              <w:autoSpaceDN/>
              <w:bidi w:val="0"/>
              <w:adjustRightInd w:val="0"/>
              <w:snapToGrid w:val="0"/>
              <w:spacing w:before="88"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pacing w:val="-1"/>
                <w:sz w:val="24"/>
                <w:szCs w:val="24"/>
                <w:lang w:val="en-US" w:eastAsia="zh-CN"/>
              </w:rPr>
              <w:t>0.020</w:t>
            </w:r>
            <w:r>
              <w:rPr>
                <w:rFonts w:hint="default" w:ascii="Times New Roman" w:hAnsi="Times New Roman" w:eastAsia="宋体" w:cs="Times New Roman"/>
                <w:color w:val="auto"/>
                <w:spacing w:val="-1"/>
                <w:sz w:val="24"/>
                <w:szCs w:val="24"/>
              </w:rPr>
              <w:t>g</w:t>
            </w:r>
          </w:p>
        </w:tc>
        <w:tc>
          <w:tcPr>
            <w:tcW w:w="1935" w:type="dxa"/>
            <w:tcBorders>
              <w:top w:val="single" w:color="000000" w:sz="8" w:space="0"/>
              <w:left w:val="single" w:color="000000" w:sz="8" w:space="0"/>
              <w:bottom w:val="single" w:color="000000" w:sz="8" w:space="0"/>
              <w:right w:val="single" w:color="000000" w:sz="8" w:space="0"/>
            </w:tcBorders>
            <w:vAlign w:val="center"/>
          </w:tcPr>
          <w:p w14:paraId="5861E8EF">
            <w:pPr>
              <w:keepNext w:val="0"/>
              <w:keepLines w:val="0"/>
              <w:pageBreakBefore w:val="0"/>
              <w:widowControl w:val="0"/>
              <w:kinsoku/>
              <w:wordWrap/>
              <w:overflowPunct/>
              <w:topLinePunct w:val="0"/>
              <w:autoSpaceDE/>
              <w:autoSpaceDN/>
              <w:bidi w:val="0"/>
              <w:adjustRightInd w:val="0"/>
              <w:snapToGrid w:val="0"/>
              <w:spacing w:before="110"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-1</w:t>
            </w:r>
          </w:p>
        </w:tc>
        <w:tc>
          <w:tcPr>
            <w:tcW w:w="2340" w:type="dxa"/>
            <w:tcBorders>
              <w:top w:val="single" w:color="000000" w:sz="8" w:space="0"/>
              <w:left w:val="single" w:color="000000" w:sz="8" w:space="0"/>
              <w:bottom w:val="single" w:color="000000" w:sz="8" w:space="0"/>
              <w:right w:val="single" w:color="000000" w:sz="8" w:space="0"/>
            </w:tcBorders>
            <w:vAlign w:val="center"/>
          </w:tcPr>
          <w:p w14:paraId="5C52BC79">
            <w:pPr>
              <w:keepNext w:val="0"/>
              <w:keepLines w:val="0"/>
              <w:pageBreakBefore w:val="0"/>
              <w:widowControl w:val="0"/>
              <w:kinsoku/>
              <w:wordWrap/>
              <w:overflowPunct/>
              <w:topLinePunct w:val="0"/>
              <w:autoSpaceDE/>
              <w:autoSpaceDN/>
              <w:bidi w:val="0"/>
              <w:adjustRightInd w:val="0"/>
              <w:snapToGrid w:val="0"/>
              <w:spacing w:before="88" w:line="288"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w:t>
            </w:r>
            <w:r>
              <w:rPr>
                <w:rFonts w:hint="default" w:ascii="Times New Roman" w:hAnsi="Times New Roman" w:cs="Times New Roman"/>
                <w:color w:val="auto"/>
                <w:spacing w:val="-1"/>
                <w:sz w:val="24"/>
                <w:szCs w:val="24"/>
                <w:lang w:val="en-US" w:eastAsia="zh-CN"/>
              </w:rPr>
              <w:t>020</w:t>
            </w:r>
            <w:r>
              <w:rPr>
                <w:rFonts w:hint="default" w:ascii="Times New Roman" w:hAnsi="Times New Roman" w:eastAsia="宋体" w:cs="Times New Roman"/>
                <w:color w:val="auto"/>
                <w:spacing w:val="-1"/>
                <w:sz w:val="24"/>
                <w:szCs w:val="24"/>
              </w:rPr>
              <w:t>g</w:t>
            </w:r>
          </w:p>
        </w:tc>
      </w:tr>
    </w:tbl>
    <w:p w14:paraId="5DE478CA">
      <w:pPr>
        <w:keepNext w:val="0"/>
        <w:keepLines w:val="0"/>
        <w:pageBreakBefore w:val="0"/>
        <w:widowControl w:val="0"/>
        <w:kinsoku/>
        <w:wordWrap/>
        <w:overflowPunct/>
        <w:topLinePunct w:val="0"/>
        <w:autoSpaceDE/>
        <w:autoSpaceDN/>
        <w:bidi w:val="0"/>
        <w:adjustRightInd w:val="0"/>
        <w:snapToGrid w:val="0"/>
        <w:spacing w:before="157" w:beforeLines="50"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1.5  合成标准不确定度的计算</w:t>
      </w:r>
    </w:p>
    <w:p w14:paraId="3715D271">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质量示值误差的标准不确定度计算如下式：</w:t>
      </w:r>
    </w:p>
    <w:p w14:paraId="6D3BCDAA">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default" w:ascii="Times New Roman" w:hAnsi="Times New Roman" w:cs="Times New Roman"/>
          <w:i w:val="0"/>
          <w:color w:val="auto"/>
          <w:sz w:val="24"/>
          <w:szCs w:val="24"/>
          <w:vertAlign w:val="baseline"/>
          <w:lang w:val="en-US" w:eastAsia="zh-CN"/>
        </w:rPr>
      </w:pPr>
      <m:oMathPara>
        <m:oMathParaPr>
          <m:jc m:val="center"/>
        </m:oMathParaPr>
        <m:oMath>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u</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rPr>
              </m:ctrlPr>
            </m:sub>
          </m:sSub>
          <m:d>
            <m:dPr>
              <m:ctrlPr>
                <w:rPr>
                  <w:rFonts w:hint="default" w:ascii="Cambria Math" w:hAnsi="Cambria Math" w:cs="Times New Roman"/>
                  <w:i/>
                  <w:color w:val="auto"/>
                  <w:sz w:val="24"/>
                  <w:szCs w:val="24"/>
                  <w:vertAlign w:val="baseline"/>
                  <w:lang w:val="en-US"/>
                </w:rPr>
              </m:ctrlPr>
            </m:dPr>
            <m:e>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ctrlPr>
                <w:rPr>
                  <w:rFonts w:hint="default" w:ascii="Cambria Math" w:hAnsi="Cambria Math" w:cs="Times New Roman"/>
                  <w:i/>
                  <w:color w:val="auto"/>
                  <w:sz w:val="24"/>
                  <w:szCs w:val="24"/>
                  <w:vertAlign w:val="baseline"/>
                  <w:lang w:val="en-US"/>
                </w:rPr>
              </m:ctrlPr>
            </m:e>
          </m:d>
          <m:r>
            <m:rPr>
              <m:nor/>
              <m:sty m:val="p"/>
            </m:rPr>
            <w:rPr>
              <w:rFonts w:hint="default" w:ascii="Times New Roman" w:hAnsi="Times New Roman" w:cs="Times New Roman"/>
              <w:b w:val="0"/>
              <w:i w:val="0"/>
              <w:color w:val="auto"/>
              <w:sz w:val="24"/>
              <w:szCs w:val="24"/>
              <w:vertAlign w:val="baseline"/>
              <w:lang w:val="en-US" w:eastAsia="zh-CN"/>
            </w:rPr>
            <m:t>=</m:t>
          </m:r>
          <m:rad>
            <m:radPr>
              <m:degHide m:val="1"/>
              <m:ctrlPr>
                <w:rPr>
                  <w:rFonts w:hint="default" w:ascii="Cambria Math" w:hAnsi="Cambria Math" w:cs="Times New Roman"/>
                  <w:i/>
                  <w:color w:val="auto"/>
                  <w:sz w:val="24"/>
                  <w:szCs w:val="24"/>
                  <w:vertAlign w:val="baseline"/>
                  <w:lang w:val="en-US" w:eastAsia="zh-CN"/>
                </w:rPr>
              </m:ctrlPr>
            </m:radPr>
            <m:deg>
              <m:ctrlPr>
                <w:rPr>
                  <w:rFonts w:hint="default" w:ascii="Cambria Math" w:hAnsi="Cambria Math" w:cs="Times New Roman"/>
                  <w:i/>
                  <w:color w:val="auto"/>
                  <w:sz w:val="24"/>
                  <w:szCs w:val="24"/>
                  <w:vertAlign w:val="baseline"/>
                  <w:lang w:val="en-US" w:eastAsia="zh-CN"/>
                </w:rPr>
              </m:ctrlPr>
            </m:deg>
            <m:e>
              <m:sSup>
                <m:sSupPr>
                  <m:ctrlPr>
                    <w:rPr>
                      <w:rFonts w:hint="default" w:ascii="Cambria Math" w:hAnsi="Cambria Math" w:cs="Times New Roman"/>
                      <w:i/>
                      <w:color w:val="auto"/>
                      <w:sz w:val="24"/>
                      <w:szCs w:val="24"/>
                      <w:vertAlign w:val="baseline"/>
                      <w:lang w:val="en-US" w:eastAsia="zh-CN"/>
                    </w:rPr>
                  </m:ctrlPr>
                </m:sSupPr>
                <m:e>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acc>
                            <m:accPr>
                              <m:chr m:val="̅"/>
                              <m:ctrlPr>
                                <w:rPr>
                                  <w:rFonts w:hint="default" w:ascii="Cambria Math" w:hAnsi="Cambria Math" w:cs="Times New Roman"/>
                                  <w:i/>
                                  <w:color w:val="auto"/>
                                  <w:sz w:val="24"/>
                                  <w:szCs w:val="24"/>
                                  <w:vertAlign w:val="baseline"/>
                                  <w:lang w:val="en-US" w:eastAsia="zh-CN"/>
                                </w:rPr>
                              </m:ctrlPr>
                            </m:acc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acc>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r>
                <m:rPr>
                  <m:nor/>
                  <m:sty m:val="p"/>
                </m:rPr>
                <w:rPr>
                  <w:rFonts w:hint="default" w:ascii="Times New Roman" w:hAnsi="Times New Roman" w:cs="Times New Roman"/>
                  <w:b w:val="0"/>
                  <w:i w:val="0"/>
                  <w:color w:val="auto"/>
                  <w:sz w:val="24"/>
                  <w:szCs w:val="24"/>
                  <w:vertAlign w:val="baseline"/>
                  <w:lang w:val="en-US" w:eastAsia="zh-CN"/>
                </w:rPr>
                <m:t>+</m:t>
              </m:r>
              <m:sSup>
                <m:sSupPr>
                  <m:ctrlPr>
                    <w:rPr>
                      <w:rFonts w:hint="default" w:ascii="Cambria Math" w:hAnsi="Cambria Math" w:cs="Times New Roman"/>
                      <w:i/>
                      <w:color w:val="auto"/>
                      <w:sz w:val="24"/>
                      <w:szCs w:val="24"/>
                      <w:vertAlign w:val="baseline"/>
                      <w:lang w:val="en-US" w:eastAsia="zh-CN"/>
                    </w:rPr>
                  </m:ctrlPr>
                </m:sSupPr>
                <m:e>
                  <m:r>
                    <m:rPr>
                      <m:nor/>
                    </m:rPr>
                    <w:rPr>
                      <w:rFonts w:hint="default" w:ascii="Times New Roman" w:hAnsi="Times New Roman" w:cs="Times New Roman"/>
                      <w:i/>
                      <w:color w:val="auto"/>
                      <w:kern w:val="2"/>
                      <w:sz w:val="24"/>
                      <w:szCs w:val="24"/>
                      <w:lang w:val="en-US" w:eastAsia="zh-CN" w:bidi="ar-SA"/>
                    </w:rPr>
                    <m:t>u</m:t>
                  </m:r>
                  <m:d>
                    <m:dPr>
                      <m:ctrlPr>
                        <w:rPr>
                          <w:rFonts w:hint="default" w:ascii="Cambria Math" w:hAnsi="Cambria Math" w:cs="Times New Roman"/>
                          <w:i/>
                          <w:color w:val="auto"/>
                          <w:sz w:val="24"/>
                          <w:szCs w:val="24"/>
                          <w:vertAlign w:val="baseline"/>
                          <w:lang w:val="en-US" w:eastAsia="zh-CN"/>
                        </w:rPr>
                      </m:ctrlPr>
                    </m:dPr>
                    <m:e>
                      <m:sSub>
                        <m:sSubPr>
                          <m:ctrlPr>
                            <w:rPr>
                              <w:rFonts w:hint="default" w:ascii="Cambria Math" w:hAnsi="Cambria Math" w:cs="Times New Roman"/>
                              <w:i/>
                              <w:color w:val="auto"/>
                              <w:sz w:val="24"/>
                              <w:szCs w:val="24"/>
                              <w:vertAlign w:val="baseline"/>
                              <w:lang w:val="en-US" w:eastAsia="zh-CN"/>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eastAsia="zh-CN"/>
                            </w:rPr>
                          </m:ctrlPr>
                        </m:e>
                        <m:sub>
                          <m:r>
                            <m:rPr>
                              <m:nor/>
                            </m:rPr>
                            <w:rPr>
                              <w:rFonts w:hint="default" w:ascii="Times New Roman" w:hAnsi="Times New Roman" w:cs="Times New Roman"/>
                              <w:i/>
                              <w:color w:val="auto"/>
                              <w:sz w:val="24"/>
                              <w:szCs w:val="24"/>
                              <w:vertAlign w:val="baseline"/>
                              <w:lang w:val="en-US" w:eastAsia="zh-CN"/>
                            </w:rPr>
                            <m:t>si</m:t>
                          </m:r>
                          <m:ctrlPr>
                            <w:rPr>
                              <w:rFonts w:hint="default" w:ascii="Cambria Math" w:hAnsi="Cambria Math" w:cs="Times New Roman"/>
                              <w:i/>
                              <w:color w:val="auto"/>
                              <w:sz w:val="24"/>
                              <w:szCs w:val="24"/>
                              <w:vertAlign w:val="baseline"/>
                              <w:lang w:val="en-US" w:eastAsia="zh-CN"/>
                            </w:rPr>
                          </m:ctrlPr>
                        </m:sub>
                      </m:sSub>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ctrlPr>
                <w:rPr>
                  <w:rFonts w:hint="default" w:ascii="Cambria Math" w:hAnsi="Cambria Math" w:cs="Times New Roman"/>
                  <w:i/>
                  <w:color w:val="auto"/>
                  <w:sz w:val="24"/>
                  <w:szCs w:val="24"/>
                  <w:vertAlign w:val="baseline"/>
                  <w:lang w:val="en-US" w:eastAsia="zh-CN"/>
                </w:rPr>
              </m:ctrlPr>
            </m:e>
          </m:rad>
          <m:r>
            <m:rPr>
              <m:nor/>
              <m:sty m:val="p"/>
            </m:rPr>
            <w:rPr>
              <w:rFonts w:hint="default" w:ascii="Times New Roman" w:hAnsi="Times New Roman" w:cs="Times New Roman"/>
              <w:b w:val="0"/>
              <w:i w:val="0"/>
              <w:color w:val="auto"/>
              <w:sz w:val="24"/>
              <w:szCs w:val="24"/>
              <w:vertAlign w:val="baseline"/>
              <w:lang w:val="en-US" w:eastAsia="zh-CN"/>
            </w:rPr>
            <m:t>=</m:t>
          </m:r>
          <m:rad>
            <m:radPr>
              <m:degHide m:val="1"/>
              <m:ctrlPr>
                <w:rPr>
                  <w:rFonts w:hint="default" w:ascii="Cambria Math" w:hAnsi="Cambria Math" w:cs="Times New Roman"/>
                  <w:i/>
                  <w:color w:val="auto"/>
                  <w:sz w:val="24"/>
                  <w:szCs w:val="24"/>
                  <w:vertAlign w:val="baseline"/>
                  <w:lang w:val="en-US" w:eastAsia="zh-CN"/>
                </w:rPr>
              </m:ctrlPr>
            </m:radPr>
            <m:deg>
              <m:ctrlPr>
                <w:rPr>
                  <w:rFonts w:hint="default" w:ascii="Cambria Math" w:hAnsi="Cambria Math" w:cs="Times New Roman"/>
                  <w:i/>
                  <w:color w:val="auto"/>
                  <w:sz w:val="24"/>
                  <w:szCs w:val="24"/>
                  <w:vertAlign w:val="baseline"/>
                  <w:lang w:val="en-US" w:eastAsia="zh-CN"/>
                </w:rPr>
              </m:ctrlPr>
            </m:deg>
            <m:e>
              <m:sSup>
                <m:sSupPr>
                  <m:ctrlPr>
                    <w:rPr>
                      <w:rFonts w:hint="default" w:ascii="Cambria Math" w:hAnsi="Cambria Math" w:cs="Times New Roman"/>
                      <w:i/>
                      <w:color w:val="auto"/>
                      <w:sz w:val="24"/>
                      <w:szCs w:val="24"/>
                      <w:vertAlign w:val="baseline"/>
                      <w:lang w:val="en-US" w:eastAsia="zh-CN"/>
                    </w:rPr>
                  </m:ctrlPr>
                </m:sSupPr>
                <m:e>
                  <m:d>
                    <m:dPr>
                      <m:ctrlPr>
                        <w:rPr>
                          <w:rFonts w:hint="default" w:ascii="Cambria Math" w:hAnsi="Cambria Math" w:cs="Times New Roman"/>
                          <w:i/>
                          <w:color w:val="auto"/>
                          <w:sz w:val="24"/>
                          <w:szCs w:val="24"/>
                          <w:vertAlign w:val="baseline"/>
                          <w:lang w:val="en-US" w:eastAsia="zh-CN"/>
                        </w:rPr>
                      </m:ctrlPr>
                    </m:dPr>
                    <m:e>
                      <m:r>
                        <m:rPr>
                          <m:nor/>
                          <m:sty m:val="p"/>
                        </m:rPr>
                        <w:rPr>
                          <w:rFonts w:hint="default" w:ascii="Times New Roman" w:hAnsi="Times New Roman" w:cs="Times New Roman"/>
                          <w:b w:val="0"/>
                          <w:i w:val="0"/>
                          <w:color w:val="auto"/>
                          <w:sz w:val="24"/>
                          <w:szCs w:val="24"/>
                          <w:vertAlign w:val="baseline"/>
                          <w:lang w:val="en-US" w:eastAsia="zh-CN"/>
                        </w:rPr>
                        <m:t>0.010</m:t>
                      </m:r>
                      <m:r>
                        <m:rPr>
                          <m:nor/>
                        </m:rPr>
                        <w:rPr>
                          <w:rFonts w:hint="default" w:ascii="Times New Roman" w:hAnsi="Times New Roman" w:cs="Times New Roman"/>
                          <w:i/>
                          <w:color w:val="auto"/>
                          <w:sz w:val="24"/>
                          <w:szCs w:val="24"/>
                          <w:vertAlign w:val="baseline"/>
                          <w:lang w:val="en-US" w:eastAsia="zh-CN"/>
                        </w:rPr>
                        <m:t>g</m:t>
                      </m:r>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r>
                <m:rPr>
                  <m:nor/>
                  <m:sty m:val="p"/>
                </m:rPr>
                <w:rPr>
                  <w:rFonts w:hint="default" w:ascii="Times New Roman" w:hAnsi="Times New Roman" w:cs="Times New Roman"/>
                  <w:b w:val="0"/>
                  <w:i w:val="0"/>
                  <w:color w:val="auto"/>
                  <w:sz w:val="24"/>
                  <w:szCs w:val="24"/>
                  <w:vertAlign w:val="baseline"/>
                  <w:lang w:val="en-US" w:eastAsia="zh-CN"/>
                </w:rPr>
                <m:t>+</m:t>
              </m:r>
              <m:sSup>
                <m:sSupPr>
                  <m:ctrlPr>
                    <w:rPr>
                      <w:rFonts w:hint="default" w:ascii="Cambria Math" w:hAnsi="Cambria Math" w:cs="Times New Roman"/>
                      <w:i/>
                      <w:color w:val="auto"/>
                      <w:sz w:val="24"/>
                      <w:szCs w:val="24"/>
                      <w:vertAlign w:val="baseline"/>
                      <w:lang w:val="en-US" w:eastAsia="zh-CN"/>
                    </w:rPr>
                  </m:ctrlPr>
                </m:sSupPr>
                <m:e>
                  <m:d>
                    <m:dPr>
                      <m:ctrlPr>
                        <w:rPr>
                          <w:rFonts w:hint="default" w:ascii="Cambria Math" w:hAnsi="Cambria Math" w:cs="Times New Roman"/>
                          <w:i/>
                          <w:color w:val="auto"/>
                          <w:sz w:val="24"/>
                          <w:szCs w:val="24"/>
                          <w:vertAlign w:val="baseline"/>
                          <w:lang w:val="en-US" w:eastAsia="zh-CN"/>
                        </w:rPr>
                      </m:ctrlPr>
                    </m:dPr>
                    <m:e>
                      <m:r>
                        <m:rPr>
                          <m:nor/>
                          <m:sty m:val="p"/>
                        </m:rPr>
                        <w:rPr>
                          <w:rFonts w:hint="default" w:ascii="Times New Roman" w:hAnsi="Times New Roman" w:cs="Times New Roman"/>
                          <w:b w:val="0"/>
                          <w:i w:val="0"/>
                          <w:color w:val="auto"/>
                          <w:sz w:val="24"/>
                          <w:szCs w:val="24"/>
                          <w:vertAlign w:val="baseline"/>
                          <w:lang w:val="en-US" w:eastAsia="zh-CN"/>
                        </w:rPr>
                        <m:t>0.020</m:t>
                      </m:r>
                      <m:r>
                        <m:rPr>
                          <m:nor/>
                        </m:rPr>
                        <w:rPr>
                          <w:rFonts w:hint="default" w:ascii="Times New Roman" w:hAnsi="Times New Roman" w:cs="Times New Roman"/>
                          <w:i/>
                          <w:color w:val="auto"/>
                          <w:sz w:val="24"/>
                          <w:szCs w:val="24"/>
                          <w:vertAlign w:val="baseline"/>
                          <w:lang w:val="en-US" w:eastAsia="zh-CN"/>
                        </w:rPr>
                        <m:t>g</m:t>
                      </m:r>
                      <m:ctrlPr>
                        <w:rPr>
                          <w:rFonts w:hint="default" w:ascii="Cambria Math" w:hAnsi="Cambria Math" w:cs="Times New Roman"/>
                          <w:i/>
                          <w:color w:val="auto"/>
                          <w:sz w:val="24"/>
                          <w:szCs w:val="24"/>
                          <w:vertAlign w:val="baseline"/>
                          <w:lang w:val="en-US" w:eastAsia="zh-CN"/>
                        </w:rPr>
                      </m:ctrlPr>
                    </m:e>
                  </m:d>
                  <m:ctrlPr>
                    <w:rPr>
                      <w:rFonts w:hint="default" w:ascii="Cambria Math" w:hAnsi="Cambria Math" w:cs="Times New Roman"/>
                      <w:i/>
                      <w:color w:val="auto"/>
                      <w:sz w:val="24"/>
                      <w:szCs w:val="24"/>
                      <w:vertAlign w:val="baseline"/>
                      <w:lang w:val="en-US" w:eastAsia="zh-CN"/>
                    </w:rPr>
                  </m:ctrlPr>
                </m:e>
                <m:sup>
                  <m:r>
                    <m:rPr>
                      <m:nor/>
                      <m:sty m:val="p"/>
                    </m:rPr>
                    <w:rPr>
                      <w:rFonts w:hint="default" w:ascii="Times New Roman" w:hAnsi="Times New Roman" w:cs="Times New Roman"/>
                      <w:b w:val="0"/>
                      <w:i w:val="0"/>
                      <w:color w:val="auto"/>
                      <w:sz w:val="24"/>
                      <w:szCs w:val="24"/>
                      <w:vertAlign w:val="baseline"/>
                      <w:lang w:val="en-US" w:eastAsia="zh-CN"/>
                    </w:rPr>
                    <m:t>2</m:t>
                  </m:r>
                  <m:ctrlPr>
                    <w:rPr>
                      <w:rFonts w:hint="default" w:ascii="Cambria Math" w:hAnsi="Cambria Math" w:cs="Times New Roman"/>
                      <w:i/>
                      <w:color w:val="auto"/>
                      <w:sz w:val="24"/>
                      <w:szCs w:val="24"/>
                      <w:vertAlign w:val="baseline"/>
                      <w:lang w:val="en-US" w:eastAsia="zh-CN"/>
                    </w:rPr>
                  </m:ctrlPr>
                </m:sup>
              </m:sSup>
              <m:ctrlPr>
                <w:rPr>
                  <w:rFonts w:hint="default" w:ascii="Cambria Math" w:hAnsi="Cambria Math" w:cs="Times New Roman"/>
                  <w:i/>
                  <w:color w:val="auto"/>
                  <w:sz w:val="24"/>
                  <w:szCs w:val="24"/>
                  <w:vertAlign w:val="baseline"/>
                  <w:lang w:val="en-US" w:eastAsia="zh-CN"/>
                </w:rPr>
              </m:ctrlPr>
            </m:e>
          </m:rad>
          <m:r>
            <m:rPr>
              <m:nor/>
              <m:sty m:val="p"/>
            </m:rPr>
            <w:rPr>
              <w:rFonts w:hint="default" w:ascii="Times New Roman" w:hAnsi="Times New Roman" w:cs="Times New Roman"/>
              <w:b w:val="0"/>
              <w:i w:val="0"/>
              <w:color w:val="auto"/>
              <w:sz w:val="24"/>
              <w:szCs w:val="24"/>
              <w:vertAlign w:val="baseline"/>
              <w:lang w:val="en-US" w:eastAsia="zh-CN"/>
            </w:rPr>
            <m:t>≈0.022</m:t>
          </m:r>
          <m:r>
            <m:rPr>
              <m:nor/>
            </m:rPr>
            <w:rPr>
              <w:rFonts w:hint="default" w:ascii="Times New Roman" w:hAnsi="Times New Roman" w:cs="Times New Roman"/>
              <w:i/>
              <w:color w:val="auto"/>
              <w:sz w:val="24"/>
              <w:szCs w:val="24"/>
              <w:vertAlign w:val="baseline"/>
              <w:lang w:val="en-US" w:eastAsia="zh-CN"/>
            </w:rPr>
            <m:t>g</m:t>
          </m:r>
        </m:oMath>
      </m:oMathPara>
    </w:p>
    <w:p w14:paraId="17D7BB35">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1.6  扩展不确定度计算</w:t>
      </w:r>
    </w:p>
    <w:p w14:paraId="4A54043C">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jc w:val="center"/>
        <w:textAlignment w:val="auto"/>
        <w:rPr>
          <w:rFonts w:hint="default" w:ascii="Times New Roman" w:hAnsi="Times New Roman" w:cs="Times New Roman"/>
          <w:i w:val="0"/>
          <w:color w:val="auto"/>
          <w:sz w:val="24"/>
          <w:szCs w:val="24"/>
          <w:vertAlign w:val="baseline"/>
          <w:lang w:val="en-US" w:eastAsia="zh-CN"/>
        </w:rPr>
      </w:pPr>
      <w:r>
        <w:rPr>
          <w:rFonts w:hint="default" w:ascii="Times New Roman" w:hAnsi="Times New Roman" w:cs="Times New Roman"/>
          <w:i w:val="0"/>
          <w:color w:val="auto"/>
          <w:sz w:val="24"/>
          <w:szCs w:val="24"/>
          <w:vertAlign w:val="baseline"/>
          <w:lang w:val="en-US" w:eastAsia="zh-CN"/>
        </w:rPr>
        <w:t>取包含因子</w:t>
      </w:r>
      <m:oMath>
        <m:r>
          <m:rPr>
            <m:nor/>
          </m:rPr>
          <w:rPr>
            <w:rFonts w:hint="default" w:ascii="Times New Roman" w:hAnsi="Times New Roman" w:cs="Times New Roman"/>
            <w:i/>
            <w:color w:val="auto"/>
            <w:kern w:val="2"/>
            <w:sz w:val="24"/>
            <w:szCs w:val="24"/>
            <w:vertAlign w:val="baseline"/>
            <w:lang w:val="en-US" w:eastAsia="zh-CN" w:bidi="ar-SA"/>
          </w:rPr>
          <m:t>k</m:t>
        </m:r>
        <m:r>
          <m:rPr>
            <m:nor/>
            <m:sty m:val="p"/>
          </m:rPr>
          <w:rPr>
            <w:rFonts w:hint="default" w:ascii="Times New Roman" w:hAnsi="Times New Roman" w:cs="Times New Roman"/>
            <w:b w:val="0"/>
            <w:i w:val="0"/>
            <w:color w:val="auto"/>
            <w:kern w:val="2"/>
            <w:sz w:val="24"/>
            <w:szCs w:val="24"/>
            <w:vertAlign w:val="baseline"/>
            <w:lang w:val="en-US" w:eastAsia="zh-CN" w:bidi="ar-SA"/>
          </w:rPr>
          <m:t>=2</m:t>
        </m:r>
      </m:oMath>
      <w:r>
        <w:rPr>
          <w:rFonts w:hint="default" w:ascii="Times New Roman" w:hAnsi="Times New Roman" w:cs="Times New Roman"/>
          <w:i w:val="0"/>
          <w:color w:val="auto"/>
          <w:kern w:val="2"/>
          <w:sz w:val="24"/>
          <w:szCs w:val="24"/>
          <w:vertAlign w:val="baseline"/>
          <w:lang w:val="en-US" w:eastAsia="zh-CN" w:bidi="ar-SA"/>
        </w:rPr>
        <w:t>，</w:t>
      </w:r>
      <w:r>
        <w:rPr>
          <w:rFonts w:hint="default" w:ascii="Times New Roman" w:hAnsi="Times New Roman" w:cs="Times New Roman"/>
          <w:i w:val="0"/>
          <w:color w:val="auto"/>
          <w:sz w:val="24"/>
          <w:szCs w:val="24"/>
          <w:vertAlign w:val="baseline"/>
          <w:lang w:val="en-US" w:eastAsia="zh-CN"/>
        </w:rPr>
        <w:t>得到质量示值误差校准结果的扩展不确定度：</w:t>
      </w:r>
    </w:p>
    <w:p w14:paraId="0C05633A">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jc w:val="center"/>
        <w:textAlignment w:val="auto"/>
        <w:rPr>
          <w:rFonts w:hint="default" w:ascii="Times New Roman" w:hAnsi="Times New Roman" w:eastAsia="宋体" w:cs="Times New Roman"/>
          <w:i w:val="0"/>
          <w:color w:val="auto"/>
          <w:sz w:val="24"/>
          <w:szCs w:val="24"/>
          <w:vertAlign w:val="baseline"/>
          <w:lang w:val="en-US" w:eastAsia="zh-CN"/>
        </w:rPr>
        <w:sectPr>
          <w:pgSz w:w="11906" w:h="16838"/>
          <w:pgMar w:top="1440" w:right="1633" w:bottom="1440" w:left="1633" w:header="851" w:footer="992" w:gutter="0"/>
          <w:pgBorders>
            <w:top w:val="none" w:sz="0" w:space="0"/>
            <w:left w:val="none" w:sz="0" w:space="0"/>
            <w:bottom w:val="none" w:sz="0" w:space="0"/>
            <w:right w:val="none" w:sz="0" w:space="0"/>
          </w:pgBorders>
          <w:cols w:space="720" w:num="1"/>
          <w:docGrid w:type="lines" w:linePitch="312" w:charSpace="0"/>
        </w:sectPr>
      </w:pPr>
      <m:oMathPara>
        <m:oMath>
          <m:r>
            <m:rPr>
              <m:nor/>
            </m:rPr>
            <w:rPr>
              <w:rFonts w:hint="default" w:ascii="Times New Roman" w:hAnsi="Times New Roman" w:cs="Times New Roman"/>
              <w:i/>
              <w:color w:val="auto"/>
              <w:kern w:val="2"/>
              <w:sz w:val="24"/>
              <w:szCs w:val="24"/>
              <w:vertAlign w:val="baseline"/>
              <w:lang w:val="en-US" w:eastAsia="zh-CN" w:bidi="ar-SA"/>
            </w:rPr>
            <m:t>U</m:t>
          </m:r>
          <m:d>
            <m:dPr>
              <m:ctrlPr>
                <w:rPr>
                  <w:rFonts w:hint="default" w:ascii="Cambria Math" w:hAnsi="Cambria Math" w:cs="Times New Roman"/>
                  <w:i/>
                  <w:color w:val="auto"/>
                  <w:kern w:val="2"/>
                  <w:sz w:val="24"/>
                  <w:szCs w:val="24"/>
                  <w:vertAlign w:val="baseline"/>
                  <w:lang w:val="en-US" w:eastAsia="zh-CN" w:bidi="ar-SA"/>
                </w:rPr>
              </m:ctrlPr>
            </m:dPr>
            <m:e>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ctrlPr>
                <w:rPr>
                  <w:rFonts w:hint="default" w:ascii="Cambria Math" w:hAnsi="Cambria Math" w:cs="Times New Roman"/>
                  <w:i/>
                  <w:color w:val="auto"/>
                  <w:kern w:val="2"/>
                  <w:sz w:val="24"/>
                  <w:szCs w:val="24"/>
                  <w:vertAlign w:val="baseline"/>
                  <w:lang w:val="en-US" w:eastAsia="zh-CN" w:bidi="ar-SA"/>
                </w:rPr>
              </m:ctrlPr>
            </m:e>
          </m:d>
          <m:r>
            <m:rPr>
              <m:nor/>
              <m:sty m:val="p"/>
            </m:rPr>
            <w:rPr>
              <w:rFonts w:hint="default" w:ascii="Times New Roman" w:hAnsi="Times New Roman" w:cs="Times New Roman"/>
              <w:b w:val="0"/>
              <w:i w:val="0"/>
              <w:color w:val="auto"/>
              <w:kern w:val="2"/>
              <w:sz w:val="24"/>
              <w:szCs w:val="24"/>
              <w:vertAlign w:val="baseline"/>
              <w:lang w:val="en-US" w:eastAsia="zh-CN" w:bidi="ar-SA"/>
            </w:rPr>
            <m:t>=2×</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u</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c</m:t>
              </m:r>
              <m:ctrlPr>
                <w:rPr>
                  <w:rFonts w:hint="default" w:ascii="Cambria Math" w:hAnsi="Cambria Math" w:cs="Times New Roman"/>
                  <w:i/>
                  <w:color w:val="auto"/>
                  <w:sz w:val="24"/>
                  <w:szCs w:val="24"/>
                  <w:vertAlign w:val="baseline"/>
                  <w:lang w:val="en-US"/>
                </w:rPr>
              </m:ctrlPr>
            </m:sub>
          </m:sSub>
          <m:d>
            <m:dPr>
              <m:ctrlPr>
                <w:rPr>
                  <w:rFonts w:hint="default" w:ascii="Cambria Math" w:hAnsi="Cambria Math" w:cs="Times New Roman"/>
                  <w:i/>
                  <w:color w:val="auto"/>
                  <w:sz w:val="24"/>
                  <w:szCs w:val="24"/>
                  <w:vertAlign w:val="baseline"/>
                  <w:lang w:val="en-US"/>
                </w:rPr>
              </m:ctrlPr>
            </m:dPr>
            <m:e>
              <m:r>
                <m:rPr>
                  <m:nor/>
                  <m:sty m:val="p"/>
                </m:rPr>
                <w:rPr>
                  <w:rFonts w:hint="default" w:ascii="Times New Roman" w:hAnsi="Times New Roman" w:cs="Times New Roman"/>
                  <w:b w:val="0"/>
                  <w:i w:val="0"/>
                  <w:color w:val="auto"/>
                  <w:sz w:val="24"/>
                  <w:szCs w:val="24"/>
                  <w:vertAlign w:val="baseline"/>
                  <w:lang w:val="en-US"/>
                </w:rPr>
                <m:t>△</m:t>
              </m:r>
              <m:sSub>
                <m:sSubPr>
                  <m:ctrlPr>
                    <w:rPr>
                      <w:rFonts w:hint="default" w:ascii="Cambria Math" w:hAnsi="Cambria Math" w:cs="Times New Roman"/>
                      <w:i/>
                      <w:color w:val="auto"/>
                      <w:sz w:val="24"/>
                      <w:szCs w:val="24"/>
                      <w:vertAlign w:val="baseline"/>
                      <w:lang w:val="en-US"/>
                    </w:rPr>
                  </m:ctrlPr>
                </m:sSubPr>
                <m:e>
                  <m:r>
                    <m:rPr>
                      <m:nor/>
                    </m:rPr>
                    <w:rPr>
                      <w:rFonts w:hint="default" w:ascii="Times New Roman" w:hAnsi="Times New Roman" w:cs="Times New Roman"/>
                      <w:i/>
                      <w:color w:val="auto"/>
                      <w:sz w:val="24"/>
                      <w:szCs w:val="24"/>
                      <w:vertAlign w:val="baseline"/>
                      <w:lang w:val="en-US" w:eastAsia="zh-CN"/>
                    </w:rPr>
                    <m:t>m</m:t>
                  </m:r>
                  <m:ctrlPr>
                    <w:rPr>
                      <w:rFonts w:hint="default" w:ascii="Cambria Math" w:hAnsi="Cambria Math" w:cs="Times New Roman"/>
                      <w:i/>
                      <w:color w:val="auto"/>
                      <w:sz w:val="24"/>
                      <w:szCs w:val="24"/>
                      <w:vertAlign w:val="baseline"/>
                      <w:lang w:val="en-US"/>
                    </w:rPr>
                  </m:ctrlPr>
                </m:e>
                <m:sub>
                  <m:r>
                    <m:rPr>
                      <m:nor/>
                    </m:rPr>
                    <w:rPr>
                      <w:rFonts w:hint="default" w:ascii="Times New Roman" w:hAnsi="Times New Roman" w:cs="Times New Roman"/>
                      <w:i/>
                      <w:color w:val="auto"/>
                      <w:sz w:val="24"/>
                      <w:szCs w:val="24"/>
                      <w:vertAlign w:val="baseline"/>
                      <w:lang w:val="en-US" w:eastAsia="zh-CN"/>
                    </w:rPr>
                    <m:t>i</m:t>
                  </m:r>
                  <m:ctrlPr>
                    <w:rPr>
                      <w:rFonts w:hint="default" w:ascii="Cambria Math" w:hAnsi="Cambria Math" w:cs="Times New Roman"/>
                      <w:i/>
                      <w:color w:val="auto"/>
                      <w:sz w:val="24"/>
                      <w:szCs w:val="24"/>
                      <w:vertAlign w:val="baseline"/>
                      <w:lang w:val="en-US"/>
                    </w:rPr>
                  </m:ctrlPr>
                </m:sub>
              </m:sSub>
              <m:ctrlPr>
                <w:rPr>
                  <w:rFonts w:hint="default" w:ascii="Cambria Math" w:hAnsi="Cambria Math" w:cs="Times New Roman"/>
                  <w:i/>
                  <w:color w:val="auto"/>
                  <w:sz w:val="24"/>
                  <w:szCs w:val="24"/>
                  <w:vertAlign w:val="baseline"/>
                  <w:lang w:val="en-US"/>
                </w:rPr>
              </m:ctrlPr>
            </m:e>
          </m:d>
          <m:r>
            <m:rPr>
              <m:nor/>
              <m:sty m:val="p"/>
            </m:rPr>
            <w:rPr>
              <w:rFonts w:hint="default" w:ascii="Times New Roman" w:hAnsi="Times New Roman" w:cs="Times New Roman"/>
              <w:b w:val="0"/>
              <w:i w:val="0"/>
              <w:color w:val="auto"/>
              <w:sz w:val="24"/>
              <w:szCs w:val="24"/>
              <w:vertAlign w:val="baseline"/>
              <w:lang w:val="en-US" w:eastAsia="zh-CN"/>
            </w:rPr>
            <m:t>=0.05</m:t>
          </m:r>
          <m:r>
            <m:rPr>
              <m:nor/>
            </m:rPr>
            <w:rPr>
              <w:rFonts w:hint="default" w:ascii="Times New Roman" w:hAnsi="Times New Roman" w:cs="Times New Roman"/>
              <w:i/>
              <w:color w:val="auto"/>
              <w:sz w:val="24"/>
              <w:szCs w:val="24"/>
              <w:vertAlign w:val="baseline"/>
              <w:lang w:val="en-US" w:eastAsia="zh-CN"/>
            </w:rPr>
            <m:t>g</m:t>
          </m:r>
        </m:oMath>
      </m:oMathPara>
      <w:bookmarkStart w:id="26" w:name="_GoBack"/>
      <w:bookmarkEnd w:id="26"/>
    </w:p>
    <w:bookmarkEnd w:id="0"/>
    <w:bookmarkEnd w:id="1"/>
    <w:bookmarkEnd w:id="2"/>
    <w:bookmarkEnd w:id="3"/>
    <w:bookmarkEnd w:id="4"/>
    <w:bookmarkEnd w:id="5"/>
    <w:p w14:paraId="0188FA9B">
      <w:pPr>
        <w:keepNext w:val="0"/>
        <w:keepLines w:val="0"/>
        <w:pageBreakBefore w:val="0"/>
        <w:widowControl w:val="0"/>
        <w:kinsoku/>
        <w:wordWrap/>
        <w:overflowPunct/>
        <w:topLinePunct w:val="0"/>
        <w:autoSpaceDE/>
        <w:autoSpaceDN/>
        <w:bidi w:val="0"/>
        <w:adjustRightInd w:val="0"/>
        <w:snapToGrid w:val="0"/>
        <w:spacing w:before="313" w:beforeLines="100" w:after="157" w:afterLines="50" w:line="240" w:lineRule="auto"/>
        <w:jc w:val="center"/>
        <w:textAlignment w:val="auto"/>
        <w:outlineLvl w:val="0"/>
        <w:rPr>
          <w:rFonts w:hint="default" w:ascii="Times New Roman" w:hAnsi="Times New Roman" w:cs="Times New Roman"/>
          <w:sz w:val="24"/>
        </w:rPr>
      </w:pPr>
      <w:bookmarkStart w:id="6" w:name="_Toc25958"/>
      <w:r>
        <w:rPr>
          <w:rFonts w:hint="default" w:ascii="Times New Roman" w:hAnsi="Times New Roman" w:eastAsia="黑体" w:cs="Times New Roman"/>
          <w:sz w:val="28"/>
          <w:szCs w:val="28"/>
        </w:rPr>
        <w:t>自动反应量热仪反应热相对误差校准结果不确定度评定</w:t>
      </w:r>
      <w:bookmarkEnd w:id="6"/>
    </w:p>
    <w:p w14:paraId="39BA45AF">
      <w:pPr>
        <w:pStyle w:val="6"/>
        <w:keepNext w:val="0"/>
        <w:keepLines w:val="0"/>
        <w:pageBreakBefore w:val="0"/>
        <w:kinsoku/>
        <w:wordWrap/>
        <w:topLinePunct w:val="0"/>
        <w:bidi w:val="0"/>
        <w:adjustRightInd w:val="0"/>
        <w:snapToGrid w:val="0"/>
        <w:spacing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bookmarkStart w:id="7" w:name="_Toc8434"/>
      <w:bookmarkStart w:id="8" w:name="_Toc4459"/>
      <w:bookmarkStart w:id="9" w:name="_Toc26674"/>
      <w:bookmarkStart w:id="10" w:name="_Toc163412035"/>
      <w:bookmarkStart w:id="11" w:name="_Toc3534"/>
      <w:bookmarkStart w:id="12" w:name="_Toc317841834"/>
      <w:bookmarkStart w:id="13" w:name="_Toc17365"/>
      <w:bookmarkStart w:id="14" w:name="_Toc16179"/>
      <w:bookmarkStart w:id="15" w:name="_Toc184626264"/>
      <w:bookmarkStart w:id="16" w:name="_Toc136001879"/>
      <w:bookmarkStart w:id="17" w:name="_Toc16510"/>
      <w:r>
        <w:rPr>
          <w:rFonts w:hint="default" w:ascii="Times New Roman" w:hAnsi="Times New Roman" w:eastAsia="宋体" w:cs="Times New Roman"/>
          <w:color w:val="000000" w:themeColor="text1"/>
          <w:sz w:val="24"/>
          <w:szCs w:val="24"/>
          <w14:textFill>
            <w14:solidFill>
              <w14:schemeClr w14:val="tx1"/>
            </w14:solidFill>
          </w14:textFill>
        </w:rPr>
        <w:t xml:space="preserve">1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测量方法</w:t>
      </w:r>
      <w:bookmarkEnd w:id="7"/>
      <w:bookmarkEnd w:id="8"/>
    </w:p>
    <w:p w14:paraId="597CBF6C">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按照本规范规定的校准方法，采用标准直流电源输出</w:t>
      </w:r>
      <w:r>
        <w:rPr>
          <w:rFonts w:hint="default" w:ascii="Times New Roman" w:hAnsi="Times New Roman" w:eastAsia="宋体" w:cs="Times New Roman"/>
          <w:color w:val="000000" w:themeColor="text1"/>
          <w:sz w:val="24"/>
          <w:szCs w:val="24"/>
          <w:lang w:eastAsia="zh-CN"/>
          <w14:textFill>
            <w14:solidFill>
              <w14:schemeClr w14:val="tx1"/>
            </w14:solidFill>
          </w14:textFill>
        </w:rPr>
        <w:t>的</w:t>
      </w:r>
      <w:r>
        <w:rPr>
          <w:rFonts w:hint="default" w:ascii="Times New Roman" w:hAnsi="Times New Roman" w:eastAsia="宋体" w:cs="Times New Roman"/>
          <w:color w:val="000000" w:themeColor="text1"/>
          <w:sz w:val="24"/>
          <w:szCs w:val="24"/>
          <w14:textFill>
            <w14:solidFill>
              <w14:schemeClr w14:val="tx1"/>
            </w14:solidFill>
          </w14:textFill>
        </w:rPr>
        <w:t>功率对反应热进行校准。输出电功率约为20W。</w:t>
      </w:r>
    </w:p>
    <w:p w14:paraId="5442866D">
      <w:pPr>
        <w:pStyle w:val="6"/>
        <w:keepNext w:val="0"/>
        <w:keepLines w:val="0"/>
        <w:pageBreakBefore w:val="0"/>
        <w:kinsoku/>
        <w:wordWrap/>
        <w:topLinePunct w:val="0"/>
        <w:bidi w:val="0"/>
        <w:adjustRightInd w:val="0"/>
        <w:snapToGrid w:val="0"/>
        <w:spacing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bookmarkStart w:id="18" w:name="_Toc15951"/>
      <w:bookmarkStart w:id="19" w:name="_Toc30270"/>
      <w:r>
        <w:rPr>
          <w:rFonts w:hint="default" w:ascii="Times New Roman" w:hAnsi="Times New Roman" w:eastAsia="宋体" w:cs="Times New Roman"/>
          <w:color w:val="000000" w:themeColor="text1"/>
          <w:sz w:val="24"/>
          <w:szCs w:val="24"/>
          <w14:textFill>
            <w14:solidFill>
              <w14:schemeClr w14:val="tx1"/>
            </w14:solidFill>
          </w14:textFill>
        </w:rPr>
        <w:t xml:space="preserve">2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测量模型</w:t>
      </w:r>
      <w:bookmarkEnd w:id="18"/>
      <w:bookmarkEnd w:id="19"/>
    </w:p>
    <w:p w14:paraId="54E2435A">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反应热相对误差按式</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A.1</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进行计算。</w:t>
      </w:r>
    </w:p>
    <w:p w14:paraId="747C0494">
      <w:pPr>
        <w:pStyle w:val="8"/>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w:t>
      </w:r>
      <m:oMath>
        <m:sSub>
          <m:sSubPr>
            <m:ctrlPr>
              <w:rPr>
                <w:rFonts w:hint="default" w:ascii="DejaVu Math TeX Gyre" w:hAnsi="DejaVu Math TeX Gyre" w:eastAsia="宋体" w:cs="Noto Sans Gurmukhi"/>
                <w:i/>
                <w:color w:val="000000" w:themeColor="text1"/>
                <w:sz w:val="24"/>
                <w:szCs w:val="24"/>
                <w14:textFill>
                  <w14:solidFill>
                    <w14:schemeClr w14:val="tx1"/>
                  </w14:solidFill>
                </w14:textFill>
              </w:rPr>
            </m:ctrlPr>
          </m:sSubPr>
          <m:e>
            <m:r>
              <m:rPr>
                <m:nor/>
              </m:rPr>
              <w:rPr>
                <w:rFonts w:hint="default" w:ascii="DejaVu Math TeX Gyre" w:hAnsi="DejaVu Math TeX Gyre" w:eastAsia="宋体" w:cs="Noto Sans Gurmukhi"/>
                <w:i/>
                <w:color w:val="000000" w:themeColor="text1"/>
                <w:sz w:val="24"/>
                <w:szCs w:val="24"/>
                <w:lang w:val="en-US" w:eastAsia="zh-CN"/>
                <w14:textFill>
                  <w14:solidFill>
                    <w14:schemeClr w14:val="tx1"/>
                  </w14:solidFill>
                </w14:textFill>
              </w:rPr>
              <m:t>r</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e>
          <m:sub>
            <m:r>
              <m:rPr>
                <m:nor/>
              </m:rPr>
              <w:rPr>
                <w:rFonts w:hint="default" w:ascii="DejaVu Math TeX Gyre" w:hAnsi="DejaVu Math TeX Gyre" w:eastAsia="宋体" w:cs="Noto Sans Gurmukhi"/>
                <w:i/>
                <w:color w:val="000000" w:themeColor="text1"/>
                <w:sz w:val="24"/>
                <w:szCs w:val="24"/>
                <w:lang w:val="en-US" w:eastAsia="zh-CN"/>
                <w14:textFill>
                  <w14:solidFill>
                    <w14:schemeClr w14:val="tx1"/>
                  </w14:solidFill>
                </w14:textFill>
              </w:rPr>
              <m:t>Q</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sub>
        </m:sSub>
        <m:r>
          <m:rPr>
            <m:nor/>
            <m:sty m:val="p"/>
          </m:rPr>
          <w:rPr>
            <w:rFonts w:hint="default" w:ascii="DejaVu Math TeX Gyre" w:hAnsi="DejaVu Math TeX Gyre" w:eastAsia="宋体" w:cs="Noto Sans Gurmukhi"/>
            <w:b w:val="0"/>
            <w:i w:val="0"/>
            <w:color w:val="000000" w:themeColor="text1"/>
            <w:sz w:val="24"/>
            <w:szCs w:val="24"/>
            <w14:textFill>
              <w14:solidFill>
                <w14:schemeClr w14:val="tx1"/>
              </w14:solidFill>
            </w14:textFill>
          </w:rPr>
          <m:t>=</m:t>
        </m:r>
        <m:f>
          <m:fPr>
            <m:ctrlPr>
              <w:rPr>
                <w:rFonts w:hint="default" w:ascii="DejaVu Math TeX Gyre" w:hAnsi="DejaVu Math TeX Gyre" w:eastAsia="宋体" w:cs="Noto Sans Gurmukhi"/>
                <w:i/>
                <w:color w:val="000000" w:themeColor="text1"/>
                <w:sz w:val="24"/>
                <w:szCs w:val="24"/>
                <w14:textFill>
                  <w14:solidFill>
                    <w14:schemeClr w14:val="tx1"/>
                  </w14:solidFill>
                </w14:textFill>
              </w:rPr>
            </m:ctrlPr>
          </m:fPr>
          <m:num>
            <m:sSub>
              <m:sSubPr>
                <m:ctrlPr>
                  <w:rPr>
                    <w:rFonts w:hint="default" w:ascii="DejaVu Math TeX Gyre" w:hAnsi="DejaVu Math TeX Gyre" w:eastAsia="宋体" w:cs="Noto Sans Gurmukhi"/>
                    <w:i/>
                    <w:color w:val="000000" w:themeColor="text1"/>
                    <w:sz w:val="24"/>
                    <w:szCs w:val="24"/>
                    <w14:textFill>
                      <w14:solidFill>
                        <w14:schemeClr w14:val="tx1"/>
                      </w14:solidFill>
                    </w14:textFill>
                  </w:rPr>
                </m:ctrlPr>
              </m:sSubPr>
              <m:e>
                <m:r>
                  <m:rPr>
                    <m:nor/>
                  </m:rPr>
                  <w:rPr>
                    <w:rFonts w:hint="default" w:ascii="DejaVu Math TeX Gyre" w:hAnsi="DejaVu Math TeX Gyre" w:eastAsia="宋体" w:cs="Noto Sans Gurmukhi"/>
                    <w:i/>
                    <w:color w:val="000000" w:themeColor="text1"/>
                    <w:sz w:val="24"/>
                    <w:szCs w:val="24"/>
                    <w:lang w:val="en-US" w:eastAsia="zh-CN"/>
                    <w14:textFill>
                      <w14:solidFill>
                        <w14:schemeClr w14:val="tx1"/>
                      </w14:solidFill>
                    </w14:textFill>
                  </w:rPr>
                  <m:t>Q</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e>
              <m:sub>
                <m:r>
                  <m:rPr>
                    <m:nor/>
                  </m:rPr>
                  <w:rPr>
                    <w:rFonts w:hint="default" w:ascii="DejaVu Math TeX Gyre" w:hAnsi="DejaVu Math TeX Gyre" w:eastAsia="宋体" w:cs="Noto Sans Gurmukhi"/>
                    <w:i/>
                    <w:color w:val="000000" w:themeColor="text1"/>
                    <w:sz w:val="24"/>
                    <w:szCs w:val="24"/>
                    <w:lang w:val="en-US" w:eastAsia="zh-CN"/>
                    <w14:textFill>
                      <w14:solidFill>
                        <w14:schemeClr w14:val="tx1"/>
                      </w14:solidFill>
                    </w14:textFill>
                  </w:rPr>
                  <m:t>m</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sub>
            </m:sSub>
            <m:r>
              <m:rPr>
                <m:nor/>
                <m:sty m:val="p"/>
              </m:rPr>
              <w:rPr>
                <w:rFonts w:hint="default" w:ascii="DejaVu Math TeX Gyre" w:hAnsi="DejaVu Math TeX Gyre" w:eastAsia="宋体" w:cs="Noto Sans Gurmukhi"/>
                <w:b w:val="0"/>
                <w:i w:val="0"/>
                <w:color w:val="000000" w:themeColor="text1"/>
                <w:sz w:val="24"/>
                <w:szCs w:val="24"/>
                <w14:textFill>
                  <w14:solidFill>
                    <w14:schemeClr w14:val="tx1"/>
                  </w14:solidFill>
                </w14:textFill>
              </w:rPr>
              <m:t>−</m:t>
            </m:r>
            <m:sSub>
              <m:sSubPr>
                <m:ctrlPr>
                  <w:rPr>
                    <w:rFonts w:hint="default" w:ascii="DejaVu Math TeX Gyre" w:hAnsi="DejaVu Math TeX Gyre" w:eastAsia="宋体" w:cs="Noto Sans Gurmukhi"/>
                    <w:i/>
                    <w:color w:val="000000" w:themeColor="text1"/>
                    <w:sz w:val="24"/>
                    <w:szCs w:val="24"/>
                    <w14:textFill>
                      <w14:solidFill>
                        <w14:schemeClr w14:val="tx1"/>
                      </w14:solidFill>
                    </w14:textFill>
                  </w:rPr>
                </m:ctrlPr>
              </m:sSubPr>
              <m:e>
                <m:r>
                  <m:rPr>
                    <m:nor/>
                  </m:rPr>
                  <w:rPr>
                    <w:rFonts w:hint="default" w:ascii="DejaVu Math TeX Gyre" w:hAnsi="DejaVu Math TeX Gyre" w:eastAsia="宋体" w:cs="Noto Sans Gurmukhi"/>
                    <w:i/>
                    <w:color w:val="000000" w:themeColor="text1"/>
                    <w:sz w:val="24"/>
                    <w:szCs w:val="24"/>
                    <w:lang w:val="en-US"/>
                    <w14:textFill>
                      <w14:solidFill>
                        <w14:schemeClr w14:val="tx1"/>
                      </w14:solidFill>
                    </w14:textFill>
                  </w:rPr>
                  <m:t>Q</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e>
              <m:sub>
                <m:r>
                  <m:rPr>
                    <m:nor/>
                  </m:rPr>
                  <w:rPr>
                    <w:rFonts w:hint="default" w:ascii="DejaVu Math TeX Gyre" w:hAnsi="DejaVu Math TeX Gyre" w:eastAsia="宋体" w:cs="Noto Sans Gurmukhi"/>
                    <w:i/>
                    <w:color w:val="000000" w:themeColor="text1"/>
                    <w:sz w:val="24"/>
                    <w:szCs w:val="24"/>
                    <w:lang w:val="en-US"/>
                    <w14:textFill>
                      <w14:solidFill>
                        <w14:schemeClr w14:val="tx1"/>
                      </w14:solidFill>
                    </w14:textFill>
                  </w:rPr>
                  <m:t>r</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sub>
            </m:sSub>
            <m:ctrlPr>
              <w:rPr>
                <w:rFonts w:hint="default" w:ascii="DejaVu Math TeX Gyre" w:hAnsi="DejaVu Math TeX Gyre" w:eastAsia="宋体" w:cs="Noto Sans Gurmukhi"/>
                <w:i/>
                <w:color w:val="000000" w:themeColor="text1"/>
                <w:sz w:val="24"/>
                <w:szCs w:val="24"/>
                <w14:textFill>
                  <w14:solidFill>
                    <w14:schemeClr w14:val="tx1"/>
                  </w14:solidFill>
                </w14:textFill>
              </w:rPr>
            </m:ctrlPr>
          </m:num>
          <m:den>
            <m:sSub>
              <m:sSubPr>
                <m:ctrlPr>
                  <w:rPr>
                    <w:rFonts w:hint="default" w:ascii="DejaVu Math TeX Gyre" w:hAnsi="DejaVu Math TeX Gyre" w:eastAsia="宋体" w:cs="Noto Sans Gurmukhi"/>
                    <w:i/>
                    <w:color w:val="000000" w:themeColor="text1"/>
                    <w:sz w:val="24"/>
                    <w:szCs w:val="24"/>
                    <w14:textFill>
                      <w14:solidFill>
                        <w14:schemeClr w14:val="tx1"/>
                      </w14:solidFill>
                    </w14:textFill>
                  </w:rPr>
                </m:ctrlPr>
              </m:sSubPr>
              <m:e>
                <m:r>
                  <m:rPr>
                    <m:nor/>
                  </m:rPr>
                  <w:rPr>
                    <w:rFonts w:hint="default" w:ascii="DejaVu Math TeX Gyre" w:hAnsi="DejaVu Math TeX Gyre" w:eastAsia="宋体" w:cs="Noto Sans Gurmukhi"/>
                    <w:i/>
                    <w:color w:val="000000" w:themeColor="text1"/>
                    <w:sz w:val="24"/>
                    <w:szCs w:val="24"/>
                    <w:lang w:val="en-US"/>
                    <w14:textFill>
                      <w14:solidFill>
                        <w14:schemeClr w14:val="tx1"/>
                      </w14:solidFill>
                    </w14:textFill>
                  </w:rPr>
                  <m:t>Q</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e>
              <m:sub>
                <m:r>
                  <m:rPr>
                    <m:nor/>
                  </m:rPr>
                  <w:rPr>
                    <w:rFonts w:hint="default" w:ascii="DejaVu Math TeX Gyre" w:hAnsi="DejaVu Math TeX Gyre" w:eastAsia="宋体" w:cs="Noto Sans Gurmukhi"/>
                    <w:i/>
                    <w:color w:val="000000" w:themeColor="text1"/>
                    <w:sz w:val="24"/>
                    <w:szCs w:val="24"/>
                    <w:lang w:val="en-US"/>
                    <w14:textFill>
                      <w14:solidFill>
                        <w14:schemeClr w14:val="tx1"/>
                      </w14:solidFill>
                    </w14:textFill>
                  </w:rPr>
                  <m:t>r</m:t>
                </m:r>
                <m:ctrlPr>
                  <w:rPr>
                    <w:rFonts w:hint="default" w:ascii="DejaVu Math TeX Gyre" w:hAnsi="DejaVu Math TeX Gyre" w:eastAsia="宋体" w:cs="Noto Sans Gurmukhi"/>
                    <w:i/>
                    <w:color w:val="000000" w:themeColor="text1"/>
                    <w:sz w:val="24"/>
                    <w:szCs w:val="24"/>
                    <w14:textFill>
                      <w14:solidFill>
                        <w14:schemeClr w14:val="tx1"/>
                      </w14:solidFill>
                    </w14:textFill>
                  </w:rPr>
                </m:ctrlPr>
              </m:sub>
            </m:sSub>
            <m:ctrlPr>
              <w:rPr>
                <w:rFonts w:hint="default" w:ascii="DejaVu Math TeX Gyre" w:hAnsi="DejaVu Math TeX Gyre" w:eastAsia="宋体" w:cs="Noto Sans Gurmukhi"/>
                <w:i/>
                <w:color w:val="000000" w:themeColor="text1"/>
                <w:sz w:val="24"/>
                <w:szCs w:val="24"/>
                <w14:textFill>
                  <w14:solidFill>
                    <w14:schemeClr w14:val="tx1"/>
                  </w14:solidFill>
                </w14:textFill>
              </w:rPr>
            </m:ctrlPr>
          </m:den>
        </m:f>
        <m:r>
          <m:rPr>
            <m:nor/>
            <m:sty m:val="p"/>
          </m:rPr>
          <w:rPr>
            <w:rFonts w:hint="default" w:ascii="DejaVu Math TeX Gyre" w:hAnsi="DejaVu Math TeX Gyre" w:eastAsia="宋体" w:cs="Noto Sans Gurmukhi"/>
            <w:b w:val="0"/>
            <w:i w:val="0"/>
            <w:color w:val="000000" w:themeColor="text1"/>
            <w:sz w:val="24"/>
            <w:szCs w:val="24"/>
            <w14:textFill>
              <w14:solidFill>
                <w14:schemeClr w14:val="tx1"/>
              </w14:solidFill>
            </w14:textFill>
          </w:rPr>
          <m:t>×100%</m:t>
        </m:r>
      </m:oMath>
      <w:r>
        <w:rPr>
          <w:rFonts w:hint="default" w:ascii="Times New Roman" w:hAnsi="Times New Roman" w:eastAsia="宋体" w:cs="Times New Roman"/>
          <w:color w:val="000000" w:themeColor="text1"/>
          <w:sz w:val="24"/>
          <w:szCs w:val="24"/>
          <w14:textFill>
            <w14:solidFill>
              <w14:schemeClr w14:val="tx1"/>
            </w14:solidFill>
          </w14:textFill>
        </w:rPr>
        <w:t xml:space="preserve">                    （A.1）</w:t>
      </w:r>
    </w:p>
    <w:p w14:paraId="4EE72577">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p>
    <w:p w14:paraId="65CE05F0">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sub>
        </m:sSub>
      </m:oMath>
      <w:r>
        <w:rPr>
          <w:rFonts w:hint="default" w:ascii="Times New Roman" w:hAnsi="Times New Roman" w:eastAsia="宋体" w:cs="Times New Roman"/>
          <w:color w:val="000000" w:themeColor="text1"/>
          <w:sz w:val="24"/>
          <w:szCs w:val="24"/>
          <w14:textFill>
            <w14:solidFill>
              <w14:schemeClr w14:val="tx1"/>
            </w14:solidFill>
          </w14:textFill>
        </w:rPr>
        <w:t>——反应热相对误差，％；</w:t>
      </w:r>
    </w:p>
    <w:p w14:paraId="73398684">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oMath>
      <w:r>
        <w:rPr>
          <w:rFonts w:hint="default" w:ascii="Times New Roman" w:hAnsi="Times New Roman" w:eastAsia="宋体" w:cs="Times New Roman"/>
          <w:color w:val="000000" w:themeColor="text1"/>
          <w:sz w:val="24"/>
          <w:szCs w:val="24"/>
          <w14:textFill>
            <w14:solidFill>
              <w14:schemeClr w14:val="tx1"/>
            </w14:solidFill>
          </w14:textFill>
        </w:rPr>
        <w:t>——校准过程中测量的反应热，J；</w:t>
      </w:r>
    </w:p>
    <w:p w14:paraId="16530AC4">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lang w:val="en-US" w:eastAsia="zh-CN"/>
          <w14:textFill>
            <w14:solidFill>
              <w14:schemeClr w14:val="tx1"/>
            </w14:solidFill>
          </w14:textFill>
        </w:rPr>
      </w:pPr>
      <m:oMath>
        <m:sSub>
          <m:sSubPr>
            <m:ctrlPr>
              <w:rPr>
                <w:rFonts w:hint="default" w:ascii="Cambria Math" w:hAnsi="Cambria Math" w:cs="Times New Roman"/>
                <w:sz w:val="24"/>
              </w:rPr>
            </m:ctrlPr>
          </m:sSubPr>
          <m:e>
            <m:r>
              <m:rPr>
                <m:nor/>
              </m:rPr>
              <w:rPr>
                <w:rFonts w:hint="default" w:ascii="Times New Roman" w:hAnsi="Times New Roman" w:cs="Times New Roman"/>
                <w:i/>
                <w:sz w:val="24"/>
              </w:rPr>
              <m:t>Q</m:t>
            </m:r>
            <m:ctrlPr>
              <w:rPr>
                <w:rFonts w:hint="default" w:ascii="Cambria Math" w:hAnsi="Cambria Math" w:cs="Times New Roman"/>
                <w:sz w:val="24"/>
              </w:rPr>
            </m:ctrlPr>
          </m:e>
          <m:sub>
            <m:r>
              <m:rPr>
                <m:nor/>
              </m:rPr>
              <w:rPr>
                <w:rFonts w:hint="default" w:ascii="Times New Roman" w:hAnsi="Times New Roman" w:cs="Times New Roman"/>
                <w:i/>
                <w:sz w:val="24"/>
              </w:rPr>
              <m:t>r</m:t>
            </m:r>
            <m:ctrlPr>
              <w:rPr>
                <w:rFonts w:hint="default" w:ascii="Cambria Math" w:hAnsi="Cambria Math" w:cs="Times New Roman"/>
                <w:sz w:val="24"/>
              </w:rPr>
            </m:ctrlPr>
          </m:sub>
        </m:sSub>
        <m:r>
          <m:rPr>
            <m:nor/>
            <m:sty m:val="p"/>
          </m:rPr>
          <w:rPr>
            <w:rFonts w:hint="default" w:ascii="Times New Roman" w:hAnsi="Times New Roman" w:cs="Times New Roman"/>
            <w:b w:val="0"/>
            <w:i w:val="0"/>
            <w:sz w:val="24"/>
          </w:rPr>
          <m:t>=</m:t>
        </m:r>
        <m:r>
          <m:rPr>
            <m:nor/>
          </m:rPr>
          <w:rPr>
            <w:rFonts w:hint="default" w:ascii="Times New Roman" w:hAnsi="Times New Roman" w:cs="Times New Roman"/>
            <w:i/>
            <w:sz w:val="24"/>
          </w:rPr>
          <m:t>UIt</m:t>
        </m:r>
      </m:oMath>
      <w:r>
        <w:rPr>
          <w:rFonts w:hint="default" w:ascii="Times New Roman" w:hAnsi="Times New Roman" w:eastAsia="宋体" w:cs="Times New Roman"/>
          <w:color w:val="000000" w:themeColor="text1"/>
          <w:sz w:val="24"/>
          <w:szCs w:val="24"/>
          <w14:textFill>
            <w14:solidFill>
              <w14:schemeClr w14:val="tx1"/>
            </w14:solidFill>
          </w14:textFill>
        </w:rPr>
        <w:t>——标准直流电源输出</w:t>
      </w:r>
      <w:r>
        <w:rPr>
          <w:rFonts w:hint="default" w:ascii="Times New Roman" w:hAnsi="Times New Roman" w:eastAsia="宋体" w:cs="Times New Roman"/>
          <w:color w:val="000000" w:themeColor="text1"/>
          <w:sz w:val="24"/>
          <w:szCs w:val="24"/>
          <w:lang w:eastAsia="zh-CN"/>
          <w14:textFill>
            <w14:solidFill>
              <w14:schemeClr w14:val="tx1"/>
            </w14:solidFill>
          </w14:textFill>
        </w:rPr>
        <w:t>热</w:t>
      </w:r>
      <w:r>
        <w:rPr>
          <w:rFonts w:hint="default" w:ascii="Times New Roman" w:hAnsi="Times New Roman" w:eastAsia="宋体" w:cs="Times New Roman"/>
          <w:color w:val="000000" w:themeColor="text1"/>
          <w:sz w:val="24"/>
          <w:szCs w:val="24"/>
          <w14:textFill>
            <w14:solidFill>
              <w14:schemeClr w14:val="tx1"/>
            </w14:solidFill>
          </w14:textFill>
        </w:rPr>
        <w:t>，J</w:t>
      </w:r>
      <w:r>
        <w:rPr>
          <w:rFonts w:hint="default" w:ascii="Times New Roman" w:hAnsi="Times New Roman" w:cs="Times New Roman"/>
          <w:color w:val="000000" w:themeColor="text1"/>
          <w:sz w:val="24"/>
          <w:szCs w:val="24"/>
          <w:lang w:eastAsia="zh-CN"/>
          <w14:textFill>
            <w14:solidFill>
              <w14:schemeClr w14:val="tx1"/>
            </w14:solidFill>
          </w14:textFill>
        </w:rPr>
        <w:t>。</w:t>
      </w:r>
    </w:p>
    <w:p w14:paraId="505D209E">
      <w:pPr>
        <w:keepNext w:val="0"/>
        <w:keepLines w:val="0"/>
        <w:pageBreakBefore w:val="0"/>
        <w:kinsoku/>
        <w:wordWrap/>
        <w:topLinePunct w:val="0"/>
        <w:bidi w:val="0"/>
        <w:adjustRightInd w:val="0"/>
        <w:snapToGrid w:val="0"/>
        <w:spacing w:line="288" w:lineRule="auto"/>
        <w:rPr>
          <w:rFonts w:hint="default" w:ascii="Times New Roman" w:hAnsi="Times New Roman" w:eastAsia="宋体" w:cs="Times New Roman"/>
          <w:color w:val="000000" w:themeColor="text1"/>
          <w:spacing w:val="2"/>
          <w:kern w:val="21"/>
          <w:sz w:val="24"/>
          <w:szCs w:val="24"/>
          <w14:textFill>
            <w14:solidFill>
              <w14:schemeClr w14:val="tx1"/>
            </w14:solidFill>
          </w14:textFill>
        </w:rPr>
      </w:pPr>
      <w:r>
        <w:rPr>
          <w:rFonts w:hint="default" w:ascii="Times New Roman" w:hAnsi="Times New Roman" w:eastAsia="宋体" w:cs="Times New Roman"/>
          <w:color w:val="000000" w:themeColor="text1"/>
          <w:spacing w:val="2"/>
          <w:kern w:val="21"/>
          <w:sz w:val="24"/>
          <w:szCs w:val="24"/>
          <w14:textFill>
            <w14:solidFill>
              <w14:schemeClr w14:val="tx1"/>
            </w14:solidFill>
          </w14:textFill>
        </w:rPr>
        <w:t>3</w:t>
      </w:r>
      <w:r>
        <w:rPr>
          <w:rFonts w:hint="eastAsia" w:ascii="Times New Roman" w:hAnsi="Times New Roman" w:cs="Times New Roman"/>
          <w:color w:val="000000" w:themeColor="text1"/>
          <w:spacing w:val="2"/>
          <w:kern w:val="2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pacing w:val="2"/>
          <w:kern w:val="21"/>
          <w:sz w:val="24"/>
          <w:szCs w:val="24"/>
          <w14:textFill>
            <w14:solidFill>
              <w14:schemeClr w14:val="tx1"/>
            </w14:solidFill>
          </w14:textFill>
        </w:rPr>
        <w:t>不确定度传播律</w:t>
      </w:r>
    </w:p>
    <w:p w14:paraId="13D61C1E">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各输入量之间不相关，根据不确定度传播律，其合成标准不确定度可用公式（A.2）表示：</w:t>
      </w:r>
    </w:p>
    <w:p w14:paraId="4ECD93BE">
      <w:pPr>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ad>
          <m:radPr>
            <m:degHide m:val="1"/>
            <m:ctrlPr>
              <w:rPr>
                <w:rFonts w:hint="default" w:ascii="Cambria Math" w:hAnsi="Cambria Math" w:eastAsia="宋体" w:cs="Times New Roman"/>
                <w:i/>
                <w:color w:val="000000" w:themeColor="text1"/>
                <w:sz w:val="24"/>
                <w:szCs w:val="24"/>
                <w:lang w:val="en-US"/>
                <w14:textFill>
                  <w14:solidFill>
                    <w14:schemeClr w14:val="tx1"/>
                  </w14:solidFill>
                </w14:textFill>
              </w:rPr>
            </m:ctrlPr>
          </m:radPr>
          <m:deg>
            <m:ctrlPr>
              <w:rPr>
                <w:rFonts w:hint="default" w:ascii="Cambria Math" w:hAnsi="Cambria Math" w:eastAsia="宋体" w:cs="Times New Roman"/>
                <w:i/>
                <w:color w:val="000000" w:themeColor="text1"/>
                <w:sz w:val="24"/>
                <w:szCs w:val="24"/>
                <w:lang w:val="en-US"/>
                <w14:textFill>
                  <w14:solidFill>
                    <w14:schemeClr w14:val="tx1"/>
                  </w14:solidFill>
                </w14:textFill>
              </w:rPr>
            </m:ctrlPr>
          </m:deg>
          <m:e>
            <m:sSubSup>
              <m:sSub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b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sub>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b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Sup>
              <m:sSub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b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sub>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b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rad>
      </m:oMath>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(A.2)</w:t>
      </w:r>
    </w:p>
    <w:p w14:paraId="36B687E8">
      <w:pPr>
        <w:pStyle w:val="8"/>
        <w:keepNext w:val="0"/>
        <w:keepLines w:val="0"/>
        <w:pageBreakBefore w:val="0"/>
        <w:kinsoku/>
        <w:wordWrap/>
        <w:topLinePunct w:val="0"/>
        <w:bidi w:val="0"/>
        <w:adjustRightInd w:val="0"/>
        <w:snapToGrid w:val="0"/>
        <w:spacing w:line="288"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式中，灵敏系数可表示为：</w:t>
      </w:r>
    </w:p>
    <w:p w14:paraId="2CBC96C0">
      <w:pPr>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oMath>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(A.3)</w:t>
      </w:r>
    </w:p>
    <w:p w14:paraId="632BCCA1">
      <w:pPr>
        <w:pStyle w:val="8"/>
        <w:keepNext w:val="0"/>
        <w:keepLines w:val="0"/>
        <w:pageBreakBefore w:val="0"/>
        <w:kinsoku/>
        <w:wordWrap/>
        <w:topLinePunct w:val="0"/>
        <w:bidi w:val="0"/>
        <w:adjustRightInd w:val="0"/>
        <w:snapToGrid w:val="0"/>
        <w:spacing w:line="288"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ab/>
      </w:r>
      <w:r>
        <w:rPr>
          <w:rFonts w:hint="default" w:ascii="Times New Roman" w:hAnsi="Times New Roman" w:eastAsia="宋体" w:cs="Times New Roman"/>
          <w:color w:val="000000" w:themeColor="text1"/>
          <w:sz w:val="24"/>
          <w:szCs w:val="24"/>
          <w:lang w:val="en-US"/>
          <w14:textFill>
            <w14:solidFill>
              <w14:schemeClr w14:val="tx1"/>
            </w14:solidFill>
          </w14:textFill>
        </w:rPr>
        <w:t xml:space="preserve">              </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oMath>
      <w:r>
        <w:rPr>
          <w:rFonts w:hint="default" w:ascii="Times New Roman" w:hAnsi="Times New Roman" w:eastAsia="宋体" w:cs="Times New Roman"/>
          <w:i w:val="0"/>
          <w:color w:val="000000" w:themeColor="text1"/>
          <w:sz w:val="24"/>
          <w:szCs w:val="24"/>
          <w:lang w:val="en-US"/>
          <w14:textFill>
            <w14:solidFill>
              <w14:schemeClr w14:val="tx1"/>
            </w14:solidFill>
          </w14:textFill>
        </w:rPr>
        <w:t xml:space="preserve">                    (A.4)</w:t>
      </w:r>
      <w:r>
        <w:rPr>
          <w:rFonts w:hint="default" w:ascii="Times New Roman" w:hAnsi="Times New Roman" w:eastAsia="宋体" w:cs="Times New Roman"/>
          <w:color w:val="000000" w:themeColor="text1"/>
          <w:sz w:val="24"/>
          <w:szCs w:val="24"/>
          <w14:textFill>
            <w14:solidFill>
              <w14:schemeClr w14:val="tx1"/>
            </w14:solidFill>
          </w14:textFill>
        </w:rPr>
        <w:tab/>
      </w:r>
    </w:p>
    <w:p w14:paraId="2FE4BBCE">
      <w:pPr>
        <w:keepNext w:val="0"/>
        <w:keepLines w:val="0"/>
        <w:pageBreakBefore w:val="0"/>
        <w:kinsoku/>
        <w:wordWrap/>
        <w:topLinePunct w:val="0"/>
        <w:bidi w:val="0"/>
        <w:adjustRightInd w:val="0"/>
        <w:snapToGrid w:val="0"/>
        <w:spacing w:line="288"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2"/>
          <w:kern w:val="21"/>
          <w:sz w:val="24"/>
          <w:szCs w:val="24"/>
          <w14:textFill>
            <w14:solidFill>
              <w14:schemeClr w14:val="tx1"/>
            </w14:solidFill>
          </w14:textFill>
        </w:rPr>
        <w:t>由于示值误差较小，这里可认为</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oMath>
      <w:r>
        <w:rPr>
          <w:rFonts w:hint="default" w:ascii="Times New Roman" w:hAnsi="Times New Roman" w:cs="Times New Roman"/>
          <w:i w:val="0"/>
          <w:color w:val="000000" w:themeColor="text1"/>
          <w:sz w:val="24"/>
          <w:szCs w:val="24"/>
          <w:lang w:eastAsia="zh-CN"/>
          <w14:textFill>
            <w14:solidFill>
              <w14:schemeClr w14:val="tx1"/>
            </w14:solidFill>
          </w14:textFill>
        </w:rPr>
        <w:t>等于</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oMath>
      <w:r>
        <w:rPr>
          <w:rFonts w:hint="default" w:ascii="Times New Roman" w:hAnsi="Times New Roman" w:eastAsia="宋体" w:cs="Times New Roman"/>
          <w:color w:val="000000" w:themeColor="text1"/>
          <w:spacing w:val="2"/>
          <w:kern w:val="21"/>
          <w:sz w:val="24"/>
          <w:szCs w:val="24"/>
          <w14:textFill>
            <w14:solidFill>
              <w14:schemeClr w14:val="tx1"/>
            </w14:solidFill>
          </w14:textFill>
        </w:rPr>
        <w:t>，所以，</w:t>
      </w:r>
      <w:r>
        <w:rPr>
          <w:rFonts w:hint="default" w:ascii="Times New Roman" w:hAnsi="Times New Roman" w:eastAsia="宋体" w:cs="Times New Roman"/>
          <w:color w:val="000000" w:themeColor="text1"/>
          <w:sz w:val="24"/>
          <w:szCs w:val="24"/>
          <w14:textFill>
            <w14:solidFill>
              <w14:schemeClr w14:val="tx1"/>
            </w14:solidFill>
          </w14:textFill>
        </w:rPr>
        <w:t>灵敏系数可改写为：</w:t>
      </w:r>
    </w:p>
    <w:p w14:paraId="05F2414D">
      <w:pPr>
        <w:pStyle w:val="8"/>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(A.5)</w:t>
      </w:r>
    </w:p>
    <w:p w14:paraId="36F48B37">
      <w:pPr>
        <w:pStyle w:val="8"/>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e>
          <m:sub>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f</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sty m:val="p"/>
              </m:rPr>
              <w:rPr>
                <w:rFonts w:hint="default" w:ascii="Times New Roman" w:hAnsi="Times New Roman" w:eastAsia="宋体" w:cs="Times New Roman"/>
                <w:b w:val="0"/>
                <w:i w:val="0"/>
                <w:color w:val="000000" w:themeColor="text1"/>
                <w:sz w:val="24"/>
                <w:szCs w:val="24"/>
                <w:lang w:val="en-US" w:eastAsia="zh-CN"/>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(A.6)</w:t>
      </w:r>
    </w:p>
    <w:p w14:paraId="222E3DD4">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将式（A.5）和式（A.6）</w:t>
      </w:r>
      <w:r>
        <w:rPr>
          <w:rFonts w:hint="default" w:ascii="Times New Roman" w:hAnsi="Times New Roman" w:eastAsia="宋体" w:cs="Times New Roman"/>
          <w:color w:val="000000" w:themeColor="text1"/>
          <w:sz w:val="24"/>
          <w:szCs w:val="24"/>
          <w:lang w:eastAsia="zh-CN"/>
          <w14:textFill>
            <w14:solidFill>
              <w14:schemeClr w14:val="tx1"/>
            </w14:solidFill>
          </w14:textFill>
        </w:rPr>
        <w:t>代入</w:t>
      </w:r>
      <w:r>
        <w:rPr>
          <w:rFonts w:hint="default" w:ascii="Times New Roman" w:hAnsi="Times New Roman" w:eastAsia="宋体" w:cs="Times New Roman"/>
          <w:color w:val="000000" w:themeColor="text1"/>
          <w:sz w:val="24"/>
          <w:szCs w:val="24"/>
          <w14:textFill>
            <w14:solidFill>
              <w14:schemeClr w14:val="tx1"/>
            </w14:solidFill>
          </w14:textFill>
        </w:rPr>
        <w:t>式（A.2）可得反应热相对误差的不确定度计算公式：</w:t>
      </w:r>
    </w:p>
    <w:p w14:paraId="15371CCE">
      <w:pPr>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color w:val="000000" w:themeColor="text1"/>
          <w:sz w:val="24"/>
          <w:szCs w:val="24"/>
          <w14:textFill>
            <w14:solidFill>
              <w14:schemeClr w14:val="tx1"/>
            </w14:solidFill>
          </w14:textFill>
        </w:rPr>
      </w:pP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m:t>
        </m:r>
        <m:rad>
          <m:radPr>
            <m:degHide m:val="1"/>
            <m:ctrlPr>
              <w:rPr>
                <w:rFonts w:hint="default" w:ascii="Cambria Math" w:hAnsi="Cambria Math" w:eastAsia="宋体" w:cs="Times New Roman"/>
                <w:i/>
                <w:color w:val="000000" w:themeColor="text1"/>
                <w:sz w:val="24"/>
                <w:szCs w:val="24"/>
                <w:lang w:val="en-US"/>
                <w14:textFill>
                  <w14:solidFill>
                    <w14:schemeClr w14:val="tx1"/>
                  </w14:solidFill>
                </w14:textFill>
              </w:rPr>
            </m:ctrlPr>
          </m:radPr>
          <m:deg>
            <m:ctrlPr>
              <w:rPr>
                <w:rFonts w:hint="default" w:ascii="Cambria Math" w:hAnsi="Cambria Math" w:eastAsia="宋体" w:cs="Times New Roman"/>
                <w:i/>
                <w:color w:val="000000" w:themeColor="text1"/>
                <w:sz w:val="24"/>
                <w:szCs w:val="24"/>
                <w:lang w:val="en-US"/>
                <w14:textFill>
                  <w14:solidFill>
                    <w14:schemeClr w14:val="tx1"/>
                  </w14:solidFill>
                </w14:textFill>
              </w:rPr>
            </m:ctrlPr>
          </m:deg>
          <m:e>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bSup>
                  <m:sSub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bSup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up>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bSup>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sSubSup>
                  <m:sSub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bSup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up>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bSup>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rad>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(A.7)</w:t>
      </w:r>
    </w:p>
    <w:p w14:paraId="3A97D420">
      <w:pPr>
        <w:pStyle w:val="8"/>
        <w:keepNext w:val="0"/>
        <w:keepLines w:val="0"/>
        <w:pageBreakBefore w:val="0"/>
        <w:kinsoku/>
        <w:wordWrap/>
        <w:topLinePunct w:val="0"/>
        <w:bidi w:val="0"/>
        <w:adjustRightInd w:val="0"/>
        <w:snapToGrid w:val="0"/>
        <w:spacing w:line="288" w:lineRule="auto"/>
        <w:jc w:val="center"/>
        <w:rPr>
          <w:rFonts w:hint="default" w:ascii="Times New Roman" w:hAnsi="Times New Roman" w:eastAsia="宋体" w:cs="Times New Roman"/>
          <w:color w:val="000000" w:themeColor="text1"/>
          <w:sz w:val="24"/>
          <w:szCs w:val="24"/>
          <w:highlight w:val="yellow"/>
          <w14:textFill>
            <w14:solidFill>
              <w14:schemeClr w14:val="tx1"/>
            </w14:solidFill>
          </w14:textFill>
        </w:rPr>
      </w:pPr>
    </w:p>
    <w:p w14:paraId="1BDEE49B">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p>
    <w:p w14:paraId="22A73F2D">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position w:val="-30"/>
          <w:sz w:val="24"/>
          <w:szCs w:val="24"/>
          <w14:textFill>
            <w14:solidFill>
              <w14:schemeClr w14:val="tx1"/>
            </w14:solidFill>
          </w14:textFill>
        </w:rPr>
      </w:pPr>
      <m:oMath>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c</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Q</m:t>
            </m:r>
            <m:ctrlPr>
              <w:rPr>
                <w:rFonts w:hint="default" w:ascii="Cambria Math" w:hAnsi="Cambria Math" w:eastAsia="宋体" w:cs="Times New Roman"/>
                <w:i/>
                <w:color w:val="000000" w:themeColor="text1"/>
                <w:sz w:val="24"/>
                <w:szCs w:val="24"/>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oMath>
      <w:r>
        <w:rPr>
          <w:rFonts w:hint="default" w:ascii="Times New Roman" w:hAnsi="Times New Roman" w:eastAsia="宋体" w:cs="Times New Roman"/>
          <w:color w:val="000000" w:themeColor="text1"/>
          <w:sz w:val="24"/>
          <w:szCs w:val="24"/>
          <w14:textFill>
            <w14:solidFill>
              <w14:schemeClr w14:val="tx1"/>
            </w14:solidFill>
          </w14:textFill>
        </w:rPr>
        <w:t>——反应热相对误差的合成标准不确定度；</w:t>
      </w:r>
    </w:p>
    <w:p w14:paraId="78CC2982">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w:r>
        <w:rPr>
          <w:rFonts w:hint="default" w:ascii="Times New Roman" w:hAnsi="Times New Roman" w:eastAsia="宋体" w:cs="Times New Roman"/>
          <w:color w:val="000000" w:themeColor="text1"/>
          <w:sz w:val="24"/>
          <w:szCs w:val="24"/>
          <w14:textFill>
            <w14:solidFill>
              <w14:schemeClr w14:val="tx1"/>
            </w14:solidFill>
          </w14:textFill>
        </w:rPr>
        <w:t>——反应热重复性引入的相对不确定度分量；</w:t>
      </w:r>
    </w:p>
    <w:p w14:paraId="73E16975">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w:r>
        <w:rPr>
          <w:rFonts w:hint="default" w:ascii="Times New Roman" w:hAnsi="Times New Roman" w:eastAsia="宋体" w:cs="Times New Roman"/>
          <w:color w:val="000000" w:themeColor="text1"/>
          <w:sz w:val="24"/>
          <w:szCs w:val="24"/>
          <w14:textFill>
            <w14:solidFill>
              <w14:schemeClr w14:val="tx1"/>
            </w14:solidFill>
          </w14:textFill>
        </w:rPr>
        <w:t>——标准直流电源引入的相对不确定度分量。</w:t>
      </w:r>
    </w:p>
    <w:p w14:paraId="120676B3">
      <w:pPr>
        <w:keepNext w:val="0"/>
        <w:keepLines w:val="0"/>
        <w:pageBreakBefore w:val="0"/>
        <w:kinsoku/>
        <w:wordWrap/>
        <w:topLinePunct w:val="0"/>
        <w:bidi w:val="0"/>
        <w:adjustRightInd w:val="0"/>
        <w:snapToGrid w:val="0"/>
        <w:spacing w:line="288" w:lineRule="auto"/>
        <w:rPr>
          <w:rFonts w:hint="default" w:ascii="Times New Roman" w:hAnsi="Times New Roman" w:eastAsia="宋体" w:cs="Times New Roman"/>
          <w:color w:val="000000" w:themeColor="text1"/>
          <w:spacing w:val="2"/>
          <w:kern w:val="21"/>
          <w:sz w:val="24"/>
          <w:szCs w:val="24"/>
          <w14:textFill>
            <w14:solidFill>
              <w14:schemeClr w14:val="tx1"/>
            </w14:solidFill>
          </w14:textFill>
        </w:rPr>
      </w:pPr>
      <w:r>
        <w:rPr>
          <w:rFonts w:hint="default" w:ascii="Times New Roman" w:hAnsi="Times New Roman" w:eastAsia="宋体" w:cs="Times New Roman"/>
          <w:color w:val="000000" w:themeColor="text1"/>
          <w:spacing w:val="2"/>
          <w:kern w:val="21"/>
          <w:sz w:val="24"/>
          <w:szCs w:val="24"/>
          <w14:textFill>
            <w14:solidFill>
              <w14:schemeClr w14:val="tx1"/>
            </w14:solidFill>
          </w14:textFill>
        </w:rPr>
        <w:t>4</w:t>
      </w:r>
      <w:r>
        <w:rPr>
          <w:rFonts w:hint="eastAsia" w:ascii="Times New Roman" w:hAnsi="Times New Roman" w:cs="Times New Roman"/>
          <w:color w:val="000000" w:themeColor="text1"/>
          <w:spacing w:val="2"/>
          <w:kern w:val="2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pacing w:val="2"/>
          <w:kern w:val="21"/>
          <w:sz w:val="24"/>
          <w:szCs w:val="24"/>
          <w14:textFill>
            <w14:solidFill>
              <w14:schemeClr w14:val="tx1"/>
            </w14:solidFill>
          </w14:textFill>
        </w:rPr>
        <w:t>不确定度分量的评定</w:t>
      </w:r>
    </w:p>
    <w:p w14:paraId="44A6E559">
      <w:pPr>
        <w:keepNext w:val="0"/>
        <w:keepLines w:val="0"/>
        <w:pageBreakBefore w:val="0"/>
        <w:kinsoku/>
        <w:wordWrap/>
        <w:topLinePunct w:val="0"/>
        <w:bidi w:val="0"/>
        <w:adjustRightInd w:val="0"/>
        <w:snapToGrid w:val="0"/>
        <w:spacing w:line="288" w:lineRule="auto"/>
        <w:jc w:val="left"/>
        <w:rPr>
          <w:rFonts w:hint="default" w:ascii="Times New Roman" w:hAnsi="Times New Roman" w:eastAsia="宋体" w:cs="Times New Roman"/>
          <w:color w:val="000000" w:themeColor="text1"/>
          <w:spacing w:val="2"/>
          <w:kern w:val="21"/>
          <w:sz w:val="24"/>
          <w:szCs w:val="24"/>
          <w14:textFill>
            <w14:solidFill>
              <w14:schemeClr w14:val="tx1"/>
            </w14:solidFill>
          </w14:textFill>
        </w:rPr>
      </w:pPr>
      <w:r>
        <w:rPr>
          <w:rFonts w:hint="default" w:ascii="Times New Roman" w:hAnsi="Times New Roman" w:eastAsia="宋体" w:cs="Times New Roman"/>
          <w:color w:val="000000" w:themeColor="text1"/>
          <w:spacing w:val="2"/>
          <w:kern w:val="21"/>
          <w:sz w:val="24"/>
          <w:szCs w:val="24"/>
          <w14:textFill>
            <w14:solidFill>
              <w14:schemeClr w14:val="tx1"/>
            </w14:solidFill>
          </w14:textFill>
        </w:rPr>
        <w:t>4.1</w:t>
      </w:r>
      <w:r>
        <w:rPr>
          <w:rFonts w:hint="default" w:ascii="Times New Roman" w:hAnsi="Times New Roman" w:eastAsia="宋体" w:cs="Times New Roman"/>
          <w:color w:val="000000" w:themeColor="text1"/>
          <w:spacing w:val="2"/>
          <w:kern w:val="21"/>
          <w:sz w:val="24"/>
          <w:szCs w:val="24"/>
          <w:lang w:val="en-US"/>
          <w14:textFill>
            <w14:solidFill>
              <w14:schemeClr w14:val="tx1"/>
            </w14:solidFill>
          </w14:textFill>
        </w:rPr>
        <w:t xml:space="preserve">  </w:t>
      </w:r>
      <w:r>
        <w:rPr>
          <w:rFonts w:hint="default" w:ascii="Times New Roman" w:hAnsi="Times New Roman" w:eastAsia="宋体" w:cs="Times New Roman"/>
          <w:color w:val="000000" w:themeColor="text1"/>
          <w:spacing w:val="2"/>
          <w:kern w:val="21"/>
          <w:sz w:val="24"/>
          <w:szCs w:val="24"/>
          <w14:textFill>
            <w14:solidFill>
              <w14:schemeClr w14:val="tx1"/>
            </w14:solidFill>
          </w14:textFill>
        </w:rPr>
        <w:t>自动反应</w:t>
      </w:r>
      <w:r>
        <w:rPr>
          <w:rFonts w:hint="default" w:ascii="Times New Roman" w:hAnsi="Times New Roman" w:eastAsia="宋体" w:cs="Times New Roman"/>
          <w:color w:val="000000" w:themeColor="text1"/>
          <w:sz w:val="24"/>
          <w:szCs w:val="24"/>
          <w14:textFill>
            <w14:solidFill>
              <w14:schemeClr w14:val="tx1"/>
            </w14:solidFill>
          </w14:textFill>
        </w:rPr>
        <w:t>量热仪反应热重复性引入的相对不确定度分量</w:t>
      </w:r>
    </w:p>
    <w:p w14:paraId="3F535590">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对反应热相对误差进行3次测量试验，三次相对误差分别为</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0.85％, 0.82％, 0.91％，采用极差法计算单次试验标准偏差为：</w:t>
      </w: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0.91%−0.82%</m:t>
            </m:r>
            <m:ctrlPr>
              <w:rPr>
                <w:rFonts w:hint="default" w:ascii="Cambria Math" w:hAnsi="Cambria Math" w:eastAsia="宋体" w:cs="Times New Roman"/>
                <w:i/>
                <w:color w:val="000000" w:themeColor="text1"/>
                <w:sz w:val="24"/>
                <w:szCs w:val="24"/>
                <w14:textFill>
                  <w14:solidFill>
                    <w14:schemeClr w14:val="tx1"/>
                  </w14:solidFill>
                </w14:textFill>
              </w:rPr>
            </m:ctrlPr>
          </m:num>
          <m:den>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1.69</m:t>
            </m:r>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=0.06%</m:t>
        </m:r>
      </m:oMath>
      <w:r>
        <w:rPr>
          <w:rFonts w:hint="default" w:ascii="Times New Roman" w:hAnsi="Times New Roman" w:eastAsia="宋体" w:cs="Times New Roman"/>
          <w:color w:val="000000" w:themeColor="text1"/>
          <w:sz w:val="24"/>
          <w:szCs w:val="24"/>
          <w14:textFill>
            <w14:solidFill>
              <w14:schemeClr w14:val="tx1"/>
            </w14:solidFill>
          </w14:textFill>
        </w:rPr>
        <w:t>，反应热重复性引入的相对不确定度分量为：</w:t>
      </w:r>
    </w:p>
    <w:p w14:paraId="79DA6A37">
      <w:pPr>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color w:val="000000" w:themeColor="text1"/>
          <w:sz w:val="24"/>
          <w:szCs w:val="24"/>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=0.06%</m:t>
          </m:r>
        </m:oMath>
      </m:oMathPara>
    </w:p>
    <w:p w14:paraId="75B6191F">
      <w:pPr>
        <w:keepNext w:val="0"/>
        <w:keepLines w:val="0"/>
        <w:pageBreakBefore w:val="0"/>
        <w:kinsoku/>
        <w:wordWrap/>
        <w:topLinePunct w:val="0"/>
        <w:bidi w:val="0"/>
        <w:adjustRightInd w:val="0"/>
        <w:snapToGrid w:val="0"/>
        <w:spacing w:line="288" w:lineRule="auto"/>
        <w:jc w:val="left"/>
        <w:rPr>
          <w:rFonts w:hint="default" w:ascii="Times New Roman" w:hAnsi="Times New Roman" w:eastAsia="宋体" w:cs="Times New Roman"/>
          <w:color w:val="000000" w:themeColor="text1"/>
          <w:spacing w:val="2"/>
          <w:kern w:val="21"/>
          <w:sz w:val="24"/>
          <w:szCs w:val="24"/>
          <w14:textFill>
            <w14:solidFill>
              <w14:schemeClr w14:val="tx1"/>
            </w14:solidFill>
          </w14:textFill>
        </w:rPr>
      </w:pPr>
      <w:r>
        <w:rPr>
          <w:rFonts w:hint="default" w:ascii="Times New Roman" w:hAnsi="Times New Roman" w:eastAsia="宋体" w:cs="Times New Roman"/>
          <w:color w:val="000000" w:themeColor="text1"/>
          <w:spacing w:val="2"/>
          <w:kern w:val="21"/>
          <w:sz w:val="24"/>
          <w:szCs w:val="24"/>
          <w14:textFill>
            <w14:solidFill>
              <w14:schemeClr w14:val="tx1"/>
            </w14:solidFill>
          </w14:textFill>
        </w:rPr>
        <w:t>4.2</w:t>
      </w:r>
      <w:r>
        <w:rPr>
          <w:rFonts w:hint="default" w:ascii="Times New Roman" w:hAnsi="Times New Roman" w:eastAsia="宋体" w:cs="Times New Roman"/>
          <w:color w:val="000000" w:themeColor="text1"/>
          <w:spacing w:val="2"/>
          <w:kern w:val="21"/>
          <w:sz w:val="24"/>
          <w:szCs w:val="24"/>
          <w:lang w:val="en-US"/>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标准直流电源引入的相对不确定度分量</w:t>
      </w:r>
    </w:p>
    <w:p w14:paraId="47807FBD">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position w:val="-34"/>
          <w:sz w:val="24"/>
          <w:szCs w:val="24"/>
          <w:highlight w:val="yellow"/>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标准直流电源引入的相对不确定度分量可进一步写为：</w:t>
      </w:r>
    </w:p>
    <w:p w14:paraId="0016BF81">
      <w:pPr>
        <w:pStyle w:val="8"/>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r</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m:t>
        </m:r>
        <m:rad>
          <m:radPr>
            <m:degHide m:val="1"/>
            <m:ctrlPr>
              <w:rPr>
                <w:rFonts w:hint="default" w:ascii="Cambria Math" w:hAnsi="Cambria Math" w:eastAsia="宋体" w:cs="Times New Roman"/>
                <w:i/>
                <w:color w:val="000000" w:themeColor="text1"/>
                <w:sz w:val="24"/>
                <w:szCs w:val="24"/>
                <w:lang w:val="en-US"/>
                <w14:textFill>
                  <w14:solidFill>
                    <w14:schemeClr w14:val="tx1"/>
                  </w14:solidFill>
                </w14:textFill>
              </w:rPr>
            </m:ctrlPr>
          </m:radPr>
          <m:deg>
            <m:ctrlPr>
              <w:rPr>
                <w:rFonts w:hint="default" w:ascii="Cambria Math" w:hAnsi="Cambria Math" w:eastAsia="宋体" w:cs="Times New Roman"/>
                <w:i/>
                <w:color w:val="000000" w:themeColor="text1"/>
                <w:sz w:val="24"/>
                <w:szCs w:val="24"/>
                <w:lang w:val="en-US"/>
                <w14:textFill>
                  <w14:solidFill>
                    <w14:schemeClr w14:val="tx1"/>
                  </w14:solidFill>
                </w14:textFill>
              </w:rPr>
            </m:ctrlPr>
          </m:deg>
          <m:e>
            <m:f>
              <m:fP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fPr>
              <m:num>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fPr>
              <m:num>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cs="Times New Roman"/>
                        <w:i/>
                        <w:color w:val="000000" w:themeColor="text1"/>
                        <w:sz w:val="24"/>
                        <w:szCs w:val="24"/>
                        <w:lang w:val="en-US" w:eastAsia="zh-CN"/>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cs="Times New Roman"/>
                        <w:i/>
                        <w:color w:val="000000" w:themeColor="text1"/>
                        <w:sz w:val="24"/>
                        <w:szCs w:val="24"/>
                        <w:lang w:val="en-US" w:eastAsia="zh-CN"/>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den>
            </m:f>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m:t>
            </m:r>
            <m:f>
              <m:fP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fPr>
              <m:num>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t</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num>
              <m:den>
                <m:r>
                  <m:rPr>
                    <m:nor/>
                    <m:sty m:val="p"/>
                  </m:rPr>
                  <w:rPr>
                    <w:rFonts w:hint="default" w:ascii="Times New Roman" w:hAnsi="Times New Roman" w:cs="Times New Roman"/>
                    <w:b w:val="0"/>
                    <w:i w:val="0"/>
                    <w:color w:val="000000" w:themeColor="text1"/>
                    <w:sz w:val="24"/>
                    <w:szCs w:val="24"/>
                    <w:lang w:val="en-US" w:eastAsia="zh-CN"/>
                    <w14:textFill>
                      <w14:solidFill>
                        <w14:schemeClr w14:val="tx1"/>
                      </w14:solidFill>
                    </w14:textFill>
                  </w:rPr>
                  <m:t>t</m:t>
                </m:r>
                <m:ctrlPr>
                  <w:rPr>
                    <w:rFonts w:hint="default" w:ascii="Cambria Math" w:hAnsi="Cambria Math" w:eastAsia="宋体" w:cs="Times New Roman"/>
                    <w:b w:val="0"/>
                    <w:i w:val="0"/>
                    <w:color w:val="000000" w:themeColor="text1"/>
                    <w:sz w:val="24"/>
                    <w:szCs w:val="24"/>
                    <w:lang w:val="en-US"/>
                    <w14:textFill>
                      <w14:solidFill>
                        <w14:schemeClr w14:val="tx1"/>
                      </w14:solidFill>
                    </w14:textFill>
                  </w:rPr>
                </m:ctrlPr>
              </m:den>
            </m:f>
            <m:ctrlPr>
              <w:rPr>
                <w:rFonts w:hint="default" w:ascii="Cambria Math" w:hAnsi="Cambria Math" w:eastAsia="宋体" w:cs="Times New Roman"/>
                <w:i/>
                <w:color w:val="000000" w:themeColor="text1"/>
                <w:sz w:val="24"/>
                <w:szCs w:val="24"/>
                <w:lang w:val="en-US"/>
                <w14:textFill>
                  <w14:solidFill>
                    <w14:schemeClr w14:val="tx1"/>
                  </w14:solidFill>
                </w14:textFill>
              </w:rPr>
            </m:ctrlPr>
          </m:e>
        </m:rad>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(A.8)</w:t>
      </w:r>
    </w:p>
    <w:p w14:paraId="62F9A14D">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p>
    <w:p w14:paraId="6BFF291D">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w:r>
        <w:rPr>
          <w:rFonts w:hint="default" w:ascii="Times New Roman" w:hAnsi="Times New Roman" w:eastAsia="宋体" w:cs="Times New Roman"/>
          <w:color w:val="000000" w:themeColor="text1"/>
          <w:sz w:val="24"/>
          <w:szCs w:val="24"/>
          <w14:textFill>
            <w14:solidFill>
              <w14:schemeClr w14:val="tx1"/>
            </w14:solidFill>
          </w14:textFill>
        </w:rPr>
        <w:t>——测量电压引入的相对不确定度分量；</w:t>
      </w:r>
    </w:p>
    <w:p w14:paraId="205ECA7E">
      <w:pPr>
        <w:keepNext w:val="0"/>
        <w:keepLines w:val="0"/>
        <w:pageBreakBefore w:val="0"/>
        <w:kinsoku/>
        <w:wordWrap/>
        <w:topLinePunct w:val="0"/>
        <w:bidi w:val="0"/>
        <w:adjustRightInd w:val="0"/>
        <w:snapToGrid w:val="0"/>
        <w:spacing w:line="288"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w:r>
        <w:rPr>
          <w:rFonts w:hint="default" w:ascii="Times New Roman" w:hAnsi="Times New Roman" w:eastAsia="宋体" w:cs="Times New Roman"/>
          <w:color w:val="000000" w:themeColor="text1"/>
          <w:sz w:val="24"/>
          <w:szCs w:val="24"/>
          <w14:textFill>
            <w14:solidFill>
              <w14:schemeClr w14:val="tx1"/>
            </w14:solidFill>
          </w14:textFill>
        </w:rPr>
        <w:t>——测量电流引入的相对不确定度分量；</w:t>
      </w:r>
    </w:p>
    <w:p w14:paraId="3558CBCF">
      <w:pPr>
        <w:keepNext w:val="0"/>
        <w:keepLines w:val="0"/>
        <w:pageBreakBefore w:val="0"/>
        <w:kinsoku/>
        <w:wordWrap/>
        <w:topLinePunct w:val="0"/>
        <w:bidi w:val="0"/>
        <w:adjustRightInd w:val="0"/>
        <w:snapToGrid w:val="0"/>
        <w:spacing w:line="288" w:lineRule="auto"/>
        <w:ind w:firstLine="480"/>
        <w:jc w:val="left"/>
        <w:rPr>
          <w:rFonts w:hint="default" w:ascii="Times New Roman" w:hAnsi="Times New Roman" w:eastAsia="宋体" w:cs="Times New Roman"/>
          <w:color w:val="000000" w:themeColor="text1"/>
          <w:sz w:val="24"/>
          <w:szCs w:val="24"/>
          <w14:textFill>
            <w14:solidFill>
              <w14:schemeClr w14:val="tx1"/>
            </w14:solidFill>
          </w14:textFill>
        </w:rPr>
      </w:p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den>
        </m:f>
      </m:oMath>
      <w:r>
        <w:rPr>
          <w:rFonts w:hint="default" w:ascii="Times New Roman" w:hAnsi="Times New Roman" w:eastAsia="宋体" w:cs="Times New Roman"/>
          <w:color w:val="000000" w:themeColor="text1"/>
          <w:sz w:val="24"/>
          <w:szCs w:val="24"/>
          <w14:textFill>
            <w14:solidFill>
              <w14:schemeClr w14:val="tx1"/>
            </w14:solidFill>
          </w14:textFill>
        </w:rPr>
        <w:t>——积分时间引入的相对不确定度分量。</w:t>
      </w:r>
    </w:p>
    <w:p w14:paraId="35527A43">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根据电压最大允许误差</w:t>
      </w:r>
      <w:r>
        <w:rPr>
          <w:rFonts w:hint="default" w:ascii="Times New Roman" w:hAnsi="Times New Roman" w:eastAsia="宋体" w:cs="Times New Roman"/>
          <w:bCs/>
          <w:color w:val="000000" w:themeColor="text1"/>
          <w:sz w:val="24"/>
          <w:szCs w:val="24"/>
          <w14:textFill>
            <w14:solidFill>
              <w14:schemeClr w14:val="tx1"/>
            </w14:solidFill>
          </w14:textFill>
        </w:rPr>
        <w:t>0.</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szCs w:val="24"/>
          <w14:textFill>
            <w14:solidFill>
              <w14:schemeClr w14:val="tx1"/>
            </w14:solidFill>
          </w14:textFill>
        </w:rPr>
        <w:t>%，电流</w:t>
      </w:r>
      <w:r>
        <w:rPr>
          <w:rFonts w:hint="default" w:ascii="Times New Roman" w:hAnsi="Times New Roman" w:eastAsia="宋体" w:cs="Times New Roman"/>
          <w:color w:val="000000" w:themeColor="text1"/>
          <w:sz w:val="24"/>
          <w:szCs w:val="24"/>
          <w14:textFill>
            <w14:solidFill>
              <w14:schemeClr w14:val="tx1"/>
            </w14:solidFill>
          </w14:textFill>
        </w:rPr>
        <w:t>最大允许误差</w:t>
      </w:r>
      <w:r>
        <w:rPr>
          <w:rFonts w:hint="default" w:ascii="Times New Roman" w:hAnsi="Times New Roman" w:eastAsia="宋体" w:cs="Times New Roman"/>
          <w:bCs/>
          <w:color w:val="000000" w:themeColor="text1"/>
          <w:sz w:val="24"/>
          <w:szCs w:val="24"/>
          <w14:textFill>
            <w14:solidFill>
              <w14:schemeClr w14:val="tx1"/>
            </w14:solidFill>
          </w14:textFill>
        </w:rPr>
        <w:t>0.</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szCs w:val="24"/>
          <w14:textFill>
            <w14:solidFill>
              <w14:schemeClr w14:val="tx1"/>
            </w14:solidFill>
          </w14:textFill>
        </w:rPr>
        <w:t>%，按照</w:t>
      </w:r>
      <w:r>
        <w:rPr>
          <w:rFonts w:hint="default" w:ascii="Times New Roman" w:hAnsi="Times New Roman" w:eastAsia="宋体" w:cs="Times New Roman"/>
          <w:color w:val="000000" w:themeColor="text1"/>
          <w:sz w:val="24"/>
          <w:szCs w:val="24"/>
          <w14:textFill>
            <w14:solidFill>
              <w14:schemeClr w14:val="tx1"/>
            </w14:solidFill>
          </w14:textFill>
        </w:rPr>
        <w:t>均匀分布，置信因子</w:t>
      </w:r>
      <w:r>
        <w:rPr>
          <w:rFonts w:hint="default" w:ascii="Times New Roman" w:hAnsi="Times New Roman" w:eastAsia="宋体" w:cs="Times New Roman"/>
          <w:color w:val="000000" w:themeColor="text1"/>
          <w:position w:val="-8"/>
          <w:sz w:val="24"/>
          <w:szCs w:val="24"/>
          <w14:textFill>
            <w14:solidFill>
              <w14:schemeClr w14:val="tx1"/>
            </w14:solidFill>
          </w14:textFill>
        </w:rPr>
        <w:object>
          <v:shape id="_x0000_i1025" o:spt="75" type="#_x0000_t75" style="height:17.25pt;width:35.7pt;" o:ole="t" filled="f" o:preferrelative="t" stroked="f" coordsize="21600,21600">
            <v:path/>
            <v:fill on="f"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hint="default" w:ascii="Times New Roman" w:hAnsi="Times New Roman" w:eastAsia="宋体" w:cs="Times New Roman"/>
          <w:color w:val="000000" w:themeColor="text1"/>
          <w:sz w:val="24"/>
          <w:szCs w:val="24"/>
          <w14:textFill>
            <w14:solidFill>
              <w14:schemeClr w14:val="tx1"/>
            </w14:solidFill>
          </w14:textFill>
        </w:rPr>
        <w:t>，则测量电压引入的相对不确定度分量与测量电流引入的相对不确定度分量分别为：</w:t>
      </w:r>
    </w:p>
    <w:p w14:paraId="6BA107AE">
      <w:pPr>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i w:val="0"/>
          <w:color w:val="000000" w:themeColor="text1"/>
          <w:sz w:val="24"/>
          <w:szCs w:val="24"/>
          <w:lang w:val="en-US"/>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0.5%</m:t>
              </m:r>
              <m:ctrlPr>
                <w:rPr>
                  <w:rFonts w:hint="default" w:ascii="Cambria Math" w:hAnsi="Cambria Math" w:eastAsia="宋体" w:cs="Times New Roman"/>
                  <w:i/>
                  <w:color w:val="000000" w:themeColor="text1"/>
                  <w:sz w:val="24"/>
                  <w:szCs w:val="24"/>
                  <w14:textFill>
                    <w14:solidFill>
                      <w14:schemeClr w14:val="tx1"/>
                    </w14:solidFill>
                  </w14:textFill>
                </w:rPr>
              </m:ctrlPr>
            </m:num>
            <m:den>
              <m:rad>
                <m:radPr>
                  <m:degHide m:val="1"/>
                  <m:ctrlPr>
                    <w:rPr>
                      <w:rFonts w:hint="default" w:ascii="Cambria Math" w:hAnsi="Cambria Math" w:eastAsia="宋体" w:cs="Times New Roman"/>
                      <w:i/>
                      <w:color w:val="000000" w:themeColor="text1"/>
                      <w:sz w:val="24"/>
                      <w:szCs w:val="24"/>
                      <w14:textFill>
                        <w14:solidFill>
                          <w14:schemeClr w14:val="tx1"/>
                        </w14:solidFill>
                      </w14:textFill>
                    </w:rPr>
                  </m:ctrlPr>
                </m:radPr>
                <m:deg>
                  <m:ctrlPr>
                    <w:rPr>
                      <w:rFonts w:hint="default" w:ascii="Cambria Math" w:hAnsi="Cambria Math" w:eastAsia="宋体" w:cs="Times New Roman"/>
                      <w:i/>
                      <w:color w:val="000000" w:themeColor="text1"/>
                      <w:sz w:val="24"/>
                      <w:szCs w:val="24"/>
                      <w14:textFill>
                        <w14:solidFill>
                          <w14:schemeClr w14:val="tx1"/>
                        </w14:solidFill>
                      </w14:textFill>
                    </w:rPr>
                  </m:ctrlPr>
                </m:deg>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3</m:t>
                  </m:r>
                  <m:ctrlPr>
                    <w:rPr>
                      <w:rFonts w:hint="default" w:ascii="Cambria Math" w:hAnsi="Cambria Math" w:eastAsia="宋体" w:cs="Times New Roman"/>
                      <w:i/>
                      <w:color w:val="000000" w:themeColor="text1"/>
                      <w:sz w:val="24"/>
                      <w:szCs w:val="24"/>
                      <w14:textFill>
                        <w14:solidFill>
                          <w14:schemeClr w14:val="tx1"/>
                        </w14:solidFill>
                      </w14:textFill>
                    </w:rPr>
                  </m:ctrlPr>
                </m:e>
              </m:rad>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=0.29%</m:t>
          </m:r>
        </m:oMath>
      </m:oMathPara>
    </w:p>
    <w:p w14:paraId="170BA1D8">
      <w:pPr>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bCs/>
          <w:color w:val="000000" w:themeColor="text1"/>
          <w:sz w:val="24"/>
          <w:szCs w:val="24"/>
          <w14:textFill>
            <w14:solidFill>
              <w14:schemeClr w14:val="tx1"/>
            </w14:solidFill>
          </w14:textFill>
        </w:rPr>
      </w:pPr>
      <m:oMathPara>
        <m:oMathParaPr>
          <m:jc m:val="center"/>
        </m:oMathParaPr>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0.5%</m:t>
              </m:r>
              <m:ctrlPr>
                <w:rPr>
                  <w:rFonts w:hint="default" w:ascii="Cambria Math" w:hAnsi="Cambria Math" w:eastAsia="宋体" w:cs="Times New Roman"/>
                  <w:i/>
                  <w:color w:val="000000" w:themeColor="text1"/>
                  <w:sz w:val="24"/>
                  <w:szCs w:val="24"/>
                  <w14:textFill>
                    <w14:solidFill>
                      <w14:schemeClr w14:val="tx1"/>
                    </w14:solidFill>
                  </w14:textFill>
                </w:rPr>
              </m:ctrlPr>
            </m:num>
            <m:den>
              <m:rad>
                <m:radPr>
                  <m:degHide m:val="1"/>
                  <m:ctrlPr>
                    <w:rPr>
                      <w:rFonts w:hint="default" w:ascii="Cambria Math" w:hAnsi="Cambria Math" w:eastAsia="宋体" w:cs="Times New Roman"/>
                      <w:i/>
                      <w:color w:val="000000" w:themeColor="text1"/>
                      <w:sz w:val="24"/>
                      <w:szCs w:val="24"/>
                      <w14:textFill>
                        <w14:solidFill>
                          <w14:schemeClr w14:val="tx1"/>
                        </w14:solidFill>
                      </w14:textFill>
                    </w:rPr>
                  </m:ctrlPr>
                </m:radPr>
                <m:deg>
                  <m:ctrlPr>
                    <w:rPr>
                      <w:rFonts w:hint="default" w:ascii="Cambria Math" w:hAnsi="Cambria Math" w:eastAsia="宋体" w:cs="Times New Roman"/>
                      <w:i/>
                      <w:color w:val="000000" w:themeColor="text1"/>
                      <w:sz w:val="24"/>
                      <w:szCs w:val="24"/>
                      <w14:textFill>
                        <w14:solidFill>
                          <w14:schemeClr w14:val="tx1"/>
                        </w14:solidFill>
                      </w14:textFill>
                    </w:rPr>
                  </m:ctrlPr>
                </m:deg>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3</m:t>
                  </m:r>
                  <m:ctrlPr>
                    <w:rPr>
                      <w:rFonts w:hint="default" w:ascii="Cambria Math" w:hAnsi="Cambria Math" w:eastAsia="宋体" w:cs="Times New Roman"/>
                      <w:i/>
                      <w:color w:val="000000" w:themeColor="text1"/>
                      <w:sz w:val="24"/>
                      <w:szCs w:val="24"/>
                      <w14:textFill>
                        <w14:solidFill>
                          <w14:schemeClr w14:val="tx1"/>
                        </w14:solidFill>
                      </w14:textFill>
                    </w:rPr>
                  </m:ctrlPr>
                </m:e>
              </m:rad>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=0.29%</m:t>
          </m:r>
        </m:oMath>
      </m:oMathPara>
    </w:p>
    <w:p w14:paraId="51935057">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标准时钟的示值误差小于1s，标准直流电源输出时间为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14:textFill>
            <w14:solidFill>
              <w14:schemeClr w14:val="tx1"/>
            </w14:solidFill>
          </w14:textFill>
        </w:rPr>
        <w:t>00s时，</w:t>
      </w:r>
      <w:r>
        <w:rPr>
          <w:rFonts w:hint="default" w:ascii="Times New Roman" w:hAnsi="Times New Roman" w:eastAsia="宋体" w:cs="Times New Roman"/>
          <w:bCs/>
          <w:color w:val="000000" w:themeColor="text1"/>
          <w:sz w:val="24"/>
          <w:szCs w:val="24"/>
          <w14:textFill>
            <w14:solidFill>
              <w14:schemeClr w14:val="tx1"/>
            </w14:solidFill>
          </w14:textFill>
        </w:rPr>
        <w:t>按照</w:t>
      </w:r>
      <w:r>
        <w:rPr>
          <w:rFonts w:hint="default" w:ascii="Times New Roman" w:hAnsi="Times New Roman" w:eastAsia="宋体" w:cs="Times New Roman"/>
          <w:color w:val="000000" w:themeColor="text1"/>
          <w:sz w:val="24"/>
          <w:szCs w:val="24"/>
          <w14:textFill>
            <w14:solidFill>
              <w14:schemeClr w14:val="tx1"/>
            </w14:solidFill>
          </w14:textFill>
        </w:rPr>
        <w:t>均匀分布，置信因子</w:t>
      </w:r>
      <w:r>
        <w:rPr>
          <w:rFonts w:hint="default" w:ascii="Times New Roman" w:hAnsi="Times New Roman" w:eastAsia="宋体" w:cs="Times New Roman"/>
          <w:color w:val="000000" w:themeColor="text1"/>
          <w:position w:val="-8"/>
          <w:sz w:val="24"/>
          <w:szCs w:val="24"/>
          <w14:textFill>
            <w14:solidFill>
              <w14:schemeClr w14:val="tx1"/>
            </w14:solidFill>
          </w14:textFill>
        </w:rPr>
        <w:object>
          <v:shape id="_x0000_i1026" o:spt="75" type="#_x0000_t75" style="height:17.25pt;width:36.75pt;" o:ole="t" filled="f" o:preferrelative="t" stroked="f" coordsize="21600,21600">
            <v:path/>
            <v:fill on="f" focussize="0,0"/>
            <v:stroke on="f" joinstyle="miter"/>
            <v:imagedata r:id="rId7" o:title=""/>
            <o:lock v:ext="edit" aspectratio="t"/>
            <w10:wrap type="none"/>
            <w10:anchorlock/>
          </v:shape>
          <o:OLEObject Type="Embed" ProgID="Equation.3" ShapeID="_x0000_i1026" DrawAspect="Content" ObjectID="_1468075726" r:id="rId6">
            <o:LockedField>false</o:LockedField>
          </o:OLEObject>
        </w:object>
      </w:r>
      <w:r>
        <w:rPr>
          <w:rFonts w:hint="default" w:ascii="Times New Roman" w:hAnsi="Times New Roman" w:eastAsia="宋体" w:cs="Times New Roman"/>
          <w:color w:val="000000" w:themeColor="text1"/>
          <w:sz w:val="24"/>
          <w:szCs w:val="24"/>
          <w14:textFill>
            <w14:solidFill>
              <w14:schemeClr w14:val="tx1"/>
            </w14:solidFill>
          </w14:textFill>
        </w:rPr>
        <w:t>，积分时间引入的相对不确定度分量为</w:t>
      </w:r>
      <w:r>
        <w:rPr>
          <w:rFonts w:hint="default" w:ascii="Times New Roman" w:hAnsi="Times New Roman" w:eastAsia="宋体" w:cs="Times New Roman"/>
          <w:color w:val="000000" w:themeColor="text1"/>
          <w:sz w:val="24"/>
          <w:szCs w:val="24"/>
          <w:lang w:val="en-US"/>
          <w14:textFill>
            <w14:solidFill>
              <w14:schemeClr w14:val="tx1"/>
            </w14:solidFill>
          </w14:textFill>
        </w:rPr>
        <w:t>:</w:t>
      </w:r>
    </w:p>
    <w:p w14:paraId="278EAB37">
      <w:pPr>
        <w:keepNext w:val="0"/>
        <w:keepLines w:val="0"/>
        <w:pageBreakBefore w:val="0"/>
        <w:kinsoku/>
        <w:wordWrap/>
        <w:topLinePunct w:val="0"/>
        <w:bidi w:val="0"/>
        <w:adjustRightInd w:val="0"/>
        <w:snapToGrid w:val="0"/>
        <w:spacing w:line="288" w:lineRule="auto"/>
        <w:ind w:firstLine="480" w:firstLineChars="200"/>
        <w:jc w:val="center"/>
        <w:rPr>
          <w:rFonts w:hint="default" w:ascii="Times New Roman" w:hAnsi="Times New Roman" w:eastAsia="宋体" w:cs="Times New Roman"/>
          <w:color w:val="000000" w:themeColor="text1"/>
          <w:position w:val="-28"/>
          <w:sz w:val="24"/>
          <w:szCs w:val="24"/>
          <w:lang w:val="en-US"/>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f>
            <m:fPr>
              <m:ctrlPr>
                <w:rPr>
                  <w:rFonts w:hint="default" w:ascii="Cambria Math" w:hAnsi="Cambria Math" w:eastAsia="宋体" w:cs="Times New Roman"/>
                  <w:i/>
                  <w:color w:val="000000" w:themeColor="text1"/>
                  <w:sz w:val="24"/>
                  <w:szCs w:val="24"/>
                  <w:lang w:val="en-US"/>
                  <w14:textFill>
                    <w14:solidFill>
                      <w14:schemeClr w14:val="tx1"/>
                    </w14:solidFill>
                  </w14:textFill>
                </w:rPr>
              </m:ctrlPr>
            </m:fPr>
            <m:num>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m:t>
              </m:r>
              <m:ctrlPr>
                <w:rPr>
                  <w:rFonts w:hint="default" w:ascii="Cambria Math" w:hAnsi="Cambria Math" w:eastAsia="宋体" w:cs="Times New Roman"/>
                  <w:i/>
                  <w:color w:val="000000" w:themeColor="text1"/>
                  <w:sz w:val="24"/>
                  <w:szCs w:val="24"/>
                  <w:lang w:val="en-US"/>
                  <w14:textFill>
                    <w14:solidFill>
                      <w14:schemeClr w14:val="tx1"/>
                    </w14:solidFill>
                  </w14:textFill>
                </w:rPr>
              </m:ctrlPr>
            </m:num>
            <m:den>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1800</m:t>
              </m:r>
              <m:rad>
                <m:radPr>
                  <m:degHide m:val="1"/>
                  <m:ctrlPr>
                    <w:rPr>
                      <w:rFonts w:hint="default" w:ascii="Cambria Math" w:hAnsi="Cambria Math" w:eastAsia="宋体" w:cs="Times New Roman"/>
                      <w:i/>
                      <w:color w:val="000000" w:themeColor="text1"/>
                      <w:sz w:val="24"/>
                      <w:szCs w:val="24"/>
                      <w:lang w:val="en-US"/>
                      <w14:textFill>
                        <w14:solidFill>
                          <w14:schemeClr w14:val="tx1"/>
                        </w14:solidFill>
                      </w14:textFill>
                    </w:rPr>
                  </m:ctrlPr>
                </m:radPr>
                <m:deg>
                  <m:ctrlPr>
                    <w:rPr>
                      <w:rFonts w:hint="default" w:ascii="Cambria Math" w:hAnsi="Cambria Math" w:eastAsia="宋体" w:cs="Times New Roman"/>
                      <w:i/>
                      <w:color w:val="000000" w:themeColor="text1"/>
                      <w:sz w:val="24"/>
                      <w:szCs w:val="24"/>
                      <w:lang w:val="en-US"/>
                      <w14:textFill>
                        <w14:solidFill>
                          <w14:schemeClr w14:val="tx1"/>
                        </w14:solidFill>
                      </w14:textFill>
                    </w:rPr>
                  </m:ctrlPr>
                </m:deg>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3</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rad>
              <m:ctrlPr>
                <w:rPr>
                  <w:rFonts w:hint="default" w:ascii="Cambria Math" w:hAnsi="Cambria Math" w:eastAsia="宋体" w:cs="Times New Roman"/>
                  <w:i/>
                  <w:color w:val="000000" w:themeColor="text1"/>
                  <w:sz w:val="24"/>
                  <w:szCs w:val="24"/>
                  <w:lang w:val="en-US"/>
                  <w14:textFill>
                    <w14:solidFill>
                      <w14:schemeClr w14:val="tx1"/>
                    </w14:solidFill>
                  </w14:textFill>
                </w:rPr>
              </m:ctrlPr>
            </m:den>
          </m:f>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=0.03%</m:t>
          </m:r>
        </m:oMath>
      </m:oMathPara>
    </w:p>
    <w:p w14:paraId="2357CC73">
      <w:pPr>
        <w:pStyle w:val="6"/>
        <w:keepNext w:val="0"/>
        <w:keepLines w:val="0"/>
        <w:pageBreakBefore w:val="0"/>
        <w:kinsoku/>
        <w:wordWrap/>
        <w:topLinePunct w:val="0"/>
        <w:bidi w:val="0"/>
        <w:adjustRightInd w:val="0"/>
        <w:snapToGrid w:val="0"/>
        <w:spacing w:before="156" w:after="156"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bookmarkStart w:id="20" w:name="_Toc9440"/>
      <w:bookmarkStart w:id="21" w:name="_Toc9548"/>
      <w:r>
        <w:rPr>
          <w:rFonts w:hint="default" w:ascii="Times New Roman" w:hAnsi="Times New Roman" w:eastAsia="宋体" w:cs="Times New Roman"/>
          <w:color w:val="000000" w:themeColor="text1"/>
          <w:sz w:val="24"/>
          <w:szCs w:val="24"/>
          <w14:textFill>
            <w14:solidFill>
              <w14:schemeClr w14:val="tx1"/>
            </w14:solidFill>
          </w14:textFill>
        </w:rPr>
        <w:t>4.3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 xml:space="preserve"> 不确定度分量一览表</w:t>
      </w:r>
      <w:bookmarkEnd w:id="20"/>
      <w:bookmarkEnd w:id="21"/>
    </w:p>
    <w:p w14:paraId="0A96A2F3">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不确定度分量见表A.2。</w:t>
      </w:r>
    </w:p>
    <w:p w14:paraId="20DAF8C1">
      <w:pPr>
        <w:keepNext w:val="0"/>
        <w:keepLines w:val="0"/>
        <w:pageBreakBefore w:val="0"/>
        <w:widowControl w:val="0"/>
        <w:kinsoku/>
        <w:wordWrap/>
        <w:overflowPunct/>
        <w:topLinePunct w:val="0"/>
        <w:autoSpaceDE/>
        <w:autoSpaceDN/>
        <w:bidi w:val="0"/>
        <w:adjustRightInd w:val="0"/>
        <w:snapToGrid w:val="0"/>
        <w:spacing w:before="65" w:line="288" w:lineRule="auto"/>
        <w:jc w:val="center"/>
        <w:textAlignment w:val="auto"/>
        <w:rPr>
          <w:rFonts w:hint="default" w:ascii="Times New Roman" w:hAnsi="Times New Roman" w:eastAsia="黑体" w:cs="Times New Roman"/>
          <w:color w:val="auto"/>
          <w:spacing w:val="15"/>
          <w:sz w:val="24"/>
          <w:szCs w:val="24"/>
          <w:lang w:val="en-US" w:eastAsia="zh-CN"/>
        </w:rPr>
      </w:pPr>
      <w:r>
        <w:rPr>
          <w:rFonts w:hint="default" w:ascii="Times New Roman" w:hAnsi="Times New Roman" w:eastAsia="黑体" w:cs="Times New Roman"/>
          <w:color w:val="auto"/>
          <w:spacing w:val="15"/>
          <w:sz w:val="24"/>
          <w:szCs w:val="24"/>
        </w:rPr>
        <w:t>表A.2  反应热相对误差校准不确定度分量表</w:t>
      </w:r>
      <w:r>
        <w:rPr>
          <w:rFonts w:hint="default" w:ascii="Times New Roman" w:hAnsi="Times New Roman" w:eastAsia="黑体" w:cs="Times New Roman"/>
          <w:color w:val="auto"/>
          <w:spacing w:val="15"/>
          <w:sz w:val="24"/>
          <w:szCs w:val="24"/>
          <w:lang w:val="en-US" w:eastAsia="zh-CN"/>
        </w:rPr>
        <w:t xml:space="preserve">  </w:t>
      </w:r>
    </w:p>
    <w:tbl>
      <w:tblPr>
        <w:tblStyle w:val="4"/>
        <w:tblW w:w="8548" w:type="dxa"/>
        <w:jc w:val="center"/>
        <w:tblLayout w:type="fixed"/>
        <w:tblCellMar>
          <w:top w:w="0" w:type="dxa"/>
          <w:left w:w="108" w:type="dxa"/>
          <w:bottom w:w="0" w:type="dxa"/>
          <w:right w:w="108" w:type="dxa"/>
        </w:tblCellMar>
      </w:tblPr>
      <w:tblGrid>
        <w:gridCol w:w="1388"/>
        <w:gridCol w:w="1305"/>
        <w:gridCol w:w="1485"/>
        <w:gridCol w:w="930"/>
        <w:gridCol w:w="1050"/>
        <w:gridCol w:w="831"/>
        <w:gridCol w:w="1559"/>
      </w:tblGrid>
      <w:tr w14:paraId="4E88FDB0">
        <w:tblPrEx>
          <w:tblCellMar>
            <w:top w:w="0" w:type="dxa"/>
            <w:left w:w="108" w:type="dxa"/>
            <w:bottom w:w="0" w:type="dxa"/>
            <w:right w:w="108" w:type="dxa"/>
          </w:tblCellMar>
        </w:tblPrEx>
        <w:trPr>
          <w:trHeight w:val="585" w:hRule="atLeast"/>
          <w:jc w:val="center"/>
        </w:trPr>
        <w:tc>
          <w:tcPr>
            <w:tcW w:w="1388" w:type="dxa"/>
            <w:tcBorders>
              <w:top w:val="single" w:color="auto" w:sz="8" w:space="0"/>
              <w:left w:val="single" w:color="auto" w:sz="8" w:space="0"/>
              <w:bottom w:val="single" w:color="auto" w:sz="8" w:space="0"/>
              <w:right w:val="single" w:color="auto" w:sz="8" w:space="0"/>
            </w:tcBorders>
            <w:noWrap w:val="0"/>
            <w:vAlign w:val="center"/>
          </w:tcPr>
          <w:p w14:paraId="08EB86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不确定度</w:t>
            </w:r>
            <w:r>
              <w:rPr>
                <w:rFonts w:hint="default" w:ascii="Times New Roman" w:hAnsi="Times New Roman" w:eastAsia="宋体" w:cs="Times New Roman"/>
                <w:color w:val="000000" w:themeColor="text1"/>
                <w:sz w:val="24"/>
                <w:szCs w:val="24"/>
                <w14:textFill>
                  <w14:solidFill>
                    <w14:schemeClr w14:val="tx1"/>
                  </w14:solidFill>
                </w14:textFill>
              </w:rPr>
              <w:t>分量来源</w:t>
            </w:r>
          </w:p>
        </w:tc>
        <w:tc>
          <w:tcPr>
            <w:tcW w:w="1305" w:type="dxa"/>
            <w:tcBorders>
              <w:top w:val="single" w:color="auto" w:sz="8" w:space="0"/>
              <w:left w:val="single" w:color="auto" w:sz="8" w:space="0"/>
              <w:bottom w:val="single" w:color="auto" w:sz="8" w:space="0"/>
              <w:right w:val="single" w:color="auto" w:sz="8" w:space="0"/>
            </w:tcBorders>
            <w:noWrap w:val="0"/>
            <w:vAlign w:val="center"/>
          </w:tcPr>
          <w:p w14:paraId="184E90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分量符号</w:t>
            </w:r>
          </w:p>
        </w:tc>
        <w:tc>
          <w:tcPr>
            <w:tcW w:w="1485" w:type="dxa"/>
            <w:tcBorders>
              <w:top w:val="single" w:color="auto" w:sz="8" w:space="0"/>
              <w:left w:val="single" w:color="auto" w:sz="8" w:space="0"/>
              <w:bottom w:val="single" w:color="auto" w:sz="8" w:space="0"/>
              <w:right w:val="single" w:color="auto" w:sz="8" w:space="0"/>
            </w:tcBorders>
            <w:noWrap w:val="0"/>
            <w:vAlign w:val="center"/>
          </w:tcPr>
          <w:p w14:paraId="58D9EA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区间</w:t>
            </w:r>
            <w:r>
              <w:rPr>
                <w:rFonts w:hint="default" w:ascii="Times New Roman" w:hAnsi="Times New Roman" w:eastAsia="宋体" w:cs="Times New Roman"/>
                <w:bCs/>
                <w:color w:val="000000" w:themeColor="text1"/>
                <w:kern w:val="0"/>
                <w:sz w:val="24"/>
                <w:szCs w:val="24"/>
                <w14:textFill>
                  <w14:solidFill>
                    <w14:schemeClr w14:val="tx1"/>
                  </w14:solidFill>
                </w14:textFill>
              </w:rPr>
              <w:t>半宽</w:t>
            </w:r>
            <w:r>
              <w:rPr>
                <w:rFonts w:hint="default" w:ascii="Times New Roman" w:hAnsi="Times New Roman" w:eastAsia="宋体" w:cs="Times New Roman"/>
                <w:color w:val="000000" w:themeColor="text1"/>
                <w:kern w:val="0"/>
                <w:sz w:val="24"/>
                <w:szCs w:val="24"/>
                <w14:textFill>
                  <w14:solidFill>
                    <w14:schemeClr w14:val="tx1"/>
                  </w14:solidFill>
                </w14:textFill>
              </w:rPr>
              <w:t>或重复性数值</w:t>
            </w:r>
          </w:p>
        </w:tc>
        <w:tc>
          <w:tcPr>
            <w:tcW w:w="930" w:type="dxa"/>
            <w:tcBorders>
              <w:top w:val="single" w:color="auto" w:sz="8" w:space="0"/>
              <w:left w:val="single" w:color="auto" w:sz="8" w:space="0"/>
              <w:bottom w:val="single" w:color="auto" w:sz="8" w:space="0"/>
              <w:right w:val="single" w:color="auto" w:sz="8" w:space="0"/>
            </w:tcBorders>
            <w:noWrap w:val="0"/>
            <w:vAlign w:val="center"/>
          </w:tcPr>
          <w:p w14:paraId="419BA9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评定</w:t>
            </w:r>
            <w:r>
              <w:rPr>
                <w:rFonts w:hint="default" w:ascii="Times New Roman" w:hAnsi="Times New Roman" w:eastAsia="宋体" w:cs="Times New Roman"/>
                <w:color w:val="000000" w:themeColor="text1"/>
                <w:sz w:val="24"/>
                <w:szCs w:val="24"/>
                <w14:textFill>
                  <w14:solidFill>
                    <w14:schemeClr w14:val="tx1"/>
                  </w14:solidFill>
                </w14:textFill>
              </w:rPr>
              <w:t>方法</w:t>
            </w:r>
          </w:p>
        </w:tc>
        <w:tc>
          <w:tcPr>
            <w:tcW w:w="1050" w:type="dxa"/>
            <w:tcBorders>
              <w:top w:val="single" w:color="auto" w:sz="8" w:space="0"/>
              <w:left w:val="single" w:color="auto" w:sz="8" w:space="0"/>
              <w:bottom w:val="single" w:color="auto" w:sz="8" w:space="0"/>
              <w:right w:val="single" w:color="auto" w:sz="8" w:space="0"/>
            </w:tcBorders>
            <w:noWrap w:val="0"/>
            <w:vAlign w:val="center"/>
          </w:tcPr>
          <w:p w14:paraId="0C81C0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概率分布</w:t>
            </w:r>
          </w:p>
        </w:tc>
        <w:tc>
          <w:tcPr>
            <w:tcW w:w="831" w:type="dxa"/>
            <w:tcBorders>
              <w:top w:val="single" w:color="auto" w:sz="8" w:space="0"/>
              <w:left w:val="single" w:color="auto" w:sz="8" w:space="0"/>
              <w:bottom w:val="single" w:color="auto" w:sz="8" w:space="0"/>
              <w:right w:val="single" w:color="auto" w:sz="8" w:space="0"/>
            </w:tcBorders>
            <w:noWrap w:val="0"/>
            <w:vAlign w:val="center"/>
          </w:tcPr>
          <w:p w14:paraId="071EF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置信因子</w:t>
            </w:r>
          </w:p>
        </w:tc>
        <w:tc>
          <w:tcPr>
            <w:tcW w:w="1559" w:type="dxa"/>
            <w:tcBorders>
              <w:top w:val="single" w:color="auto" w:sz="8" w:space="0"/>
              <w:left w:val="single" w:color="auto" w:sz="8" w:space="0"/>
              <w:bottom w:val="single" w:color="auto" w:sz="8" w:space="0"/>
              <w:right w:val="single" w:color="auto" w:sz="8" w:space="0"/>
            </w:tcBorders>
            <w:noWrap w:val="0"/>
            <w:vAlign w:val="center"/>
          </w:tcPr>
          <w:p w14:paraId="6994ED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相对标准不确定度分量</w:t>
            </w:r>
          </w:p>
        </w:tc>
      </w:tr>
      <w:tr w14:paraId="39A542F5">
        <w:tblPrEx>
          <w:tblCellMar>
            <w:top w:w="0" w:type="dxa"/>
            <w:left w:w="108" w:type="dxa"/>
            <w:bottom w:w="0" w:type="dxa"/>
            <w:right w:w="108" w:type="dxa"/>
          </w:tblCellMar>
        </w:tblPrEx>
        <w:trPr>
          <w:trHeight w:val="495" w:hRule="atLeast"/>
          <w:jc w:val="center"/>
        </w:trPr>
        <w:tc>
          <w:tcPr>
            <w:tcW w:w="1388" w:type="dxa"/>
            <w:tcBorders>
              <w:top w:val="single" w:color="auto" w:sz="8" w:space="0"/>
              <w:left w:val="single" w:color="auto" w:sz="8" w:space="0"/>
              <w:bottom w:val="single" w:color="auto" w:sz="8" w:space="0"/>
              <w:right w:val="single" w:color="auto" w:sz="8" w:space="0"/>
            </w:tcBorders>
            <w:noWrap w:val="0"/>
            <w:vAlign w:val="center"/>
          </w:tcPr>
          <w:p w14:paraId="141E3C6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反应热重复性</w:t>
            </w:r>
          </w:p>
        </w:tc>
        <w:tc>
          <w:tcPr>
            <w:tcW w:w="1305" w:type="dxa"/>
            <w:tcBorders>
              <w:top w:val="single" w:color="auto" w:sz="8" w:space="0"/>
              <w:left w:val="single" w:color="auto" w:sz="8" w:space="0"/>
              <w:bottom w:val="single" w:color="auto" w:sz="8" w:space="0"/>
              <w:right w:val="single" w:color="auto" w:sz="8" w:space="0"/>
            </w:tcBorders>
            <w:noWrap w:val="0"/>
            <w:vAlign w:val="center"/>
          </w:tcPr>
          <w:p w14:paraId="3175D3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color w:val="000000" w:themeColor="text1"/>
                <w:sz w:val="24"/>
                <w:szCs w:val="24"/>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Q</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m</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m:oMathPara>
          </w:p>
        </w:tc>
        <w:tc>
          <w:tcPr>
            <w:tcW w:w="1485" w:type="dxa"/>
            <w:tcBorders>
              <w:top w:val="single" w:color="auto" w:sz="8" w:space="0"/>
              <w:left w:val="single" w:color="auto" w:sz="8" w:space="0"/>
              <w:bottom w:val="single" w:color="auto" w:sz="8" w:space="0"/>
              <w:right w:val="single" w:color="auto" w:sz="8" w:space="0"/>
            </w:tcBorders>
            <w:noWrap w:val="0"/>
            <w:vAlign w:val="center"/>
          </w:tcPr>
          <w:p w14:paraId="37B1DFB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0.06</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tc>
        <w:tc>
          <w:tcPr>
            <w:tcW w:w="930" w:type="dxa"/>
            <w:tcBorders>
              <w:top w:val="single" w:color="auto" w:sz="8" w:space="0"/>
              <w:left w:val="single" w:color="auto" w:sz="8" w:space="0"/>
              <w:bottom w:val="single" w:color="auto" w:sz="8" w:space="0"/>
              <w:right w:val="single" w:color="auto" w:sz="8" w:space="0"/>
            </w:tcBorders>
            <w:noWrap w:val="0"/>
            <w:vAlign w:val="center"/>
          </w:tcPr>
          <w:p w14:paraId="60A1927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A</w:t>
            </w:r>
          </w:p>
        </w:tc>
        <w:tc>
          <w:tcPr>
            <w:tcW w:w="1050" w:type="dxa"/>
            <w:tcBorders>
              <w:top w:val="single" w:color="auto" w:sz="8" w:space="0"/>
              <w:left w:val="single" w:color="auto" w:sz="8" w:space="0"/>
              <w:bottom w:val="single" w:color="auto" w:sz="8" w:space="0"/>
              <w:right w:val="single" w:color="auto" w:sz="8" w:space="0"/>
            </w:tcBorders>
            <w:noWrap w:val="0"/>
            <w:vAlign w:val="center"/>
          </w:tcPr>
          <w:p w14:paraId="59565C26">
            <w:pPr>
              <w:pStyle w:val="3"/>
              <w:keepNext w:val="0"/>
              <w:keepLines w:val="0"/>
              <w:pageBreakBefore w:val="0"/>
              <w:suppressLineNumbers w:val="0"/>
              <w:pBdr>
                <w:bottom w:val="none" w:color="auto" w:sz="0" w:space="0"/>
              </w:pBdr>
              <w:tabs>
                <w:tab w:val="clear" w:pos="4153"/>
                <w:tab w:val="clear" w:pos="8306"/>
              </w:tabs>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正态</w:t>
            </w:r>
          </w:p>
        </w:tc>
        <w:tc>
          <w:tcPr>
            <w:tcW w:w="831" w:type="dxa"/>
            <w:tcBorders>
              <w:top w:val="single" w:color="auto" w:sz="8" w:space="0"/>
              <w:left w:val="single" w:color="auto" w:sz="8" w:space="0"/>
              <w:bottom w:val="single" w:color="auto" w:sz="8" w:space="0"/>
              <w:right w:val="single" w:color="auto" w:sz="8" w:space="0"/>
            </w:tcBorders>
            <w:noWrap w:val="0"/>
            <w:vAlign w:val="center"/>
          </w:tcPr>
          <w:p w14:paraId="5D57E37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p>
        </w:tc>
        <w:tc>
          <w:tcPr>
            <w:tcW w:w="1559" w:type="dxa"/>
            <w:tcBorders>
              <w:top w:val="single" w:color="auto" w:sz="8" w:space="0"/>
              <w:left w:val="single" w:color="auto" w:sz="8" w:space="0"/>
              <w:bottom w:val="single" w:color="auto" w:sz="8" w:space="0"/>
              <w:right w:val="single" w:color="auto" w:sz="8" w:space="0"/>
            </w:tcBorders>
            <w:noWrap w:val="0"/>
            <w:vAlign w:val="center"/>
          </w:tcPr>
          <w:p w14:paraId="615A7F1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0.06</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tc>
      </w:tr>
      <w:tr w14:paraId="5D6FB1B6">
        <w:tblPrEx>
          <w:tblCellMar>
            <w:top w:w="0" w:type="dxa"/>
            <w:left w:w="108" w:type="dxa"/>
            <w:bottom w:w="0" w:type="dxa"/>
            <w:right w:w="108" w:type="dxa"/>
          </w:tblCellMar>
        </w:tblPrEx>
        <w:trPr>
          <w:trHeight w:val="408" w:hRule="atLeast"/>
          <w:jc w:val="center"/>
        </w:trPr>
        <w:tc>
          <w:tcPr>
            <w:tcW w:w="1388" w:type="dxa"/>
            <w:tcBorders>
              <w:top w:val="single" w:color="auto" w:sz="8" w:space="0"/>
              <w:left w:val="single" w:color="auto" w:sz="8" w:space="0"/>
              <w:bottom w:val="single" w:color="auto" w:sz="8" w:space="0"/>
              <w:right w:val="single" w:color="auto" w:sz="8" w:space="0"/>
            </w:tcBorders>
            <w:noWrap w:val="0"/>
            <w:vAlign w:val="center"/>
          </w:tcPr>
          <w:p w14:paraId="0DF529B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标准电压测量</w:t>
            </w:r>
          </w:p>
        </w:tc>
        <w:tc>
          <w:tcPr>
            <w:tcW w:w="1305" w:type="dxa"/>
            <w:tcBorders>
              <w:top w:val="single" w:color="auto" w:sz="8" w:space="0"/>
              <w:left w:val="single" w:color="auto" w:sz="8" w:space="0"/>
              <w:bottom w:val="single" w:color="auto" w:sz="8" w:space="0"/>
              <w:right w:val="single" w:color="auto" w:sz="8" w:space="0"/>
            </w:tcBorders>
            <w:noWrap w:val="0"/>
            <w:vAlign w:val="center"/>
          </w:tcPr>
          <w:p w14:paraId="10D182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m:oMathPara>
          </w:p>
        </w:tc>
        <w:tc>
          <w:tcPr>
            <w:tcW w:w="1485" w:type="dxa"/>
            <w:tcBorders>
              <w:top w:val="single" w:color="auto" w:sz="8" w:space="0"/>
              <w:left w:val="single" w:color="auto" w:sz="8" w:space="0"/>
              <w:bottom w:val="single" w:color="auto" w:sz="8" w:space="0"/>
              <w:right w:val="single" w:color="auto" w:sz="8" w:space="0"/>
            </w:tcBorders>
            <w:noWrap w:val="0"/>
            <w:vAlign w:val="center"/>
          </w:tcPr>
          <w:p w14:paraId="710B8FC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w:t>
            </w:r>
            <w:r>
              <w:rPr>
                <w:rFonts w:hint="default" w:ascii="Times New Roman" w:hAnsi="Times New Roman" w:eastAsia="宋体" w:cs="Times New Roman"/>
                <w:color w:val="000000" w:themeColor="text1"/>
                <w:sz w:val="24"/>
                <w:szCs w:val="24"/>
                <w:lang w:val="en-US"/>
                <w14:textFill>
                  <w14:solidFill>
                    <w14:schemeClr w14:val="tx1"/>
                  </w14:solidFill>
                </w14:textFill>
              </w:rPr>
              <w:t>29</w:t>
            </w:r>
            <w:r>
              <w:rPr>
                <w:rFonts w:hint="default" w:ascii="Times New Roman" w:hAnsi="Times New Roman" w:eastAsia="宋体" w:cs="Times New Roman"/>
                <w:color w:val="000000" w:themeColor="text1"/>
                <w:sz w:val="24"/>
                <w:szCs w:val="24"/>
                <w14:textFill>
                  <w14:solidFill>
                    <w14:schemeClr w14:val="tx1"/>
                  </w14:solidFill>
                </w14:textFill>
              </w:rPr>
              <w:t>%</w:t>
            </w:r>
          </w:p>
        </w:tc>
        <w:tc>
          <w:tcPr>
            <w:tcW w:w="930" w:type="dxa"/>
            <w:tcBorders>
              <w:top w:val="single" w:color="auto" w:sz="8" w:space="0"/>
              <w:left w:val="single" w:color="auto" w:sz="8" w:space="0"/>
              <w:bottom w:val="single" w:color="auto" w:sz="8" w:space="0"/>
              <w:right w:val="single" w:color="auto" w:sz="8" w:space="0"/>
            </w:tcBorders>
            <w:noWrap w:val="0"/>
            <w:vAlign w:val="center"/>
          </w:tcPr>
          <w:p w14:paraId="56D5F3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B</w:t>
            </w:r>
          </w:p>
        </w:tc>
        <w:tc>
          <w:tcPr>
            <w:tcW w:w="1050" w:type="dxa"/>
            <w:tcBorders>
              <w:top w:val="single" w:color="auto" w:sz="8" w:space="0"/>
              <w:left w:val="single" w:color="auto" w:sz="8" w:space="0"/>
              <w:bottom w:val="single" w:color="auto" w:sz="8" w:space="0"/>
              <w:right w:val="single" w:color="auto" w:sz="8" w:space="0"/>
            </w:tcBorders>
            <w:noWrap w:val="0"/>
            <w:vAlign w:val="center"/>
          </w:tcPr>
          <w:p w14:paraId="38461254">
            <w:pPr>
              <w:pStyle w:val="3"/>
              <w:keepNext w:val="0"/>
              <w:keepLines w:val="0"/>
              <w:pageBreakBefore w:val="0"/>
              <w:suppressLineNumbers w:val="0"/>
              <w:pBdr>
                <w:bottom w:val="none" w:color="auto" w:sz="0" w:space="0"/>
              </w:pBdr>
              <w:tabs>
                <w:tab w:val="clear" w:pos="4153"/>
                <w:tab w:val="clear" w:pos="8306"/>
              </w:tabs>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均匀</w:t>
            </w:r>
          </w:p>
        </w:tc>
        <w:tc>
          <w:tcPr>
            <w:tcW w:w="831" w:type="dxa"/>
            <w:tcBorders>
              <w:top w:val="single" w:color="auto" w:sz="8" w:space="0"/>
              <w:left w:val="single" w:color="auto" w:sz="8" w:space="0"/>
              <w:bottom w:val="single" w:color="auto" w:sz="8" w:space="0"/>
              <w:right w:val="single" w:color="auto" w:sz="8" w:space="0"/>
            </w:tcBorders>
            <w:noWrap w:val="0"/>
            <w:vAlign w:val="center"/>
          </w:tcPr>
          <w:p w14:paraId="633F87E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position w:val="-6"/>
                <w:sz w:val="24"/>
                <w:szCs w:val="24"/>
                <w14:textFill>
                  <w14:solidFill>
                    <w14:schemeClr w14:val="tx1"/>
                  </w14:solidFill>
                </w14:textFill>
              </w:rPr>
              <w:object>
                <v:shape id="_x0000_i1027" o:spt="75" type="#_x0000_t75" style="height:15.75pt;width:16.5pt;" o:ole="t" filled="f" o:preferrelative="t" stroked="f" coordsize="21600,21600">
                  <v:path/>
                  <v:fill on="f" focussize="0,0"/>
                  <v:stroke on="f" joinstyle="miter"/>
                  <v:imagedata r:id="rId9" o:title=""/>
                  <o:lock v:ext="edit" aspectratio="t"/>
                  <w10:wrap type="none"/>
                  <w10:anchorlock/>
                </v:shape>
                <o:OLEObject Type="Embed" ProgID="Equation.DSMT4" ShapeID="_x0000_i1027" DrawAspect="Content" ObjectID="_1468075727" r:id="rId8">
                  <o:LockedField>false</o:LockedField>
                </o:OLEObject>
              </w:object>
            </w:r>
          </w:p>
        </w:tc>
        <w:tc>
          <w:tcPr>
            <w:tcW w:w="1559" w:type="dxa"/>
            <w:tcBorders>
              <w:top w:val="single" w:color="auto" w:sz="8" w:space="0"/>
              <w:left w:val="single" w:color="auto" w:sz="8" w:space="0"/>
              <w:bottom w:val="single" w:color="auto" w:sz="8" w:space="0"/>
              <w:right w:val="single" w:color="auto" w:sz="8" w:space="0"/>
            </w:tcBorders>
            <w:noWrap w:val="0"/>
            <w:vAlign w:val="center"/>
          </w:tcPr>
          <w:p w14:paraId="45D311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w:t>
            </w:r>
            <w:r>
              <w:rPr>
                <w:rFonts w:hint="default" w:ascii="Times New Roman" w:hAnsi="Times New Roman" w:eastAsia="宋体" w:cs="Times New Roman"/>
                <w:color w:val="000000" w:themeColor="text1"/>
                <w:sz w:val="24"/>
                <w:szCs w:val="24"/>
                <w:lang w:val="en-US"/>
                <w14:textFill>
                  <w14:solidFill>
                    <w14:schemeClr w14:val="tx1"/>
                  </w14:solidFill>
                </w14:textFill>
              </w:rPr>
              <w:t>29</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tc>
      </w:tr>
      <w:tr w14:paraId="48294687">
        <w:tblPrEx>
          <w:tblCellMar>
            <w:top w:w="0" w:type="dxa"/>
            <w:left w:w="108" w:type="dxa"/>
            <w:bottom w:w="0" w:type="dxa"/>
            <w:right w:w="108" w:type="dxa"/>
          </w:tblCellMar>
        </w:tblPrEx>
        <w:trPr>
          <w:trHeight w:val="495" w:hRule="atLeast"/>
          <w:jc w:val="center"/>
        </w:trPr>
        <w:tc>
          <w:tcPr>
            <w:tcW w:w="1388" w:type="dxa"/>
            <w:tcBorders>
              <w:top w:val="single" w:color="auto" w:sz="8" w:space="0"/>
              <w:left w:val="single" w:color="auto" w:sz="8" w:space="0"/>
              <w:bottom w:val="single" w:color="auto" w:sz="8" w:space="0"/>
              <w:right w:val="single" w:color="auto" w:sz="8" w:space="0"/>
            </w:tcBorders>
            <w:noWrap w:val="0"/>
            <w:vAlign w:val="center"/>
          </w:tcPr>
          <w:p w14:paraId="2CFA29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标准电流测量</w:t>
            </w:r>
          </w:p>
        </w:tc>
        <w:tc>
          <w:tcPr>
            <w:tcW w:w="1305" w:type="dxa"/>
            <w:tcBorders>
              <w:top w:val="single" w:color="auto" w:sz="8" w:space="0"/>
              <w:left w:val="single" w:color="auto" w:sz="8" w:space="0"/>
              <w:bottom w:val="single" w:color="auto" w:sz="8" w:space="0"/>
              <w:right w:val="single" w:color="auto" w:sz="8" w:space="0"/>
            </w:tcBorders>
            <w:noWrap w:val="0"/>
            <w:vAlign w:val="center"/>
          </w:tcPr>
          <w:p w14:paraId="7F2690A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eastAsia="zh-CN"/>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sSub>
                      <m:sSubPr>
                        <m:ctrlPr>
                          <w:rPr>
                            <w:rFonts w:hint="default" w:ascii="Cambria Math" w:hAnsi="Cambria Math" w:eastAsia="宋体" w:cs="Times New Roman"/>
                            <w:i/>
                            <w:color w:val="000000" w:themeColor="text1"/>
                            <w:sz w:val="24"/>
                            <w:szCs w:val="24"/>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I</m:t>
                        </m:r>
                        <m:ctrlPr>
                          <w:rPr>
                            <w:rFonts w:hint="default" w:ascii="Cambria Math" w:hAnsi="Cambria Math" w:eastAsia="宋体" w:cs="Times New Roman"/>
                            <w:i/>
                            <w:color w:val="000000" w:themeColor="text1"/>
                            <w:sz w:val="24"/>
                            <w:szCs w:val="24"/>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sub>
                    </m:sSub>
                    <m:ctrlPr>
                      <w:rPr>
                        <w:rFonts w:hint="default" w:ascii="Cambria Math" w:hAnsi="Cambria Math" w:eastAsia="宋体" w:cs="Times New Roman"/>
                        <w:i/>
                        <w:color w:val="000000" w:themeColor="text1"/>
                        <w:sz w:val="24"/>
                        <w:szCs w:val="24"/>
                        <w14:textFill>
                          <w14:solidFill>
                            <w14:schemeClr w14:val="tx1"/>
                          </w14:solidFill>
                        </w14:textFill>
                      </w:rPr>
                    </m:ctrlPr>
                  </m:den>
                </m:f>
              </m:oMath>
            </m:oMathPara>
          </w:p>
        </w:tc>
        <w:tc>
          <w:tcPr>
            <w:tcW w:w="1485" w:type="dxa"/>
            <w:tcBorders>
              <w:top w:val="single" w:color="auto" w:sz="8" w:space="0"/>
              <w:left w:val="single" w:color="auto" w:sz="8" w:space="0"/>
              <w:bottom w:val="single" w:color="auto" w:sz="8" w:space="0"/>
              <w:right w:val="single" w:color="auto" w:sz="8" w:space="0"/>
            </w:tcBorders>
            <w:noWrap w:val="0"/>
            <w:vAlign w:val="center"/>
          </w:tcPr>
          <w:p w14:paraId="4A0E225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0.2</w:t>
            </w:r>
            <w:r>
              <w:rPr>
                <w:rFonts w:hint="default" w:ascii="Times New Roman" w:hAnsi="Times New Roman" w:eastAsia="宋体" w:cs="Times New Roman"/>
                <w:color w:val="000000" w:themeColor="text1"/>
                <w:sz w:val="24"/>
                <w:szCs w:val="24"/>
                <w:lang w:val="en-US"/>
                <w14:textFill>
                  <w14:solidFill>
                    <w14:schemeClr w14:val="tx1"/>
                  </w14:solidFill>
                </w14:textFill>
              </w:rPr>
              <w:t>9</w:t>
            </w:r>
            <w:r>
              <w:rPr>
                <w:rFonts w:hint="default" w:ascii="Times New Roman" w:hAnsi="Times New Roman" w:eastAsia="宋体" w:cs="Times New Roman"/>
                <w:color w:val="000000" w:themeColor="text1"/>
                <w:sz w:val="24"/>
                <w:szCs w:val="24"/>
                <w14:textFill>
                  <w14:solidFill>
                    <w14:schemeClr w14:val="tx1"/>
                  </w14:solidFill>
                </w14:textFill>
              </w:rPr>
              <w:t>%</w:t>
            </w:r>
          </w:p>
        </w:tc>
        <w:tc>
          <w:tcPr>
            <w:tcW w:w="930" w:type="dxa"/>
            <w:tcBorders>
              <w:top w:val="single" w:color="auto" w:sz="8" w:space="0"/>
              <w:left w:val="single" w:color="auto" w:sz="8" w:space="0"/>
              <w:bottom w:val="single" w:color="auto" w:sz="8" w:space="0"/>
              <w:right w:val="single" w:color="auto" w:sz="8" w:space="0"/>
            </w:tcBorders>
            <w:noWrap w:val="0"/>
            <w:vAlign w:val="center"/>
          </w:tcPr>
          <w:p w14:paraId="65B499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B</w:t>
            </w:r>
          </w:p>
        </w:tc>
        <w:tc>
          <w:tcPr>
            <w:tcW w:w="1050" w:type="dxa"/>
            <w:tcBorders>
              <w:top w:val="single" w:color="auto" w:sz="8" w:space="0"/>
              <w:left w:val="single" w:color="auto" w:sz="8" w:space="0"/>
              <w:bottom w:val="single" w:color="auto" w:sz="8" w:space="0"/>
              <w:right w:val="single" w:color="auto" w:sz="8" w:space="0"/>
            </w:tcBorders>
            <w:noWrap w:val="0"/>
            <w:vAlign w:val="center"/>
          </w:tcPr>
          <w:p w14:paraId="3C575E6A">
            <w:pPr>
              <w:pStyle w:val="3"/>
              <w:keepNext w:val="0"/>
              <w:keepLines w:val="0"/>
              <w:pageBreakBefore w:val="0"/>
              <w:suppressLineNumbers w:val="0"/>
              <w:pBdr>
                <w:bottom w:val="none" w:color="auto" w:sz="0" w:space="0"/>
              </w:pBdr>
              <w:tabs>
                <w:tab w:val="clear" w:pos="4153"/>
                <w:tab w:val="clear" w:pos="8306"/>
              </w:tabs>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均匀</w:t>
            </w:r>
          </w:p>
        </w:tc>
        <w:tc>
          <w:tcPr>
            <w:tcW w:w="831" w:type="dxa"/>
            <w:tcBorders>
              <w:top w:val="single" w:color="auto" w:sz="8" w:space="0"/>
              <w:left w:val="single" w:color="auto" w:sz="8" w:space="0"/>
              <w:bottom w:val="single" w:color="auto" w:sz="8" w:space="0"/>
              <w:right w:val="single" w:color="auto" w:sz="8" w:space="0"/>
            </w:tcBorders>
            <w:noWrap w:val="0"/>
            <w:vAlign w:val="center"/>
          </w:tcPr>
          <w:p w14:paraId="264A2E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position w:val="-6"/>
                <w:sz w:val="24"/>
                <w:szCs w:val="24"/>
                <w14:textFill>
                  <w14:solidFill>
                    <w14:schemeClr w14:val="tx1"/>
                  </w14:solidFill>
                </w14:textFill>
              </w:rPr>
              <w:object>
                <v:shape id="_x0000_i1028" o:spt="75" type="#_x0000_t75" style="height:15.75pt;width:16.5pt;" o:ole="t" filled="f" o:preferrelative="t" stroked="f" coordsize="21600,21600">
                  <v:path/>
                  <v:fill on="f" focussize="0,0"/>
                  <v:stroke on="f" joinstyle="miter"/>
                  <v:imagedata r:id="rId9" o:title=""/>
                  <o:lock v:ext="edit" aspectratio="t"/>
                  <w10:wrap type="none"/>
                  <w10:anchorlock/>
                </v:shape>
                <o:OLEObject Type="Embed" ProgID="Equation.DSMT4" ShapeID="_x0000_i1028" DrawAspect="Content" ObjectID="_1468075728" r:id="rId10">
                  <o:LockedField>false</o:LockedField>
                </o:OLEObject>
              </w:object>
            </w:r>
          </w:p>
        </w:tc>
        <w:tc>
          <w:tcPr>
            <w:tcW w:w="1559" w:type="dxa"/>
            <w:tcBorders>
              <w:top w:val="single" w:color="auto" w:sz="8" w:space="0"/>
              <w:left w:val="single" w:color="auto" w:sz="8" w:space="0"/>
              <w:bottom w:val="single" w:color="auto" w:sz="8" w:space="0"/>
              <w:right w:val="single" w:color="auto" w:sz="8" w:space="0"/>
            </w:tcBorders>
            <w:noWrap w:val="0"/>
            <w:vAlign w:val="center"/>
          </w:tcPr>
          <w:p w14:paraId="006F7E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w:t>
            </w:r>
            <w:r>
              <w:rPr>
                <w:rFonts w:hint="default" w:ascii="Times New Roman" w:hAnsi="Times New Roman" w:eastAsia="宋体" w:cs="Times New Roman"/>
                <w:color w:val="000000" w:themeColor="text1"/>
                <w:sz w:val="24"/>
                <w:szCs w:val="24"/>
                <w:lang w:val="en-US"/>
                <w14:textFill>
                  <w14:solidFill>
                    <w14:schemeClr w14:val="tx1"/>
                  </w14:solidFill>
                </w14:textFill>
              </w:rPr>
              <w:t>29</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tc>
      </w:tr>
      <w:tr w14:paraId="35141A72">
        <w:tblPrEx>
          <w:tblCellMar>
            <w:top w:w="0" w:type="dxa"/>
            <w:left w:w="108" w:type="dxa"/>
            <w:bottom w:w="0" w:type="dxa"/>
            <w:right w:w="108" w:type="dxa"/>
          </w:tblCellMar>
        </w:tblPrEx>
        <w:trPr>
          <w:trHeight w:val="495" w:hRule="atLeast"/>
          <w:jc w:val="center"/>
        </w:trPr>
        <w:tc>
          <w:tcPr>
            <w:tcW w:w="1388" w:type="dxa"/>
            <w:tcBorders>
              <w:top w:val="single" w:color="auto" w:sz="8" w:space="0"/>
              <w:left w:val="single" w:color="auto" w:sz="8" w:space="0"/>
              <w:bottom w:val="single" w:color="auto" w:sz="8" w:space="0"/>
              <w:right w:val="single" w:color="auto" w:sz="8" w:space="0"/>
            </w:tcBorders>
            <w:noWrap w:val="0"/>
            <w:vAlign w:val="center"/>
          </w:tcPr>
          <w:p w14:paraId="0CE3E0A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积分时间</w:t>
            </w:r>
          </w:p>
        </w:tc>
        <w:tc>
          <w:tcPr>
            <w:tcW w:w="1305" w:type="dxa"/>
            <w:tcBorders>
              <w:top w:val="single" w:color="auto" w:sz="8" w:space="0"/>
              <w:left w:val="single" w:color="auto" w:sz="8" w:space="0"/>
              <w:bottom w:val="single" w:color="auto" w:sz="8" w:space="0"/>
              <w:right w:val="single" w:color="auto" w:sz="8" w:space="0"/>
            </w:tcBorders>
            <w:noWrap w:val="0"/>
            <w:vAlign w:val="center"/>
          </w:tcPr>
          <w:p w14:paraId="1E31AE0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m:oMathPara>
              <m:oMath>
                <m:f>
                  <m:fPr>
                    <m:ctrlPr>
                      <w:rPr>
                        <w:rFonts w:hint="default" w:ascii="Cambria Math" w:hAnsi="Cambria Math" w:eastAsia="宋体" w:cs="Times New Roman"/>
                        <w:i/>
                        <w:color w:val="000000" w:themeColor="text1"/>
                        <w:sz w:val="24"/>
                        <w:szCs w:val="24"/>
                        <w14:textFill>
                          <w14:solidFill>
                            <w14:schemeClr w14:val="tx1"/>
                          </w14:solidFill>
                        </w14:textFill>
                      </w:rPr>
                    </m:ctrlPr>
                  </m:fPr>
                  <m:num>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u</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ctrlPr>
                      <w:rPr>
                        <w:rFonts w:hint="default" w:ascii="Cambria Math" w:hAnsi="Cambria Math" w:eastAsia="宋体" w:cs="Times New Roman"/>
                        <w:i/>
                        <w:color w:val="000000" w:themeColor="text1"/>
                        <w:sz w:val="24"/>
                        <w:szCs w:val="24"/>
                        <w14:textFill>
                          <w14:solidFill>
                            <w14:schemeClr w14:val="tx1"/>
                          </w14:solidFill>
                        </w14:textFill>
                      </w:rPr>
                    </m:ctrlPr>
                  </m:num>
                  <m:den>
                    <m:r>
                      <m:rPr>
                        <m:nor/>
                      </m:rPr>
                      <w:rPr>
                        <w:rFonts w:hint="default" w:ascii="Times New Roman" w:hAnsi="Times New Roman" w:eastAsia="宋体" w:cs="Times New Roman"/>
                        <w:i/>
                        <w:color w:val="000000" w:themeColor="text1"/>
                        <w:sz w:val="24"/>
                        <w:szCs w:val="24"/>
                        <w:lang w:val="en-US"/>
                        <w14:textFill>
                          <w14:solidFill>
                            <w14:schemeClr w14:val="tx1"/>
                          </w14:solidFill>
                        </w14:textFill>
                      </w:rPr>
                      <m:t>t</m:t>
                    </m:r>
                    <m:ctrlPr>
                      <w:rPr>
                        <w:rFonts w:hint="default" w:ascii="Cambria Math" w:hAnsi="Cambria Math" w:eastAsia="宋体" w:cs="Times New Roman"/>
                        <w:i/>
                        <w:color w:val="000000" w:themeColor="text1"/>
                        <w:sz w:val="24"/>
                        <w:szCs w:val="24"/>
                        <w14:textFill>
                          <w14:solidFill>
                            <w14:schemeClr w14:val="tx1"/>
                          </w14:solidFill>
                        </w14:textFill>
                      </w:rPr>
                    </m:ctrlPr>
                  </m:den>
                </m:f>
              </m:oMath>
            </m:oMathPara>
          </w:p>
        </w:tc>
        <w:tc>
          <w:tcPr>
            <w:tcW w:w="1485" w:type="dxa"/>
            <w:tcBorders>
              <w:top w:val="single" w:color="auto" w:sz="8" w:space="0"/>
              <w:left w:val="single" w:color="auto" w:sz="8" w:space="0"/>
              <w:bottom w:val="single" w:color="auto" w:sz="8" w:space="0"/>
              <w:right w:val="single" w:color="auto" w:sz="8" w:space="0"/>
            </w:tcBorders>
            <w:noWrap w:val="0"/>
            <w:vAlign w:val="center"/>
          </w:tcPr>
          <w:p w14:paraId="56C6A8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0.03%</w:t>
            </w:r>
          </w:p>
        </w:tc>
        <w:tc>
          <w:tcPr>
            <w:tcW w:w="930" w:type="dxa"/>
            <w:tcBorders>
              <w:top w:val="single" w:color="auto" w:sz="8" w:space="0"/>
              <w:left w:val="single" w:color="auto" w:sz="8" w:space="0"/>
              <w:bottom w:val="single" w:color="auto" w:sz="8" w:space="0"/>
              <w:right w:val="single" w:color="auto" w:sz="8" w:space="0"/>
            </w:tcBorders>
            <w:noWrap w:val="0"/>
            <w:vAlign w:val="center"/>
          </w:tcPr>
          <w:p w14:paraId="232E2DE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B</w:t>
            </w:r>
          </w:p>
        </w:tc>
        <w:tc>
          <w:tcPr>
            <w:tcW w:w="1050" w:type="dxa"/>
            <w:tcBorders>
              <w:top w:val="single" w:color="auto" w:sz="8" w:space="0"/>
              <w:left w:val="single" w:color="auto" w:sz="8" w:space="0"/>
              <w:bottom w:val="single" w:color="auto" w:sz="8" w:space="0"/>
              <w:right w:val="single" w:color="auto" w:sz="8" w:space="0"/>
            </w:tcBorders>
            <w:noWrap w:val="0"/>
            <w:vAlign w:val="center"/>
          </w:tcPr>
          <w:p w14:paraId="1B5755B6">
            <w:pPr>
              <w:pStyle w:val="3"/>
              <w:keepNext w:val="0"/>
              <w:keepLines w:val="0"/>
              <w:pageBreakBefore w:val="0"/>
              <w:suppressLineNumbers w:val="0"/>
              <w:pBdr>
                <w:bottom w:val="none" w:color="auto" w:sz="0" w:space="0"/>
              </w:pBdr>
              <w:tabs>
                <w:tab w:val="clear" w:pos="4153"/>
                <w:tab w:val="clear" w:pos="8306"/>
              </w:tabs>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均匀</w:t>
            </w:r>
          </w:p>
        </w:tc>
        <w:tc>
          <w:tcPr>
            <w:tcW w:w="831" w:type="dxa"/>
            <w:tcBorders>
              <w:top w:val="single" w:color="auto" w:sz="8" w:space="0"/>
              <w:left w:val="single" w:color="auto" w:sz="8" w:space="0"/>
              <w:bottom w:val="single" w:color="auto" w:sz="8" w:space="0"/>
              <w:right w:val="single" w:color="auto" w:sz="8" w:space="0"/>
            </w:tcBorders>
            <w:noWrap w:val="0"/>
            <w:vAlign w:val="center"/>
          </w:tcPr>
          <w:p w14:paraId="3758D79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position w:val="-6"/>
                <w:sz w:val="24"/>
                <w:szCs w:val="24"/>
                <w14:textFill>
                  <w14:solidFill>
                    <w14:schemeClr w14:val="tx1"/>
                  </w14:solidFill>
                </w14:textFill>
              </w:rPr>
              <w:object>
                <v:shape id="_x0000_i1029" o:spt="75" type="#_x0000_t75" style="height:15.75pt;width:16.5pt;" o:ole="t" filled="f" o:preferrelative="t" stroked="f" coordsize="21600,21600">
                  <v:path/>
                  <v:fill on="f" focussize="0,0"/>
                  <v:stroke on="f" joinstyle="miter"/>
                  <v:imagedata r:id="rId9" o:title=""/>
                  <o:lock v:ext="edit" aspectratio="t"/>
                  <w10:wrap type="none"/>
                  <w10:anchorlock/>
                </v:shape>
                <o:OLEObject Type="Embed" ProgID="Equation.DSMT4" ShapeID="_x0000_i1029" DrawAspect="Content" ObjectID="_1468075729" r:id="rId11">
                  <o:LockedField>false</o:LockedField>
                </o:OLEObject>
              </w:object>
            </w:r>
          </w:p>
        </w:tc>
        <w:tc>
          <w:tcPr>
            <w:tcW w:w="1559" w:type="dxa"/>
            <w:tcBorders>
              <w:top w:val="single" w:color="auto" w:sz="8" w:space="0"/>
              <w:left w:val="single" w:color="auto" w:sz="8" w:space="0"/>
              <w:bottom w:val="single" w:color="auto" w:sz="8" w:space="0"/>
              <w:right w:val="single" w:color="auto" w:sz="8" w:space="0"/>
            </w:tcBorders>
            <w:noWrap w:val="0"/>
            <w:vAlign w:val="center"/>
          </w:tcPr>
          <w:p w14:paraId="07C62B5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0.0</w:t>
            </w:r>
            <w:r>
              <w:rPr>
                <w:rFonts w:hint="default" w:ascii="Times New Roman" w:hAnsi="Times New Roman" w:eastAsia="宋体" w:cs="Times New Roman"/>
                <w:color w:val="000000" w:themeColor="text1"/>
                <w:sz w:val="24"/>
                <w:szCs w:val="24"/>
                <w:lang w:val="en-US"/>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w:t>
            </w:r>
          </w:p>
        </w:tc>
      </w:tr>
    </w:tbl>
    <w:p w14:paraId="53C4FBB8">
      <w:pPr>
        <w:pStyle w:val="6"/>
        <w:keepNext w:val="0"/>
        <w:keepLines w:val="0"/>
        <w:pageBreakBefore w:val="0"/>
        <w:kinsoku/>
        <w:wordWrap/>
        <w:topLinePunct w:val="0"/>
        <w:bidi w:val="0"/>
        <w:adjustRightInd w:val="0"/>
        <w:snapToGrid w:val="0"/>
        <w:spacing w:before="156" w:beforeLines="50" w:after="156"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bookmarkStart w:id="22" w:name="_Toc2973"/>
      <w:bookmarkStart w:id="23" w:name="_Toc2766"/>
    </w:p>
    <w:p w14:paraId="21B38F2B">
      <w:pPr>
        <w:pStyle w:val="6"/>
        <w:keepNext w:val="0"/>
        <w:keepLines w:val="0"/>
        <w:pageBreakBefore w:val="0"/>
        <w:kinsoku/>
        <w:wordWrap/>
        <w:topLinePunct w:val="0"/>
        <w:bidi w:val="0"/>
        <w:adjustRightInd w:val="0"/>
        <w:snapToGrid w:val="0"/>
        <w:spacing w:before="156" w:beforeLines="50" w:after="156"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 xml:space="preserve"> 合成相对标准不确定度的计算</w:t>
      </w:r>
      <w:bookmarkEnd w:id="22"/>
      <w:bookmarkEnd w:id="23"/>
    </w:p>
    <w:p w14:paraId="7DCD8D2D">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合成相对标准不确定度按公式</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A.7</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计算可得：</w:t>
      </w:r>
      <w:r>
        <w:rPr>
          <w:rFonts w:hint="default" w:ascii="Times New Roman" w:hAnsi="Times New Roman" w:eastAsia="宋体" w:cs="Times New Roman"/>
          <w:color w:val="000000" w:themeColor="text1"/>
          <w:sz w:val="24"/>
          <w:szCs w:val="24"/>
          <w14:textFill>
            <w14:solidFill>
              <w14:schemeClr w14:val="tx1"/>
            </w14:solidFill>
          </w14:textFill>
        </w:rPr>
        <w:tab/>
      </w:r>
    </w:p>
    <w:p w14:paraId="6249FDE0">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m:oMathPara>
        <m:oMath>
          <m:sSub>
            <m:sSubPr>
              <m:ctrlPr>
                <w:rPr>
                  <w:rFonts w:hint="default" w:ascii="Cambria Math" w:hAnsi="Cambria Math" w:eastAsia="宋体" w:cs="Times New Roman"/>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u</m:t>
              </m:r>
              <m:ctrlPr>
                <w:rPr>
                  <w:rFonts w:hint="default" w:ascii="Cambria Math" w:hAnsi="Cambria Math" w:eastAsia="宋体" w:cs="Times New Roman"/>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c</m:t>
              </m:r>
              <m:ctrlPr>
                <w:rPr>
                  <w:rFonts w:hint="default" w:ascii="Cambria Math" w:hAnsi="Cambria Math" w:eastAsia="宋体" w:cs="Times New Roman"/>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r</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Q</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lang w:val="en-US"/>
              <w14:textFill>
                <w14:solidFill>
                  <w14:schemeClr w14:val="tx1"/>
                </w14:solidFill>
              </w14:textFill>
            </w:rPr>
            <m:t>)=</m:t>
          </m:r>
          <m:rad>
            <m:radPr>
              <m:degHide m:val="1"/>
              <m:ctrlPr>
                <w:rPr>
                  <w:rFonts w:hint="default" w:ascii="Cambria Math" w:hAnsi="Cambria Math" w:eastAsia="宋体" w:cs="Times New Roman"/>
                  <w:i/>
                  <w:color w:val="000000" w:themeColor="text1"/>
                  <w:sz w:val="24"/>
                  <w:szCs w:val="24"/>
                  <w:lang w:val="en-US"/>
                  <w14:textFill>
                    <w14:solidFill>
                      <w14:schemeClr w14:val="tx1"/>
                    </w14:solidFill>
                  </w14:textFill>
                </w:rPr>
              </m:ctrlPr>
            </m:radPr>
            <m:deg>
              <m:ctrlPr>
                <w:rPr>
                  <w:rFonts w:hint="default" w:ascii="Cambria Math" w:hAnsi="Cambria Math" w:eastAsia="宋体" w:cs="Times New Roman"/>
                  <w:i/>
                  <w:color w:val="000000" w:themeColor="text1"/>
                  <w:sz w:val="24"/>
                  <w:szCs w:val="24"/>
                  <w:lang w:val="en-US"/>
                  <w14:textFill>
                    <w14:solidFill>
                      <w14:schemeClr w14:val="tx1"/>
                    </w14:solidFill>
                  </w14:textFill>
                </w:rPr>
              </m:ctrlPr>
            </m:deg>
            <m:e>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(0.06%)</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(0.29%)</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(0.29%)</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m:t>
              </m:r>
              <m:sSup>
                <m:sSupPr>
                  <m:ctrlPr>
                    <w:rPr>
                      <w:rFonts w:hint="default" w:ascii="Cambria Math" w:hAnsi="Cambria Math" w:eastAsia="宋体" w:cs="Times New Roman"/>
                      <w:i/>
                      <w:color w:val="000000" w:themeColor="text1"/>
                      <w:sz w:val="24"/>
                      <w:szCs w:val="24"/>
                      <w:lang w:val="en-US"/>
                      <w14:textFill>
                        <w14:solidFill>
                          <w14:schemeClr w14:val="tx1"/>
                        </w14:solidFill>
                      </w14:textFill>
                    </w:rPr>
                  </m:ctrlPr>
                </m:sSupPr>
                <m:e>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(0.03%)</m:t>
                  </m:r>
                  <m:ctrlPr>
                    <w:rPr>
                      <w:rFonts w:hint="default" w:ascii="Cambria Math" w:hAnsi="Cambria Math" w:eastAsia="宋体" w:cs="Times New Roman"/>
                      <w:i/>
                      <w:color w:val="000000" w:themeColor="text1"/>
                      <w:sz w:val="24"/>
                      <w:szCs w:val="24"/>
                      <w:lang w:val="en-US"/>
                      <w14:textFill>
                        <w14:solidFill>
                          <w14:schemeClr w14:val="tx1"/>
                        </w14:solidFill>
                      </w14:textFill>
                    </w:rPr>
                  </m:ctrlPr>
                </m:e>
                <m:sup>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2</m:t>
                  </m:r>
                  <m:ctrlPr>
                    <w:rPr>
                      <w:rFonts w:hint="default" w:ascii="Cambria Math" w:hAnsi="Cambria Math" w:eastAsia="宋体" w:cs="Times New Roman"/>
                      <w:i/>
                      <w:color w:val="000000" w:themeColor="text1"/>
                      <w:sz w:val="24"/>
                      <w:szCs w:val="24"/>
                      <w:lang w:val="en-US"/>
                      <w14:textFill>
                        <w14:solidFill>
                          <w14:schemeClr w14:val="tx1"/>
                        </w14:solidFill>
                      </w14:textFill>
                    </w:rPr>
                  </m:ctrlPr>
                </m:sup>
              </m:sSup>
              <m:ctrlPr>
                <w:rPr>
                  <w:rFonts w:hint="default" w:ascii="Cambria Math" w:hAnsi="Cambria Math" w:eastAsia="宋体" w:cs="Times New Roman"/>
                  <w:i/>
                  <w:color w:val="000000" w:themeColor="text1"/>
                  <w:sz w:val="24"/>
                  <w:szCs w:val="24"/>
                  <w:lang w:val="en-US"/>
                  <w14:textFill>
                    <w14:solidFill>
                      <w14:schemeClr w14:val="tx1"/>
                    </w14:solidFill>
                  </w14:textFill>
                </w:rPr>
              </m:ctrlPr>
            </m:e>
          </m:rad>
          <m:r>
            <m:rPr>
              <m:nor/>
              <m:sty m:val="p"/>
            </m:rPr>
            <w:rPr>
              <w:rFonts w:hint="default" w:ascii="Times New Roman" w:hAnsi="Times New Roman" w:eastAsia="宋体" w:cs="Times New Roman"/>
              <w:b w:val="0"/>
              <w:i w:val="0"/>
              <w:color w:val="000000" w:themeColor="text1"/>
              <w:sz w:val="24"/>
              <w:szCs w:val="24"/>
              <w:lang w:val="en-US"/>
              <w14:textFill>
                <w14:solidFill>
                  <w14:schemeClr w14:val="tx1"/>
                </w14:solidFill>
              </w14:textFill>
            </w:rPr>
            <m:t>=0.42%</m:t>
          </m:r>
        </m:oMath>
      </m:oMathPara>
    </w:p>
    <w:p w14:paraId="0E55D52F">
      <w:pPr>
        <w:pStyle w:val="6"/>
        <w:keepNext w:val="0"/>
        <w:keepLines w:val="0"/>
        <w:pageBreakBefore w:val="0"/>
        <w:kinsoku/>
        <w:wordWrap/>
        <w:topLinePunct w:val="0"/>
        <w:bidi w:val="0"/>
        <w:adjustRightInd w:val="0"/>
        <w:snapToGrid w:val="0"/>
        <w:spacing w:before="156" w:after="156" w:line="288" w:lineRule="auto"/>
        <w:ind w:right="-105"/>
        <w:outlineLvl w:val="9"/>
        <w:rPr>
          <w:rFonts w:hint="default" w:ascii="Times New Roman" w:hAnsi="Times New Roman" w:eastAsia="宋体" w:cs="Times New Roman"/>
          <w:color w:val="000000" w:themeColor="text1"/>
          <w:sz w:val="24"/>
          <w:szCs w:val="24"/>
          <w14:textFill>
            <w14:solidFill>
              <w14:schemeClr w14:val="tx1"/>
            </w14:solidFill>
          </w14:textFill>
        </w:rPr>
      </w:pPr>
      <w:bookmarkStart w:id="24" w:name="_Toc17354"/>
      <w:bookmarkStart w:id="25" w:name="_Toc8621"/>
      <w:r>
        <w:rPr>
          <w:rFonts w:hint="default" w:ascii="Times New Roman" w:hAnsi="Times New Roman" w:eastAsia="宋体" w:cs="Times New Roman"/>
          <w:color w:val="000000" w:themeColor="text1"/>
          <w:sz w:val="24"/>
          <w:szCs w:val="24"/>
          <w14:textFill>
            <w14:solidFill>
              <w14:schemeClr w14:val="tx1"/>
            </w14:solidFill>
          </w14:textFill>
        </w:rPr>
        <w:t xml:space="preserve">6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扩展相对不确定度的确定</w:t>
      </w:r>
      <w:bookmarkEnd w:id="24"/>
      <w:bookmarkEnd w:id="25"/>
    </w:p>
    <w:p w14:paraId="523C5ECD">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position w:val="-12"/>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取包含因子</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=2，则扩展相对不确定度为：</w:t>
      </w:r>
    </w:p>
    <w:p w14:paraId="080A0DCF">
      <w:pPr>
        <w:keepNext w:val="0"/>
        <w:keepLines w:val="0"/>
        <w:pageBreakBefore w:val="0"/>
        <w:kinsoku/>
        <w:wordWrap/>
        <w:topLinePunct w:val="0"/>
        <w:bidi w:val="0"/>
        <w:adjustRightInd w:val="0"/>
        <w:snapToGrid w:val="0"/>
        <w:spacing w:line="288" w:lineRule="auto"/>
        <w:ind w:firstLine="480" w:firstLineChars="200"/>
        <w:rPr>
          <w:rFonts w:hint="default" w:ascii="Times New Roman" w:hAnsi="Times New Roman" w:eastAsia="宋体" w:cs="Times New Roman"/>
          <w:color w:val="000000" w:themeColor="text1"/>
          <w:sz w:val="24"/>
          <w:szCs w:val="24"/>
          <w:lang w:val="en-US"/>
          <w14:textFill>
            <w14:solidFill>
              <w14:schemeClr w14:val="tx1"/>
            </w14:solidFill>
          </w14:textFill>
        </w:rPr>
      </w:pPr>
      <m:oMathPara>
        <m:oMath>
          <m:r>
            <m:rPr>
              <m:nor/>
            </m:rPr>
            <w:rPr>
              <w:rFonts w:hint="default" w:ascii="Times New Roman" w:hAnsi="Times New Roman" w:eastAsia="宋体" w:cs="Times New Roman"/>
              <w:i/>
              <w:color w:val="000000" w:themeColor="text1"/>
              <w:kern w:val="2"/>
              <w:sz w:val="24"/>
              <w:szCs w:val="24"/>
              <w:lang w:val="en-US" w:eastAsia="zh-CN" w:bidi="ar-SA"/>
              <w14:textFill>
                <w14:solidFill>
                  <w14:schemeClr w14:val="tx1"/>
                </w14:solidFill>
              </w14:textFill>
            </w:rPr>
            <m:t>U</m:t>
          </m:r>
          <m:r>
            <m:rPr>
              <m:nor/>
              <m:sty m:val="p"/>
            </m:rPr>
            <w:rPr>
              <w:rFonts w:hint="default" w:ascii="Times New Roman" w:hAnsi="Times New Roman" w:eastAsia="宋体"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r</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Q</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kern w:val="2"/>
              <w:sz w:val="24"/>
              <w:szCs w:val="24"/>
              <w:lang w:val="en-US" w:eastAsia="zh-CN" w:bidi="ar-SA"/>
              <w14:textFill>
                <w14:solidFill>
                  <w14:schemeClr w14:val="tx1"/>
                </w14:solidFill>
              </w14:textFill>
            </w:rPr>
            <m:t>)=</m:t>
          </m:r>
          <m:r>
            <m:rPr>
              <m:nor/>
            </m:rPr>
            <w:rPr>
              <w:rFonts w:hint="default" w:ascii="Times New Roman" w:hAnsi="Times New Roman" w:eastAsia="宋体" w:cs="Times New Roman"/>
              <w:i/>
              <w:color w:val="000000" w:themeColor="text1"/>
              <w:kern w:val="2"/>
              <w:sz w:val="24"/>
              <w:szCs w:val="24"/>
              <w:lang w:val="en-US" w:eastAsia="zh-CN" w:bidi="ar-SA"/>
              <w14:textFill>
                <w14:solidFill>
                  <w14:schemeClr w14:val="tx1"/>
                </w14:solidFill>
              </w14:textFill>
            </w:rPr>
            <m:t>k</m:t>
          </m:r>
          <m:r>
            <m:rPr>
              <m:nor/>
              <m:sty m:val="p"/>
            </m:rPr>
            <w:rPr>
              <w:rFonts w:hint="default" w:ascii="Times New Roman" w:hAnsi="Times New Roman" w:eastAsia="宋体"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宋体" w:cs="Times New Roman"/>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u</m:t>
              </m:r>
              <m:ctrlPr>
                <w:rPr>
                  <w:rFonts w:hint="default" w:ascii="Cambria Math" w:hAnsi="Cambria Math" w:eastAsia="宋体" w:cs="Times New Roman"/>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c</m:t>
              </m:r>
              <m:ctrlPr>
                <w:rPr>
                  <w:rFonts w:hint="default" w:ascii="Cambria Math" w:hAnsi="Cambria Math" w:eastAsia="宋体" w:cs="Times New Roman"/>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lang w:val="en-US"/>
              <w14:textFill>
                <w14:solidFill>
                  <w14:schemeClr w14:val="tx1"/>
                </w14:solidFill>
              </w14:textFill>
            </w:rPr>
            <m:t>(</m:t>
          </m:r>
          <m:sSub>
            <m:sSubP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SubPr>
            <m:e>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r</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e>
            <m:sub>
              <m:r>
                <m:rPr>
                  <m:nor/>
                </m:rPr>
                <w:rPr>
                  <w:rFonts w:hint="default" w:ascii="Times New Roman" w:hAnsi="Times New Roman" w:eastAsia="宋体" w:cs="Times New Roman"/>
                  <w:i/>
                  <w:color w:val="000000" w:themeColor="text1"/>
                  <w:sz w:val="24"/>
                  <w:szCs w:val="24"/>
                  <w:highlight w:val="none"/>
                  <w:lang w:val="en-US"/>
                  <w14:textFill>
                    <w14:solidFill>
                      <w14:schemeClr w14:val="tx1"/>
                    </w14:solidFill>
                  </w14:textFill>
                </w:rPr>
                <m:t>Q</m:t>
              </m:r>
              <m:ctrlPr>
                <w:rPr>
                  <w:rFonts w:hint="default" w:ascii="Cambria Math" w:hAnsi="Cambria Math" w:eastAsia="宋体" w:cs="Times New Roman"/>
                  <w:i/>
                  <w:color w:val="000000" w:themeColor="text1"/>
                  <w:sz w:val="24"/>
                  <w:szCs w:val="24"/>
                  <w:highlight w:val="none"/>
                  <w:lang w:val="en-US"/>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lang w:val="en-US"/>
              <w14:textFill>
                <w14:solidFill>
                  <w14:schemeClr w14:val="tx1"/>
                </w14:solidFill>
              </w14:textFill>
            </w:rPr>
            <m:t>)=0.84%</m:t>
          </m:r>
        </m:oMath>
      </m:oMathPara>
    </w:p>
    <w:p w14:paraId="3FDC4721">
      <w:pPr>
        <w:keepNext w:val="0"/>
        <w:keepLines w:val="0"/>
        <w:pageBreakBefore w:val="0"/>
        <w:widowControl/>
        <w:kinsoku/>
        <w:wordWrap/>
        <w:topLinePunct w:val="0"/>
        <w:bidi w:val="0"/>
        <w:adjustRightInd w:val="0"/>
        <w:snapToGrid w:val="0"/>
        <w:spacing w:line="336" w:lineRule="auto"/>
        <w:jc w:val="left"/>
        <w:rPr>
          <w:rFonts w:hint="eastAsia" w:ascii="宋体" w:hAnsi="宋体" w:eastAsia="宋体" w:cs="宋体"/>
          <w:color w:val="000000" w:themeColor="text1"/>
          <w14:textFill>
            <w14:solidFill>
              <w14:schemeClr w14:val="tx1"/>
            </w14:solidFill>
          </w14:textFill>
        </w:rPr>
      </w:pPr>
    </w:p>
    <w:bookmarkEnd w:id="9"/>
    <w:bookmarkEnd w:id="10"/>
    <w:bookmarkEnd w:id="11"/>
    <w:bookmarkEnd w:id="12"/>
    <w:bookmarkEnd w:id="13"/>
    <w:bookmarkEnd w:id="14"/>
    <w:bookmarkEnd w:id="15"/>
    <w:bookmarkEnd w:id="16"/>
    <w:bookmarkEnd w:id="17"/>
    <w:p w14:paraId="77BF6AEA">
      <w:pPr>
        <w:keepNext w:val="0"/>
        <w:keepLines w:val="0"/>
        <w:pageBreakBefore w:val="0"/>
        <w:widowControl/>
        <w:kinsoku/>
        <w:wordWrap/>
        <w:topLinePunct w:val="0"/>
        <w:bidi w:val="0"/>
        <w:adjustRightInd w:val="0"/>
        <w:snapToGrid w:val="0"/>
        <w:spacing w:line="336" w:lineRule="auto"/>
        <w:jc w:val="left"/>
        <w:rPr>
          <w:rFonts w:hint="eastAsia" w:ascii="宋体" w:hAnsi="宋体" w:eastAsia="宋体" w:cs="宋体"/>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Cambria Math">
    <w:altName w:val="DejaVu Math TeX Gyre"/>
    <w:panose1 w:val="02040503050406030204"/>
    <w:charset w:val="00"/>
    <w:family w:val="auto"/>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思源宋体 Medium">
    <w:panose1 w:val="02020400000000000000"/>
    <w:charset w:val="86"/>
    <w:family w:val="auto"/>
    <w:pitch w:val="default"/>
    <w:sig w:usb0="30000083" w:usb1="2BDF3C10" w:usb2="00000016" w:usb3="00000000" w:csb0="602E0107" w:csb1="00000000"/>
  </w:font>
  <w:font w:name="MS Mincho">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Noto Sans Gurmukhi">
    <w:panose1 w:val="020B0502040504020204"/>
    <w:charset w:val="00"/>
    <w:family w:val="auto"/>
    <w:pitch w:val="default"/>
    <w:sig w:usb0="0002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545B0"/>
    <w:rsid w:val="03887BE8"/>
    <w:rsid w:val="050B5E6B"/>
    <w:rsid w:val="065023D3"/>
    <w:rsid w:val="0826249F"/>
    <w:rsid w:val="0B610A57"/>
    <w:rsid w:val="0F6FA1D2"/>
    <w:rsid w:val="11FD1FED"/>
    <w:rsid w:val="17BE30E5"/>
    <w:rsid w:val="19685AE7"/>
    <w:rsid w:val="27195127"/>
    <w:rsid w:val="2FF946C4"/>
    <w:rsid w:val="3BF861EC"/>
    <w:rsid w:val="3CDE19B5"/>
    <w:rsid w:val="3F3FFBAF"/>
    <w:rsid w:val="458F0D67"/>
    <w:rsid w:val="45AA588C"/>
    <w:rsid w:val="494B6978"/>
    <w:rsid w:val="54363C6A"/>
    <w:rsid w:val="58F92B4C"/>
    <w:rsid w:val="59421532"/>
    <w:rsid w:val="5BBD4E27"/>
    <w:rsid w:val="5F7F1481"/>
    <w:rsid w:val="65493805"/>
    <w:rsid w:val="69322688"/>
    <w:rsid w:val="6BD41394"/>
    <w:rsid w:val="6C300DB3"/>
    <w:rsid w:val="76EF6D65"/>
    <w:rsid w:val="77FB0D58"/>
    <w:rsid w:val="7B3941CE"/>
    <w:rsid w:val="7B6A571A"/>
    <w:rsid w:val="8BFFDC5A"/>
    <w:rsid w:val="BDDFD7B2"/>
    <w:rsid w:val="BF7F4D72"/>
    <w:rsid w:val="D7F95CD6"/>
    <w:rsid w:val="DBFD8DB4"/>
    <w:rsid w:val="DFFF1882"/>
    <w:rsid w:val="E7EE71B0"/>
    <w:rsid w:val="ED7D7932"/>
    <w:rsid w:val="F6B63A2A"/>
    <w:rsid w:val="F9FF08D6"/>
    <w:rsid w:val="FA7DD37E"/>
    <w:rsid w:val="FFDEC352"/>
    <w:rsid w:val="FFEB3E27"/>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宋体" w:cs="Times New Roman"/>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标准文件_附录一级条标题"/>
    <w:basedOn w:val="7"/>
    <w:next w:val="1"/>
    <w:qFormat/>
    <w:uiPriority w:val="0"/>
    <w:pPr>
      <w:autoSpaceDN w:val="0"/>
      <w:spacing w:beforeLines="0" w:afterLines="0"/>
      <w:outlineLvl w:val="2"/>
    </w:pPr>
    <w:rPr>
      <w:spacing w:val="2"/>
    </w:rPr>
  </w:style>
  <w:style w:type="paragraph" w:customStyle="1" w:styleId="7">
    <w:name w:val="标准文件_附录章标题"/>
    <w:next w:val="1"/>
    <w:qFormat/>
    <w:uiPriority w:val="0"/>
    <w:pPr>
      <w:wordWrap w:val="0"/>
      <w:overflowPunct w:val="0"/>
      <w:autoSpaceDE w:val="0"/>
      <w:spacing w:beforeLines="50" w:afterLines="50"/>
      <w:ind w:right="-50" w:rightChars="-50"/>
      <w:jc w:val="both"/>
      <w:textAlignment w:val="baseline"/>
      <w:outlineLvl w:val="1"/>
    </w:pPr>
    <w:rPr>
      <w:rFonts w:ascii="黑体" w:hAnsi="Times New Roman" w:eastAsia="黑体" w:cs="Times New Roman"/>
      <w:kern w:val="21"/>
      <w:sz w:val="21"/>
      <w:lang w:val="en-US" w:eastAsia="zh-CN" w:bidi="ar-SA"/>
    </w:rPr>
  </w:style>
  <w:style w:type="paragraph" w:customStyle="1" w:styleId="8">
    <w:name w:val="MTDisplayEquation"/>
    <w:basedOn w:val="1"/>
    <w:next w:val="1"/>
    <w:qFormat/>
    <w:uiPriority w:val="0"/>
    <w:pPr>
      <w:tabs>
        <w:tab w:val="center" w:pos="4680"/>
        <w:tab w:val="right" w:pos="9360"/>
      </w:tabs>
      <w:snapToGrid w:val="0"/>
      <w:spacing w:line="360" w:lineRule="auto"/>
      <w:jc w:val="left"/>
    </w:pPr>
    <w:rPr>
      <w:rFonts w:ascii="宋体" w:hAnsi="宋体"/>
      <w:sz w:val="24"/>
    </w:rPr>
  </w:style>
  <w:style w:type="character" w:customStyle="1" w:styleId="9">
    <w:name w:val="MTEquationSection"/>
    <w:qFormat/>
    <w:uiPriority w:val="0"/>
    <w:rPr>
      <w:b/>
      <w:vanish/>
      <w:color w:val="FF0000"/>
      <w:sz w:val="52"/>
    </w:rPr>
  </w:style>
  <w:style w:type="paragraph" w:customStyle="1" w:styleId="10">
    <w:name w:val="标准文件_附录表标题"/>
    <w:next w:val="1"/>
    <w:qFormat/>
    <w:uiPriority w:val="0"/>
    <w:pPr>
      <w:jc w:val="center"/>
      <w:textAlignment w:val="baseline"/>
    </w:pPr>
    <w:rPr>
      <w:rFonts w:ascii="黑体" w:hAnsi="Times New Roman" w:eastAsia="黑体" w:cs="Times New Roman"/>
      <w:kern w:val="21"/>
      <w:sz w:val="21"/>
      <w:lang w:val="en-US" w:eastAsia="zh-CN"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oleObject" Target="embeddings/oleObject5.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ba7bec01-05ce-47d3-8f8a-17aa86110abe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5789BB2B</paraID>
      <start xmlns="http://schemas.wps.cn/vas-ai-hub/contract-review">187</start>
      <end xmlns="http://schemas.wps.cn/vas-ai-hub/contract-review">188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d62d77d6-3c7a-48ad-a994-6fbc4474b040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4CD7AB8D</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8f6fd605-ef03-4870-b283-f70f99c52fd2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4CD7AB8D</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e21fd98d-25d8-4fcf-8d2d-e8fc5dd4dd88</errorID>
      <errorWord xmlns="http://schemas.wps.cn/vas-ai-hub/contract-review">引人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引入</item>
      </candidateList>
      <explain xmlns="http://schemas.wps.cn/vas-ai-hub/contract-review"/>
      <paraID xmlns="http://schemas.wps.cn/vas-ai-hub/contract-review">7B9816F4</paraID>
      <start xmlns="http://schemas.wps.cn/vas-ai-hub/contract-review">14</start>
      <end xmlns="http://schemas.wps.cn/vas-ai-hub/contract-review">16</end>
      <status xmlns="http://schemas.wps.cn/vas-ai-hub/contract-review">modified</status>
      <modifiedWord xmlns="http://schemas.wps.cn/vas-ai-hub/contract-review">引入</modifiedWord>
      <trackRevisions xmlns="http://schemas.wps.cn/vas-ai-hub/contract-review">false</trackRevisions>
    </reviewItem>
    <reviewItem xmlns="http://schemas.wps.cn/vas-ai-hub/contract-review">
      <errorID xmlns="http://schemas.wps.cn/vas-ai-hub/contract-review">53b80ae8-29d1-4cfb-a9ca-c3ad6f71e8fb</errorID>
      <errorWord xmlns="http://schemas.wps.cn/vas-ai-hub/contract-review">引人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引入</item>
      </candidateList>
      <explain xmlns="http://schemas.wps.cn/vas-ai-hub/contract-review"/>
      <paraID xmlns="http://schemas.wps.cn/vas-ai-hub/contract-review">68D0C80D</paraID>
      <start xmlns="http://schemas.wps.cn/vas-ai-hub/contract-review">117</start>
      <end xmlns="http://schemas.wps.cn/vas-ai-hub/contract-review">119</end>
      <status xmlns="http://schemas.wps.cn/vas-ai-hub/contract-review">modified</status>
      <modifiedWord xmlns="http://schemas.wps.cn/vas-ai-hub/contract-review">引入</modifiedWord>
      <trackRevisions xmlns="http://schemas.wps.cn/vas-ai-hub/contract-review">false</trackRevisions>
    </reviewItem>
    <reviewItem xmlns="http://schemas.wps.cn/vas-ai-hub/contract-review">
      <errorID xmlns="http://schemas.wps.cn/vas-ai-hub/contract-review">7668e712-42a9-46be-9378-5de814ba63dd</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66594BC8</paraID>
      <start xmlns="http://schemas.wps.cn/vas-ai-hub/contract-review">2</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129d00ff-b81e-4b67-9e47-1b49175f9142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793B5727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5f33cccc-a982-4d70-948e-c3aedad28b23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793B5727</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db27f1bc-7299-4a01-adbf-ce9252a30d9b</errorID>
      <errorWord xmlns="http://schemas.wps.cn/vas-ai-hub/contract-review">带入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代入</item>
      </candidateList>
      <explain xmlns="http://schemas.wps.cn/vas-ai-hub/contract-review"/>
      <paraID xmlns="http://schemas.wps.cn/vas-ai-hub/contract-review">7FE79F91</paraID>
      <start xmlns="http://schemas.wps.cn/vas-ai-hub/contract-review">14</start>
      <end xmlns="http://schemas.wps.cn/vas-ai-hub/contract-review">16</end>
      <status xmlns="http://schemas.wps.cn/vas-ai-hub/contract-review">modified</status>
      <modifiedWord xmlns="http://schemas.wps.cn/vas-ai-hub/contract-review">代入</modifiedWord>
      <trackRevisions xmlns="http://schemas.wps.cn/vas-ai-hub/contract-review">false</trackRevisions>
    </reviewItem>
    <reviewItem xmlns="http://schemas.wps.cn/vas-ai-hub/contract-review">
      <errorID xmlns="http://schemas.wps.cn/vas-ai-hub/contract-review">c87a45c2-4f68-4b6f-ba9a-b3cf3e0429fe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19B935CF</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de18f691-7867-4b12-b196-95b7290dfbd4</errorID>
      <errorWord xmlns="http://schemas.wps.cn/vas-ai-hub/contract-review">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10074F36</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7fdd4cc9-3c3a-450b-890e-5df4f9531fbb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4425FE73</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72c93fe6-4845-46fd-9b3b-33baa5d3d44d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5634623D</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2f1f5ee1-c48d-4c6a-8720-43607111d7ad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59944F7</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5bab774f-8ff8-4b89-9a21-9be883aaed4d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2432E53B</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739990c1-0491-4ef7-bc55-4524ffbd37b0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55B4D835</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b611f5bd-6cce-4060-9df3-086dde80cbe8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55B4D835</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a911a129-2fd3-48d2-98af-bb5397c6e7b6}">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203</Words>
  <Characters>232</Characters>
  <Lines>0</Lines>
  <Paragraphs>0</Paragraphs>
  <TotalTime>22</TotalTime>
  <ScaleCrop>false</ScaleCrop>
  <LinksUpToDate>false</LinksUpToDate>
  <CharactersWithSpaces>236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2026-08-07T02:45:00Z</dcterms:created>
  <dc:creator>user</dc:creator>
  <cp:lastModifiedBy>user</cp:lastModifiedBy>
  <dcterms:modified xsi:type="dcterms:W3CDTF">2026-08-11T08:54:18Z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FA4A4F51FA9F50100C8D756AC43DBC0D_43</vt:lpwstr>
  </property>
  <property fmtid="{D5CDD505-2E9C-101B-9397-08002B2CF9AE}" pid="4" name="KSOTemplateDocerSaveRecord">
    <vt:lpwstr>eyJoZGlkIjoiNTg4YTliN2EyZGE3ZTkzYWIxNWFhNTRlZTRmYmQyYmQiLCJ1c2VySWQiOiI1Nzg3MTcwMzMifQ==</vt:lpwstr>
  </property>
</Properties>
</file>